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736"/>
    <w:multiLevelType w:val="hybridMultilevel"/>
    <w:tmpl w:val="3718160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>
    <w:nsid w:val="028A2395"/>
    <w:multiLevelType w:val="hybridMultilevel"/>
    <w:tmpl w:val="88EE7636"/>
    <w:lvl w:ilvl="0" w:tplc="8CCCD2A6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77C9C"/>
    <w:multiLevelType w:val="hybridMultilevel"/>
    <w:tmpl w:val="5B3EB92A"/>
    <w:lvl w:ilvl="0" w:tplc="8CCCD2A6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43FEC"/>
    <w:multiLevelType w:val="hybridMultilevel"/>
    <w:tmpl w:val="E9FE494E"/>
    <w:lvl w:ilvl="0" w:tplc="74464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6E3956"/>
    <w:multiLevelType w:val="hybridMultilevel"/>
    <w:tmpl w:val="2A08B9C2"/>
    <w:lvl w:ilvl="0" w:tplc="39CC9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CA0ECE"/>
    <w:multiLevelType w:val="hybridMultilevel"/>
    <w:tmpl w:val="82F43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952308D"/>
    <w:multiLevelType w:val="hybridMultilevel"/>
    <w:tmpl w:val="BDFCE1A0"/>
    <w:lvl w:ilvl="0" w:tplc="8CCCD2A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E76D3"/>
    <w:multiLevelType w:val="hybridMultilevel"/>
    <w:tmpl w:val="B12C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007AFD"/>
    <w:multiLevelType w:val="hybridMultilevel"/>
    <w:tmpl w:val="2508EC68"/>
    <w:lvl w:ilvl="0" w:tplc="8CCCD2A6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E7486"/>
    <w:multiLevelType w:val="hybridMultilevel"/>
    <w:tmpl w:val="B9DE2572"/>
    <w:lvl w:ilvl="0" w:tplc="8CCCD2A6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63200C"/>
    <w:multiLevelType w:val="hybridMultilevel"/>
    <w:tmpl w:val="331AF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AD3D2C"/>
    <w:multiLevelType w:val="hybridMultilevel"/>
    <w:tmpl w:val="1F322638"/>
    <w:lvl w:ilvl="0" w:tplc="8CCCD2A6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AF6746"/>
    <w:multiLevelType w:val="hybridMultilevel"/>
    <w:tmpl w:val="57F49802"/>
    <w:lvl w:ilvl="0" w:tplc="8CCCD2A6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B653DD"/>
    <w:multiLevelType w:val="hybridMultilevel"/>
    <w:tmpl w:val="1284C0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201B5580"/>
    <w:multiLevelType w:val="hybridMultilevel"/>
    <w:tmpl w:val="9CB45256"/>
    <w:lvl w:ilvl="0" w:tplc="199499A0">
      <w:numFmt w:val="bullet"/>
      <w:lvlText w:val="-"/>
      <w:lvlJc w:val="left"/>
      <w:pPr>
        <w:ind w:left="360" w:hanging="360"/>
      </w:pPr>
      <w:rPr>
        <w:rFonts w:ascii="Simplified Arabic" w:eastAsiaTheme="minorEastAsia" w:hAnsi="Simplified Arabic" w:cs="Simplified Arabic" w:hint="default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3E1F2A"/>
    <w:multiLevelType w:val="hybridMultilevel"/>
    <w:tmpl w:val="8590492C"/>
    <w:lvl w:ilvl="0" w:tplc="F912C9D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4952F2"/>
    <w:multiLevelType w:val="hybridMultilevel"/>
    <w:tmpl w:val="336401A6"/>
    <w:lvl w:ilvl="0" w:tplc="1632F5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1101210"/>
    <w:multiLevelType w:val="hybridMultilevel"/>
    <w:tmpl w:val="4C524C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DF69B1"/>
    <w:multiLevelType w:val="hybridMultilevel"/>
    <w:tmpl w:val="ABFC7C2A"/>
    <w:lvl w:ilvl="0" w:tplc="F912C9D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2F6787"/>
    <w:multiLevelType w:val="hybridMultilevel"/>
    <w:tmpl w:val="DCFE7B5E"/>
    <w:lvl w:ilvl="0" w:tplc="7446425E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Simplified Arabic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>
    <w:nsid w:val="24917B55"/>
    <w:multiLevelType w:val="hybridMultilevel"/>
    <w:tmpl w:val="694CE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1823FB"/>
    <w:multiLevelType w:val="hybridMultilevel"/>
    <w:tmpl w:val="0CDC979E"/>
    <w:lvl w:ilvl="0" w:tplc="8CCCD2A6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DB490E"/>
    <w:multiLevelType w:val="hybridMultilevel"/>
    <w:tmpl w:val="E84A18BE"/>
    <w:lvl w:ilvl="0" w:tplc="040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23">
    <w:nsid w:val="2D431558"/>
    <w:multiLevelType w:val="hybridMultilevel"/>
    <w:tmpl w:val="508A2A0A"/>
    <w:lvl w:ilvl="0" w:tplc="F7FE75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6246C1"/>
    <w:multiLevelType w:val="hybridMultilevel"/>
    <w:tmpl w:val="5DAE669E"/>
    <w:lvl w:ilvl="0" w:tplc="04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5">
    <w:nsid w:val="2D9C058D"/>
    <w:multiLevelType w:val="hybridMultilevel"/>
    <w:tmpl w:val="30D48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D2741F"/>
    <w:multiLevelType w:val="hybridMultilevel"/>
    <w:tmpl w:val="432205D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8252B2"/>
    <w:multiLevelType w:val="hybridMultilevel"/>
    <w:tmpl w:val="92846BA6"/>
    <w:lvl w:ilvl="0" w:tplc="9A789D78">
      <w:start w:val="10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FD693D"/>
    <w:multiLevelType w:val="hybridMultilevel"/>
    <w:tmpl w:val="50C28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2F51688"/>
    <w:multiLevelType w:val="hybridMultilevel"/>
    <w:tmpl w:val="20A0E032"/>
    <w:lvl w:ilvl="0" w:tplc="8CCCD2A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4AC5763"/>
    <w:multiLevelType w:val="hybridMultilevel"/>
    <w:tmpl w:val="8E32862E"/>
    <w:lvl w:ilvl="0" w:tplc="8CCCD2A6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7D2284C"/>
    <w:multiLevelType w:val="hybridMultilevel"/>
    <w:tmpl w:val="BA2CB6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39941646"/>
    <w:multiLevelType w:val="hybridMultilevel"/>
    <w:tmpl w:val="85F809B6"/>
    <w:lvl w:ilvl="0" w:tplc="8CCCD2A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0913067"/>
    <w:multiLevelType w:val="hybridMultilevel"/>
    <w:tmpl w:val="4A726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C4183D"/>
    <w:multiLevelType w:val="hybridMultilevel"/>
    <w:tmpl w:val="43CE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49E3116"/>
    <w:multiLevelType w:val="hybridMultilevel"/>
    <w:tmpl w:val="C784C048"/>
    <w:lvl w:ilvl="0" w:tplc="8CCCD2A6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7FF4A62"/>
    <w:multiLevelType w:val="hybridMultilevel"/>
    <w:tmpl w:val="3BE40302"/>
    <w:lvl w:ilvl="0" w:tplc="8CCCD2A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8104482"/>
    <w:multiLevelType w:val="hybridMultilevel"/>
    <w:tmpl w:val="E9F2A82C"/>
    <w:lvl w:ilvl="0" w:tplc="8CCCD2A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88D1021"/>
    <w:multiLevelType w:val="hybridMultilevel"/>
    <w:tmpl w:val="1C565032"/>
    <w:lvl w:ilvl="0" w:tplc="DB109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4503DE"/>
    <w:multiLevelType w:val="hybridMultilevel"/>
    <w:tmpl w:val="F5F41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6FC3BF5"/>
    <w:multiLevelType w:val="hybridMultilevel"/>
    <w:tmpl w:val="BEDE00E8"/>
    <w:lvl w:ilvl="0" w:tplc="8CCCD2A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70636D3"/>
    <w:multiLevelType w:val="hybridMultilevel"/>
    <w:tmpl w:val="2F1C9402"/>
    <w:lvl w:ilvl="0" w:tplc="77080F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9665EDD"/>
    <w:multiLevelType w:val="hybridMultilevel"/>
    <w:tmpl w:val="8DA0A132"/>
    <w:lvl w:ilvl="0" w:tplc="E9C82EF8">
      <w:start w:val="1"/>
      <w:numFmt w:val="decimal"/>
      <w:lvlText w:val="%1-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744642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Simplified Arabic" w:hint="default"/>
        <w:lang w:bidi="ar-EG"/>
      </w:rPr>
    </w:lvl>
    <w:lvl w:ilvl="2" w:tplc="04825518">
      <w:start w:val="1"/>
      <w:numFmt w:val="arabicAlpha"/>
      <w:lvlText w:val="%3-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 w:tplc="81D42660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Simplified Arabic" w:hint="default"/>
        <w:u w:val="none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D990B1D"/>
    <w:multiLevelType w:val="hybridMultilevel"/>
    <w:tmpl w:val="262CB932"/>
    <w:lvl w:ilvl="0" w:tplc="6AA24C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F475E1"/>
    <w:multiLevelType w:val="hybridMultilevel"/>
    <w:tmpl w:val="42483280"/>
    <w:lvl w:ilvl="0" w:tplc="08B20140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3921C40"/>
    <w:multiLevelType w:val="hybridMultilevel"/>
    <w:tmpl w:val="D22A569A"/>
    <w:lvl w:ilvl="0" w:tplc="F912C9D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4932BDE"/>
    <w:multiLevelType w:val="hybridMultilevel"/>
    <w:tmpl w:val="3E66198A"/>
    <w:lvl w:ilvl="0" w:tplc="04090013">
      <w:start w:val="1"/>
      <w:numFmt w:val="arabicAlpha"/>
      <w:lvlText w:val="%1-"/>
      <w:lvlJc w:val="center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56A70C7"/>
    <w:multiLevelType w:val="hybridMultilevel"/>
    <w:tmpl w:val="9CB8B4FE"/>
    <w:lvl w:ilvl="0" w:tplc="8CCCD2A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60C300F"/>
    <w:multiLevelType w:val="hybridMultilevel"/>
    <w:tmpl w:val="D8A24B14"/>
    <w:lvl w:ilvl="0" w:tplc="04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49">
    <w:nsid w:val="66A461DB"/>
    <w:multiLevelType w:val="hybridMultilevel"/>
    <w:tmpl w:val="A050A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685F42F8"/>
    <w:multiLevelType w:val="hybridMultilevel"/>
    <w:tmpl w:val="A9849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8D62DC0"/>
    <w:multiLevelType w:val="hybridMultilevel"/>
    <w:tmpl w:val="9A7280BC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8FD7B6C"/>
    <w:multiLevelType w:val="hybridMultilevel"/>
    <w:tmpl w:val="6C208B98"/>
    <w:lvl w:ilvl="0" w:tplc="8CCCD2A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A132154"/>
    <w:multiLevelType w:val="hybridMultilevel"/>
    <w:tmpl w:val="5CA458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5B65DD"/>
    <w:multiLevelType w:val="hybridMultilevel"/>
    <w:tmpl w:val="ECC015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6CF01269"/>
    <w:multiLevelType w:val="hybridMultilevel"/>
    <w:tmpl w:val="B9FC9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D453FB4"/>
    <w:multiLevelType w:val="hybridMultilevel"/>
    <w:tmpl w:val="B4F0E5C6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7">
    <w:nsid w:val="709E2061"/>
    <w:multiLevelType w:val="hybridMultilevel"/>
    <w:tmpl w:val="C14AB4A4"/>
    <w:lvl w:ilvl="0" w:tplc="A0B4CB2C">
      <w:start w:val="1"/>
      <w:numFmt w:val="decimal"/>
      <w:lvlText w:val="%1-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8">
    <w:nsid w:val="740F41A7"/>
    <w:multiLevelType w:val="hybridMultilevel"/>
    <w:tmpl w:val="1C7C4AE8"/>
    <w:lvl w:ilvl="0" w:tplc="6430DD80">
      <w:start w:val="1"/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>
    <w:nsid w:val="74275B91"/>
    <w:multiLevelType w:val="hybridMultilevel"/>
    <w:tmpl w:val="71729C9C"/>
    <w:lvl w:ilvl="0" w:tplc="EE04D942">
      <w:start w:val="8"/>
      <w:numFmt w:val="bullet"/>
      <w:lvlText w:val=""/>
      <w:lvlJc w:val="left"/>
      <w:pPr>
        <w:ind w:left="36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743F7191"/>
    <w:multiLevelType w:val="hybridMultilevel"/>
    <w:tmpl w:val="3CAE30D0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1">
    <w:nsid w:val="77C17AF6"/>
    <w:multiLevelType w:val="hybridMultilevel"/>
    <w:tmpl w:val="EFC4E2B6"/>
    <w:lvl w:ilvl="0" w:tplc="8CCCD2A6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87864E9"/>
    <w:multiLevelType w:val="hybridMultilevel"/>
    <w:tmpl w:val="4C6C18CC"/>
    <w:lvl w:ilvl="0" w:tplc="7B249F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9BC7C92"/>
    <w:multiLevelType w:val="hybridMultilevel"/>
    <w:tmpl w:val="88549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BDA29F0"/>
    <w:multiLevelType w:val="hybridMultilevel"/>
    <w:tmpl w:val="080C25CE"/>
    <w:lvl w:ilvl="0" w:tplc="9E825C58">
      <w:start w:val="1"/>
      <w:numFmt w:val="decimal"/>
      <w:lvlText w:val="%1-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41"/>
  </w:num>
  <w:num w:numId="3">
    <w:abstractNumId w:val="9"/>
  </w:num>
  <w:num w:numId="4">
    <w:abstractNumId w:val="23"/>
  </w:num>
  <w:num w:numId="5">
    <w:abstractNumId w:val="16"/>
  </w:num>
  <w:num w:numId="6">
    <w:abstractNumId w:val="62"/>
  </w:num>
  <w:num w:numId="7">
    <w:abstractNumId w:val="38"/>
  </w:num>
  <w:num w:numId="8">
    <w:abstractNumId w:val="43"/>
  </w:num>
  <w:num w:numId="9">
    <w:abstractNumId w:val="59"/>
  </w:num>
  <w:num w:numId="10">
    <w:abstractNumId w:val="33"/>
  </w:num>
  <w:num w:numId="11">
    <w:abstractNumId w:val="24"/>
  </w:num>
  <w:num w:numId="12">
    <w:abstractNumId w:val="48"/>
  </w:num>
  <w:num w:numId="13">
    <w:abstractNumId w:val="20"/>
  </w:num>
  <w:num w:numId="14">
    <w:abstractNumId w:val="55"/>
  </w:num>
  <w:num w:numId="15">
    <w:abstractNumId w:val="50"/>
  </w:num>
  <w:num w:numId="16">
    <w:abstractNumId w:val="36"/>
  </w:num>
  <w:num w:numId="17">
    <w:abstractNumId w:val="13"/>
  </w:num>
  <w:num w:numId="18">
    <w:abstractNumId w:val="7"/>
  </w:num>
  <w:num w:numId="19">
    <w:abstractNumId w:val="51"/>
  </w:num>
  <w:num w:numId="20">
    <w:abstractNumId w:val="46"/>
  </w:num>
  <w:num w:numId="21">
    <w:abstractNumId w:val="26"/>
  </w:num>
  <w:num w:numId="22">
    <w:abstractNumId w:val="63"/>
  </w:num>
  <w:num w:numId="23">
    <w:abstractNumId w:val="31"/>
  </w:num>
  <w:num w:numId="24">
    <w:abstractNumId w:val="18"/>
  </w:num>
  <w:num w:numId="25">
    <w:abstractNumId w:val="49"/>
  </w:num>
  <w:num w:numId="26">
    <w:abstractNumId w:val="53"/>
  </w:num>
  <w:num w:numId="27">
    <w:abstractNumId w:val="56"/>
  </w:num>
  <w:num w:numId="28">
    <w:abstractNumId w:val="42"/>
  </w:num>
  <w:num w:numId="29">
    <w:abstractNumId w:val="5"/>
  </w:num>
  <w:num w:numId="30">
    <w:abstractNumId w:val="4"/>
  </w:num>
  <w:num w:numId="31">
    <w:abstractNumId w:val="64"/>
  </w:num>
  <w:num w:numId="32">
    <w:abstractNumId w:val="58"/>
  </w:num>
  <w:num w:numId="33">
    <w:abstractNumId w:val="57"/>
  </w:num>
  <w:num w:numId="34">
    <w:abstractNumId w:val="54"/>
  </w:num>
  <w:num w:numId="35">
    <w:abstractNumId w:val="25"/>
  </w:num>
  <w:num w:numId="36">
    <w:abstractNumId w:val="44"/>
  </w:num>
  <w:num w:numId="37">
    <w:abstractNumId w:val="14"/>
  </w:num>
  <w:num w:numId="38">
    <w:abstractNumId w:val="17"/>
  </w:num>
  <w:num w:numId="39">
    <w:abstractNumId w:val="19"/>
  </w:num>
  <w:num w:numId="40">
    <w:abstractNumId w:val="0"/>
  </w:num>
  <w:num w:numId="41">
    <w:abstractNumId w:val="3"/>
  </w:num>
  <w:num w:numId="42">
    <w:abstractNumId w:val="28"/>
  </w:num>
  <w:num w:numId="43">
    <w:abstractNumId w:val="15"/>
  </w:num>
  <w:num w:numId="44">
    <w:abstractNumId w:val="45"/>
  </w:num>
  <w:num w:numId="45">
    <w:abstractNumId w:val="10"/>
  </w:num>
  <w:num w:numId="46">
    <w:abstractNumId w:val="39"/>
  </w:num>
  <w:num w:numId="47">
    <w:abstractNumId w:val="34"/>
  </w:num>
  <w:num w:numId="48">
    <w:abstractNumId w:val="60"/>
  </w:num>
  <w:num w:numId="49">
    <w:abstractNumId w:val="27"/>
  </w:num>
  <w:num w:numId="50">
    <w:abstractNumId w:val="6"/>
  </w:num>
  <w:num w:numId="51">
    <w:abstractNumId w:val="32"/>
  </w:num>
  <w:num w:numId="52">
    <w:abstractNumId w:val="52"/>
  </w:num>
  <w:num w:numId="53">
    <w:abstractNumId w:val="47"/>
  </w:num>
  <w:num w:numId="54">
    <w:abstractNumId w:val="37"/>
  </w:num>
  <w:num w:numId="55">
    <w:abstractNumId w:val="40"/>
  </w:num>
  <w:num w:numId="56">
    <w:abstractNumId w:val="29"/>
  </w:num>
  <w:num w:numId="57">
    <w:abstractNumId w:val="35"/>
  </w:num>
  <w:num w:numId="58">
    <w:abstractNumId w:val="2"/>
  </w:num>
  <w:num w:numId="59">
    <w:abstractNumId w:val="61"/>
  </w:num>
  <w:num w:numId="60">
    <w:abstractNumId w:val="1"/>
  </w:num>
  <w:num w:numId="61">
    <w:abstractNumId w:val="30"/>
  </w:num>
  <w:num w:numId="62">
    <w:abstractNumId w:val="21"/>
  </w:num>
  <w:num w:numId="63">
    <w:abstractNumId w:val="8"/>
  </w:num>
  <w:num w:numId="64">
    <w:abstractNumId w:val="12"/>
  </w:num>
  <w:num w:numId="65">
    <w:abstractNumId w:val="1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20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59"/>
    <w:rsid w:val="00030D11"/>
    <w:rsid w:val="000F09B0"/>
    <w:rsid w:val="00150C7F"/>
    <w:rsid w:val="00175297"/>
    <w:rsid w:val="001F418E"/>
    <w:rsid w:val="002265B8"/>
    <w:rsid w:val="00261F62"/>
    <w:rsid w:val="0029623A"/>
    <w:rsid w:val="002E0F30"/>
    <w:rsid w:val="00307836"/>
    <w:rsid w:val="0039710A"/>
    <w:rsid w:val="003E370F"/>
    <w:rsid w:val="004078C3"/>
    <w:rsid w:val="004A4CF0"/>
    <w:rsid w:val="005C1759"/>
    <w:rsid w:val="0064017C"/>
    <w:rsid w:val="00801DA6"/>
    <w:rsid w:val="00842875"/>
    <w:rsid w:val="008842AB"/>
    <w:rsid w:val="0089551D"/>
    <w:rsid w:val="00BA0F6C"/>
    <w:rsid w:val="00BA6E76"/>
    <w:rsid w:val="00BB4950"/>
    <w:rsid w:val="00C04525"/>
    <w:rsid w:val="00C07336"/>
    <w:rsid w:val="00C11F29"/>
    <w:rsid w:val="00C44761"/>
    <w:rsid w:val="00D14F61"/>
    <w:rsid w:val="00D1702E"/>
    <w:rsid w:val="00D33301"/>
    <w:rsid w:val="00D63F74"/>
    <w:rsid w:val="00D81D5A"/>
    <w:rsid w:val="00DA65FF"/>
    <w:rsid w:val="00DA785E"/>
    <w:rsid w:val="00DC1946"/>
    <w:rsid w:val="00DF3581"/>
    <w:rsid w:val="00EC116C"/>
    <w:rsid w:val="00EC23F7"/>
    <w:rsid w:val="00EC2474"/>
    <w:rsid w:val="00F44877"/>
    <w:rsid w:val="00F7307A"/>
    <w:rsid w:val="00FB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2AB"/>
    <w:pPr>
      <w:bidi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2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42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42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2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842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842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unhideWhenUsed/>
    <w:rsid w:val="008842AB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842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42AB"/>
    <w:rPr>
      <w:vertAlign w:val="superscript"/>
    </w:rPr>
  </w:style>
  <w:style w:type="paragraph" w:styleId="ListParagraph">
    <w:name w:val="List Paragraph"/>
    <w:basedOn w:val="Normal"/>
    <w:uiPriority w:val="34"/>
    <w:qFormat/>
    <w:rsid w:val="008842AB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884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4">
    <w:name w:val="Light Grid Accent 4"/>
    <w:basedOn w:val="TableNormal"/>
    <w:uiPriority w:val="62"/>
    <w:rsid w:val="00884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842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2AB"/>
    <w:rPr>
      <w:rFonts w:ascii="Tahoma" w:eastAsiaTheme="minorEastAsi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842AB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rsid w:val="008842A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842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2A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42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2AB"/>
    <w:rPr>
      <w:rFonts w:eastAsiaTheme="minorEastAsia"/>
    </w:rPr>
  </w:style>
  <w:style w:type="character" w:styleId="EndnoteReference">
    <w:name w:val="endnote reference"/>
    <w:uiPriority w:val="99"/>
    <w:semiHidden/>
    <w:rsid w:val="008842AB"/>
    <w:rPr>
      <w:vertAlign w:val="superscript"/>
    </w:rPr>
  </w:style>
  <w:style w:type="paragraph" w:styleId="EndnoteText">
    <w:name w:val="endnote text"/>
    <w:basedOn w:val="Normal"/>
    <w:link w:val="EndnoteTextChar"/>
    <w:rsid w:val="00884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842AB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8842AB"/>
    <w:pPr>
      <w:bidi/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2AB"/>
    <w:pPr>
      <w:bidi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2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42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42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2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842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842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unhideWhenUsed/>
    <w:rsid w:val="008842AB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842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42AB"/>
    <w:rPr>
      <w:vertAlign w:val="superscript"/>
    </w:rPr>
  </w:style>
  <w:style w:type="paragraph" w:styleId="ListParagraph">
    <w:name w:val="List Paragraph"/>
    <w:basedOn w:val="Normal"/>
    <w:uiPriority w:val="34"/>
    <w:qFormat/>
    <w:rsid w:val="008842AB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884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4">
    <w:name w:val="Light Grid Accent 4"/>
    <w:basedOn w:val="TableNormal"/>
    <w:uiPriority w:val="62"/>
    <w:rsid w:val="008842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842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2AB"/>
    <w:rPr>
      <w:rFonts w:ascii="Tahoma" w:eastAsiaTheme="minorEastAsi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842AB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rsid w:val="008842A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842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2A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42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2AB"/>
    <w:rPr>
      <w:rFonts w:eastAsiaTheme="minorEastAsia"/>
    </w:rPr>
  </w:style>
  <w:style w:type="character" w:styleId="EndnoteReference">
    <w:name w:val="endnote reference"/>
    <w:uiPriority w:val="99"/>
    <w:semiHidden/>
    <w:rsid w:val="008842AB"/>
    <w:rPr>
      <w:vertAlign w:val="superscript"/>
    </w:rPr>
  </w:style>
  <w:style w:type="paragraph" w:styleId="EndnoteText">
    <w:name w:val="endnote text"/>
    <w:basedOn w:val="Normal"/>
    <w:link w:val="EndnoteTextChar"/>
    <w:rsid w:val="00884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842AB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8842AB"/>
    <w:pPr>
      <w:bidi/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582;&#1591;&#1577;%20&#1575;&#1604;&#1578;&#1606;&#1605;&#1610;&#1577;%20&#1575;&#1604;&#1575;&#1602;&#1578;&#1589;&#1575;&#1583;&#1610;&#1577;%20&#1608;&#1575;&#1604;&#1575;&#1580;&#1578;&#1605;&#1575;&#1593;&#1610;&#1577;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en-US" sz="1400"/>
            </a:pPr>
            <a:r>
              <a:rPr lang="ar-EG" sz="1400" b="0"/>
              <a:t>شكل (4-1) التوزيع النسبي للاستثمارات الكلية المنفذة خلال العام</a:t>
            </a:r>
            <a:r>
              <a:rPr lang="ar-EG" sz="1400" b="0" baseline="0"/>
              <a:t> المالي 2016/2015</a:t>
            </a:r>
            <a:endParaRPr lang="ar-EG" sz="1400" b="0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Sheet1!$B$9</c:f>
              <c:strCache>
                <c:ptCount val="1"/>
                <c:pt idx="0">
                  <c:v>التوزيع النسبي للاستثمارات خلال عام 2013/2014</c:v>
                </c:pt>
              </c:strCache>
            </c:strRef>
          </c:tx>
          <c:spPr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dPt>
            <c:idx val="3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solidFill>
                  <a:schemeClr val="tx2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5.0817257217850118E-2"/>
                  <c:y val="-8.7820793234179208E-3"/>
                </c:manualLayout>
              </c:layout>
              <c:tx>
                <c:rich>
                  <a:bodyPr/>
                  <a:lstStyle/>
                  <a:p>
                    <a:r>
                      <a:rPr lang="ar-EG">
                        <a:latin typeface="Simplified Arabic" pitchFamily="18" charset="-78"/>
                        <a:cs typeface="Simplified Arabic" pitchFamily="18" charset="-78"/>
                      </a:rPr>
                      <a:t>القطاع الحكومي</a:t>
                    </a:r>
                    <a:r>
                      <a:rPr lang="ar-EG" baseline="0">
                        <a:latin typeface="Simplified Arabic" pitchFamily="18" charset="-78"/>
                        <a:cs typeface="Simplified Arabic" pitchFamily="18" charset="-78"/>
                      </a:rPr>
                      <a:t> 17.5</a:t>
                    </a:r>
                    <a:r>
                      <a:rPr lang="ar-EG">
                        <a:latin typeface="Simplified Arabic" pitchFamily="18" charset="-78"/>
                        <a:cs typeface="Simplified Arabic" pitchFamily="18" charset="-78"/>
                      </a:rPr>
                      <a:t>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5659230096237992E-2"/>
                  <c:y val="1.6535068533100043E-2"/>
                </c:manualLayout>
              </c:layout>
              <c:tx>
                <c:rich>
                  <a:bodyPr/>
                  <a:lstStyle/>
                  <a:p>
                    <a:r>
                      <a:rPr lang="ar-EG">
                        <a:latin typeface="Simplified Arabic" pitchFamily="18" charset="-78"/>
                        <a:cs typeface="Simplified Arabic" pitchFamily="18" charset="-78"/>
                      </a:rPr>
                      <a:t>الشركات العامة 
8.5%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566098945660997E-2"/>
                  <c:y val="7.381002007102059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3706407137064083E-2"/>
                  <c:y val="-0.35904585456229726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rtl="1">
                  <a:defRPr lang="en-US">
                    <a:latin typeface="Simplified Arabic" pitchFamily="18" charset="-78"/>
                    <a:cs typeface="Simplified Arabic" pitchFamily="18" charset="-78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Sheet1!$A$10:$A$13</c:f>
              <c:strCache>
                <c:ptCount val="4"/>
                <c:pt idx="0">
                  <c:v>القطاع الحكومي</c:v>
                </c:pt>
                <c:pt idx="1">
                  <c:v>الشركات العامة </c:v>
                </c:pt>
                <c:pt idx="2">
                  <c:v>الهيئات الاقتصادية العامة</c:v>
                </c:pt>
                <c:pt idx="3">
                  <c:v>القطاع الخاص </c:v>
                </c:pt>
              </c:strCache>
            </c:strRef>
          </c:cat>
          <c:val>
            <c:numRef>
              <c:f>Sheet1!$B$10:$B$13</c:f>
              <c:numCache>
                <c:formatCode>General</c:formatCode>
                <c:ptCount val="4"/>
                <c:pt idx="0">
                  <c:v>17.5</c:v>
                </c:pt>
                <c:pt idx="1">
                  <c:v>8.5</c:v>
                </c:pt>
                <c:pt idx="2">
                  <c:v>16</c:v>
                </c:pt>
                <c:pt idx="3">
                  <c:v>58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en-US" sz="1400"/>
            </a:pPr>
            <a:r>
              <a:rPr lang="ar-EG" sz="1400" b="0"/>
              <a:t>شكل (4-3) التوزيع النسبي للاستثمارات المنفذة في قطاع التعليم خلال العام المالي 2016/2015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Sheet2!$B$148</c:f>
              <c:strCache>
                <c:ptCount val="1"/>
                <c:pt idx="0">
                  <c:v>التوزيع النسبي للاستثمارات المنفذة في قطاع التعليم 2016/2015</c:v>
                </c:pt>
              </c:strCache>
            </c:strRef>
          </c:tx>
          <c:spPr>
            <a:ln>
              <a:solidFill>
                <a:schemeClr val="tx2">
                  <a:lumMod val="40000"/>
                  <a:lumOff val="60000"/>
                </a:schemeClr>
              </a:solidFill>
            </a:ln>
          </c:spPr>
          <c:dPt>
            <c:idx val="0"/>
            <c:bubble3D val="0"/>
            <c:explosion val="9"/>
          </c:dPt>
          <c:dLbls>
            <c:dLbl>
              <c:idx val="0"/>
              <c:layout>
                <c:manualLayout>
                  <c:x val="-6.0786865436978534E-5"/>
                  <c:y val="-5.5804899387576552E-2"/>
                </c:manualLayout>
              </c:layout>
              <c:tx>
                <c:rich>
                  <a:bodyPr/>
                  <a:lstStyle/>
                  <a:p>
                    <a:r>
                      <a:rPr lang="ar-EG"/>
                      <a:t>الخاص 
41.1%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4906185946610647E-3"/>
                  <c:y val="-0.11979257801108205"/>
                </c:manualLayout>
              </c:layout>
              <c:tx>
                <c:rich>
                  <a:bodyPr/>
                  <a:lstStyle/>
                  <a:p>
                    <a:r>
                      <a:rPr lang="ar-EG"/>
                      <a:t>العام 
58.9%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Sheet2!$A$149:$A$150</c:f>
              <c:strCache>
                <c:ptCount val="2"/>
                <c:pt idx="0">
                  <c:v>الخاص </c:v>
                </c:pt>
                <c:pt idx="1">
                  <c:v>العام </c:v>
                </c:pt>
              </c:strCache>
            </c:strRef>
          </c:cat>
          <c:val>
            <c:numRef>
              <c:f>Sheet2!$B$149:$B$150</c:f>
              <c:numCache>
                <c:formatCode>0.00%</c:formatCode>
                <c:ptCount val="2"/>
                <c:pt idx="0">
                  <c:v>0.41100000000000031</c:v>
                </c:pt>
                <c:pt idx="1">
                  <c:v>0.58899999999999997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94685039370091"/>
          <c:y val="0.12569724648501221"/>
          <c:w val="0.83749759405074353"/>
          <c:h val="0.43745608721986845"/>
        </c:manualLayout>
      </c:layout>
      <c:barChart>
        <c:barDir val="col"/>
        <c:grouping val="stacked"/>
        <c:varyColors val="0"/>
        <c:ser>
          <c:idx val="0"/>
          <c:order val="0"/>
          <c:invertIfNegative val="0"/>
          <c:cat>
            <c:strRef>
              <c:f>Sheet1!$A$1:$A$9</c:f>
              <c:strCache>
                <c:ptCount val="9"/>
                <c:pt idx="0">
                  <c:v>التعليم</c:v>
                </c:pt>
                <c:pt idx="1">
                  <c:v>البيئة</c:v>
                </c:pt>
                <c:pt idx="2">
                  <c:v>الصحة</c:v>
                </c:pt>
                <c:pt idx="3">
                  <c:v>تحسين سلاسل الامداد للشركة</c:v>
                </c:pt>
                <c:pt idx="4">
                  <c:v>دعم المشروعات الصغيرة والمتوسطة</c:v>
                </c:pt>
                <c:pt idx="5">
                  <c:v>رعاية موظفو الشركة</c:v>
                </c:pt>
                <c:pt idx="6">
                  <c:v>تقديم خدمات لعملاء الشركة</c:v>
                </c:pt>
                <c:pt idx="7">
                  <c:v>الالتزام الضريبى والمساهمة فى المشروعات القومية للدولة</c:v>
                </c:pt>
                <c:pt idx="8">
                  <c:v>أنشطة خيرية</c:v>
                </c:pt>
              </c:strCache>
            </c:strRef>
          </c:cat>
          <c:val>
            <c:numRef>
              <c:f>Sheet1!$B$1:$B$9</c:f>
              <c:numCache>
                <c:formatCode>0.0</c:formatCode>
                <c:ptCount val="9"/>
                <c:pt idx="0">
                  <c:v>40</c:v>
                </c:pt>
                <c:pt idx="1">
                  <c:v>3.6363636363636327</c:v>
                </c:pt>
                <c:pt idx="2">
                  <c:v>12.727272727272693</c:v>
                </c:pt>
                <c:pt idx="3">
                  <c:v>10.909090909090922</c:v>
                </c:pt>
                <c:pt idx="4">
                  <c:v>7.2727272727272725</c:v>
                </c:pt>
                <c:pt idx="5">
                  <c:v>5.4545454545454444</c:v>
                </c:pt>
                <c:pt idx="6">
                  <c:v>3.6363636363636327</c:v>
                </c:pt>
                <c:pt idx="7">
                  <c:v>12.727272727272693</c:v>
                </c:pt>
                <c:pt idx="8">
                  <c:v>3.6363636363636327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overlap val="100"/>
        <c:serLines/>
        <c:axId val="69204608"/>
        <c:axId val="69284224"/>
      </c:barChart>
      <c:catAx>
        <c:axId val="692046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69284224"/>
        <c:crosses val="autoZero"/>
        <c:auto val="1"/>
        <c:lblAlgn val="ctr"/>
        <c:lblOffset val="100"/>
        <c:noMultiLvlLbl val="0"/>
      </c:catAx>
      <c:valAx>
        <c:axId val="6928422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ar-EG"/>
                  <a:t>%</a:t>
                </a:r>
                <a:endParaRPr lang="en-US"/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692046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176</Pages>
  <Words>46973</Words>
  <Characters>267747</Characters>
  <Application>Microsoft Office Word</Application>
  <DocSecurity>4</DocSecurity>
  <Lines>2231</Lines>
  <Paragraphs>628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2017-09-25T08:34:00Z</cp:lastPrinted>
  <dcterms:created xsi:type="dcterms:W3CDTF">2019-10-23T08:57:00Z</dcterms:created>
  <dcterms:modified xsi:type="dcterms:W3CDTF">2019-10-23T08:57:00Z</dcterms:modified>
</cp:coreProperties>
</file>