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Mudir MT">
    <w:altName w:val="Times New Roman"/>
    <w:charset w:val="B2"/>
    <w:family w:val="auto"/>
    <w:pitch w:val="variable"/>
    <w:sig w:usb0="00002001" w:usb1="00000000" w:usb2="00000000" w:usb3="00000000" w:csb0="00000040" w:csb1="00000000"/>
  </w:font>
  <w:font w:name="Akhbar MT">
    <w:altName w:val="Times New Roman"/>
    <w:charset w:val="B2"/>
    <w:family w:val="auto"/>
    <w:pitch w:val="variable"/>
    <w:sig w:usb0="00002000" w:usb1="00000000" w:usb2="00000000"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AE8"/>
    <w:multiLevelType w:val="hybridMultilevel"/>
    <w:tmpl w:val="BAEA1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2652F"/>
    <w:multiLevelType w:val="hybridMultilevel"/>
    <w:tmpl w:val="5D0299C6"/>
    <w:lvl w:ilvl="0" w:tplc="0E80AA44">
      <w:start w:val="1"/>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BB7610"/>
    <w:multiLevelType w:val="hybridMultilevel"/>
    <w:tmpl w:val="9BCA2E04"/>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3">
    <w:nsid w:val="0BAC7D0F"/>
    <w:multiLevelType w:val="hybridMultilevel"/>
    <w:tmpl w:val="AD0E7096"/>
    <w:lvl w:ilvl="0" w:tplc="4A54D88A">
      <w:start w:val="1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C15E48"/>
    <w:multiLevelType w:val="hybridMultilevel"/>
    <w:tmpl w:val="BE22B648"/>
    <w:lvl w:ilvl="0" w:tplc="F6107324">
      <w:start w:val="1"/>
      <w:numFmt w:val="arabicAlpha"/>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F13A07"/>
    <w:multiLevelType w:val="hybridMultilevel"/>
    <w:tmpl w:val="4E882ACA"/>
    <w:lvl w:ilvl="0" w:tplc="A9B05788">
      <w:numFmt w:val="bullet"/>
      <w:lvlText w:val=""/>
      <w:lvlJc w:val="left"/>
      <w:pPr>
        <w:ind w:left="720" w:hanging="360"/>
      </w:pPr>
      <w:rPr>
        <w:rFonts w:ascii="Symbol" w:eastAsia="Calibr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2A15B9"/>
    <w:multiLevelType w:val="hybridMultilevel"/>
    <w:tmpl w:val="11F8CA2E"/>
    <w:lvl w:ilvl="0" w:tplc="04090005">
      <w:start w:val="1"/>
      <w:numFmt w:val="bullet"/>
      <w:lvlText w:val=""/>
      <w:lvlJc w:val="left"/>
      <w:pPr>
        <w:ind w:left="4074" w:hanging="360"/>
      </w:pPr>
      <w:rPr>
        <w:rFonts w:ascii="Wingdings" w:hAnsi="Wingdings" w:hint="default"/>
      </w:rPr>
    </w:lvl>
    <w:lvl w:ilvl="1" w:tplc="04090003">
      <w:start w:val="1"/>
      <w:numFmt w:val="bullet"/>
      <w:lvlText w:val="o"/>
      <w:lvlJc w:val="left"/>
      <w:pPr>
        <w:ind w:left="4794" w:hanging="360"/>
      </w:pPr>
      <w:rPr>
        <w:rFonts w:ascii="Courier New" w:hAnsi="Courier New" w:cs="Courier New" w:hint="default"/>
      </w:rPr>
    </w:lvl>
    <w:lvl w:ilvl="2" w:tplc="04090005">
      <w:start w:val="1"/>
      <w:numFmt w:val="bullet"/>
      <w:lvlText w:val=""/>
      <w:lvlJc w:val="left"/>
      <w:pPr>
        <w:ind w:left="5514" w:hanging="360"/>
      </w:pPr>
      <w:rPr>
        <w:rFonts w:ascii="Wingdings" w:hAnsi="Wingdings" w:hint="default"/>
      </w:rPr>
    </w:lvl>
    <w:lvl w:ilvl="3" w:tplc="04090001">
      <w:start w:val="1"/>
      <w:numFmt w:val="bullet"/>
      <w:lvlText w:val=""/>
      <w:lvlJc w:val="left"/>
      <w:pPr>
        <w:ind w:left="6234" w:hanging="360"/>
      </w:pPr>
      <w:rPr>
        <w:rFonts w:ascii="Symbol" w:hAnsi="Symbol" w:hint="default"/>
      </w:rPr>
    </w:lvl>
    <w:lvl w:ilvl="4" w:tplc="04090003">
      <w:start w:val="1"/>
      <w:numFmt w:val="bullet"/>
      <w:lvlText w:val="o"/>
      <w:lvlJc w:val="left"/>
      <w:pPr>
        <w:ind w:left="6954" w:hanging="360"/>
      </w:pPr>
      <w:rPr>
        <w:rFonts w:ascii="Courier New" w:hAnsi="Courier New" w:cs="Courier New" w:hint="default"/>
      </w:rPr>
    </w:lvl>
    <w:lvl w:ilvl="5" w:tplc="04090005">
      <w:start w:val="1"/>
      <w:numFmt w:val="bullet"/>
      <w:lvlText w:val=""/>
      <w:lvlJc w:val="left"/>
      <w:pPr>
        <w:ind w:left="7674" w:hanging="360"/>
      </w:pPr>
      <w:rPr>
        <w:rFonts w:ascii="Wingdings" w:hAnsi="Wingdings" w:hint="default"/>
      </w:rPr>
    </w:lvl>
    <w:lvl w:ilvl="6" w:tplc="04090001">
      <w:start w:val="1"/>
      <w:numFmt w:val="bullet"/>
      <w:lvlText w:val=""/>
      <w:lvlJc w:val="left"/>
      <w:pPr>
        <w:ind w:left="8394" w:hanging="360"/>
      </w:pPr>
      <w:rPr>
        <w:rFonts w:ascii="Symbol" w:hAnsi="Symbol" w:hint="default"/>
      </w:rPr>
    </w:lvl>
    <w:lvl w:ilvl="7" w:tplc="04090003">
      <w:start w:val="1"/>
      <w:numFmt w:val="bullet"/>
      <w:lvlText w:val="o"/>
      <w:lvlJc w:val="left"/>
      <w:pPr>
        <w:ind w:left="9114" w:hanging="360"/>
      </w:pPr>
      <w:rPr>
        <w:rFonts w:ascii="Courier New" w:hAnsi="Courier New" w:cs="Courier New" w:hint="default"/>
      </w:rPr>
    </w:lvl>
    <w:lvl w:ilvl="8" w:tplc="04090005">
      <w:start w:val="1"/>
      <w:numFmt w:val="bullet"/>
      <w:lvlText w:val=""/>
      <w:lvlJc w:val="left"/>
      <w:pPr>
        <w:ind w:left="9834" w:hanging="360"/>
      </w:pPr>
      <w:rPr>
        <w:rFonts w:ascii="Wingdings" w:hAnsi="Wingdings" w:hint="default"/>
      </w:rPr>
    </w:lvl>
  </w:abstractNum>
  <w:abstractNum w:abstractNumId="7">
    <w:nsid w:val="1C8A1909"/>
    <w:multiLevelType w:val="hybridMultilevel"/>
    <w:tmpl w:val="F8A228F0"/>
    <w:lvl w:ilvl="0" w:tplc="E5DCC6EC">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0522D1"/>
    <w:multiLevelType w:val="hybridMultilevel"/>
    <w:tmpl w:val="EE5E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1F1937"/>
    <w:multiLevelType w:val="hybridMultilevel"/>
    <w:tmpl w:val="F07C7684"/>
    <w:lvl w:ilvl="0" w:tplc="8F485E10">
      <w:start w:val="1"/>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24993B19"/>
    <w:multiLevelType w:val="hybridMultilevel"/>
    <w:tmpl w:val="FA8ED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76B0081"/>
    <w:multiLevelType w:val="hybridMultilevel"/>
    <w:tmpl w:val="F336E0E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ADD2332"/>
    <w:multiLevelType w:val="hybridMultilevel"/>
    <w:tmpl w:val="CAF829BC"/>
    <w:lvl w:ilvl="0" w:tplc="23585F5C">
      <w:start w:val="1"/>
      <w:numFmt w:val="arabicAlpha"/>
      <w:lvlText w:val="%1-"/>
      <w:lvlJc w:val="left"/>
      <w:pPr>
        <w:tabs>
          <w:tab w:val="num" w:pos="750"/>
        </w:tabs>
        <w:ind w:left="750" w:hanging="390"/>
      </w:pPr>
      <w:rPr>
        <w:rFonts w:hint="default"/>
      </w:rPr>
    </w:lvl>
    <w:lvl w:ilvl="1" w:tplc="98244956">
      <w:start w:val="1"/>
      <w:numFmt w:val="bullet"/>
      <w:lvlText w:val="-"/>
      <w:lvlJc w:val="left"/>
      <w:pPr>
        <w:tabs>
          <w:tab w:val="num" w:pos="420"/>
        </w:tabs>
        <w:ind w:left="420" w:hanging="420"/>
      </w:pPr>
      <w:rPr>
        <w:rFonts w:ascii="Times New Roman" w:eastAsia="Times New Roman" w:hAnsi="Times New Roman" w:cs="Simplified Arabic" w:hint="default"/>
        <w:b/>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2A41AE"/>
    <w:multiLevelType w:val="hybridMultilevel"/>
    <w:tmpl w:val="F30A6130"/>
    <w:lvl w:ilvl="0" w:tplc="8F485E10">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nsid w:val="2F87096C"/>
    <w:multiLevelType w:val="hybridMultilevel"/>
    <w:tmpl w:val="6964BE6A"/>
    <w:lvl w:ilvl="0" w:tplc="0E80AA44">
      <w:start w:val="1"/>
      <w:numFmt w:val="bullet"/>
      <w:lvlText w:val="-"/>
      <w:lvlJc w:val="left"/>
      <w:pPr>
        <w:ind w:left="720" w:hanging="360"/>
      </w:pPr>
      <w:rPr>
        <w:rFonts w:ascii="Times New Roman" w:eastAsia="Times New Roman" w:hAnsi="Times New Roman"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8952FB"/>
    <w:multiLevelType w:val="hybridMultilevel"/>
    <w:tmpl w:val="FE3AC32A"/>
    <w:lvl w:ilvl="0" w:tplc="A9B40876">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A0452E"/>
    <w:multiLevelType w:val="hybridMultilevel"/>
    <w:tmpl w:val="C1FC86A6"/>
    <w:lvl w:ilvl="0" w:tplc="23585F5C">
      <w:start w:val="1"/>
      <w:numFmt w:val="arabicAlpha"/>
      <w:lvlText w:val="%1-"/>
      <w:lvlJc w:val="left"/>
      <w:pPr>
        <w:tabs>
          <w:tab w:val="num" w:pos="750"/>
        </w:tabs>
        <w:ind w:left="750" w:hanging="390"/>
      </w:pPr>
      <w:rPr>
        <w:rFonts w:hint="default"/>
      </w:rPr>
    </w:lvl>
    <w:lvl w:ilvl="1" w:tplc="5E7C5512">
      <w:start w:val="1"/>
      <w:numFmt w:val="decimal"/>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BD27D0"/>
    <w:multiLevelType w:val="hybridMultilevel"/>
    <w:tmpl w:val="01461AD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84F6889"/>
    <w:multiLevelType w:val="hybridMultilevel"/>
    <w:tmpl w:val="73BEBF3E"/>
    <w:lvl w:ilvl="0" w:tplc="1C80D08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38571A1C"/>
    <w:multiLevelType w:val="hybridMultilevel"/>
    <w:tmpl w:val="F2485246"/>
    <w:lvl w:ilvl="0" w:tplc="A89859E4">
      <w:numFmt w:val="bullet"/>
      <w:lvlText w:val=""/>
      <w:lvlJc w:val="left"/>
      <w:pPr>
        <w:ind w:left="720" w:hanging="360"/>
      </w:pPr>
      <w:rPr>
        <w:rFonts w:ascii="Symbol" w:eastAsia="Calibr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262598"/>
    <w:multiLevelType w:val="hybridMultilevel"/>
    <w:tmpl w:val="E85A645E"/>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nsid w:val="3A0A6121"/>
    <w:multiLevelType w:val="hybridMultilevel"/>
    <w:tmpl w:val="9C341706"/>
    <w:lvl w:ilvl="0" w:tplc="98244956">
      <w:start w:val="1"/>
      <w:numFmt w:val="bullet"/>
      <w:lvlText w:val="-"/>
      <w:lvlJc w:val="left"/>
      <w:pPr>
        <w:tabs>
          <w:tab w:val="num" w:pos="720"/>
        </w:tabs>
        <w:ind w:left="720" w:hanging="360"/>
      </w:pPr>
      <w:rPr>
        <w:rFonts w:ascii="Times New Roman" w:eastAsia="Times New Roman" w:hAnsi="Times New Roman" w:cs="Simplified Arabic" w:hint="default"/>
        <w:b/>
        <w:bCs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AFD3B08"/>
    <w:multiLevelType w:val="hybridMultilevel"/>
    <w:tmpl w:val="83109BD6"/>
    <w:lvl w:ilvl="0" w:tplc="0B24E73E">
      <w:start w:val="1"/>
      <w:numFmt w:val="decimal"/>
      <w:lvlText w:val="%1."/>
      <w:lvlJc w:val="left"/>
      <w:pPr>
        <w:ind w:left="630" w:hanging="360"/>
      </w:pPr>
      <w:rPr>
        <w:rFonts w:ascii="Simplified Arabic" w:hAnsi="Simplified Arabic" w:cs="Simplified Arabic" w:hint="default"/>
        <w:color w:val="auto"/>
        <w:sz w:val="28"/>
        <w:szCs w:val="28"/>
        <w:lang w:bidi="ar-EG"/>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nsid w:val="3DD42FE4"/>
    <w:multiLevelType w:val="hybridMultilevel"/>
    <w:tmpl w:val="E948F770"/>
    <w:lvl w:ilvl="0" w:tplc="8F485E10">
      <w:start w:val="1"/>
      <w:numFmt w:val="bullet"/>
      <w:lvlText w:val="-"/>
      <w:lvlJc w:val="left"/>
      <w:pPr>
        <w:ind w:left="720" w:hanging="360"/>
      </w:pPr>
      <w:rPr>
        <w:rFonts w:ascii="Times New Roman" w:eastAsia="Times New Roman" w:hAnsi="Times New Roman" w:cs="Times New Roman" w:hint="default"/>
      </w:rPr>
    </w:lvl>
    <w:lvl w:ilvl="1" w:tplc="737864D6">
      <w:start w:val="1"/>
      <w:numFmt w:val="arabicAlpha"/>
      <w:lvlText w:val="%2."/>
      <w:lvlJc w:val="left"/>
      <w:pPr>
        <w:ind w:left="1440" w:hanging="360"/>
      </w:pPr>
      <w:rPr>
        <w:rFonts w:hint="default"/>
        <w:b/>
        <w:bCs/>
        <w:lang w:val="en-U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ED327F"/>
    <w:multiLevelType w:val="hybridMultilevel"/>
    <w:tmpl w:val="EFE816A8"/>
    <w:lvl w:ilvl="0" w:tplc="0E80AA44">
      <w:start w:val="1"/>
      <w:numFmt w:val="bullet"/>
      <w:lvlText w:val="-"/>
      <w:lvlJc w:val="left"/>
      <w:pPr>
        <w:ind w:left="720" w:hanging="360"/>
      </w:pPr>
      <w:rPr>
        <w:rFonts w:ascii="Times New Roman" w:eastAsia="Times New Roman" w:hAnsi="Times New Roman"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E0345B"/>
    <w:multiLevelType w:val="hybridMultilevel"/>
    <w:tmpl w:val="0AE2CC6C"/>
    <w:lvl w:ilvl="0" w:tplc="E09E8C1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5341581"/>
    <w:multiLevelType w:val="hybridMultilevel"/>
    <w:tmpl w:val="42C2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747DDC"/>
    <w:multiLevelType w:val="hybridMultilevel"/>
    <w:tmpl w:val="16D64F18"/>
    <w:lvl w:ilvl="0" w:tplc="CB54E7BE">
      <w:start w:val="5"/>
      <w:numFmt w:val="arabicAlpha"/>
      <w:lvlText w:val="%1."/>
      <w:lvlJc w:val="left"/>
      <w:pPr>
        <w:ind w:left="1364" w:hanging="360"/>
      </w:pPr>
      <w:rPr>
        <w:rFonts w:hint="default"/>
      </w:rPr>
    </w:lvl>
    <w:lvl w:ilvl="1" w:tplc="04090019">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8">
    <w:nsid w:val="4B6D577E"/>
    <w:multiLevelType w:val="hybridMultilevel"/>
    <w:tmpl w:val="FC307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13356D3"/>
    <w:multiLevelType w:val="hybridMultilevel"/>
    <w:tmpl w:val="B7E6682A"/>
    <w:lvl w:ilvl="0" w:tplc="8D52FBE2">
      <w:numFmt w:val="bullet"/>
      <w:lvlText w:val=""/>
      <w:lvlJc w:val="left"/>
      <w:pPr>
        <w:ind w:left="720" w:hanging="360"/>
      </w:pPr>
      <w:rPr>
        <w:rFonts w:ascii="Symbol" w:eastAsia="Calibr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5A1A33"/>
    <w:multiLevelType w:val="hybridMultilevel"/>
    <w:tmpl w:val="FE361512"/>
    <w:lvl w:ilvl="0" w:tplc="B1A6D4A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2681BD9"/>
    <w:multiLevelType w:val="hybridMultilevel"/>
    <w:tmpl w:val="FE0A73D6"/>
    <w:lvl w:ilvl="0" w:tplc="08090001">
      <w:start w:val="1"/>
      <w:numFmt w:val="bullet"/>
      <w:lvlText w:val=""/>
      <w:lvlJc w:val="left"/>
      <w:pPr>
        <w:ind w:left="800" w:hanging="360"/>
      </w:pPr>
      <w:rPr>
        <w:rFonts w:ascii="Symbol" w:hAnsi="Symbol" w:hint="default"/>
      </w:rPr>
    </w:lvl>
    <w:lvl w:ilvl="1" w:tplc="08090003">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2">
    <w:nsid w:val="53314BD3"/>
    <w:multiLevelType w:val="hybridMultilevel"/>
    <w:tmpl w:val="5906C77E"/>
    <w:lvl w:ilvl="0" w:tplc="8F485E10">
      <w:start w:val="1"/>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3">
    <w:nsid w:val="575E6E8B"/>
    <w:multiLevelType w:val="hybridMultilevel"/>
    <w:tmpl w:val="F5B4BEA8"/>
    <w:lvl w:ilvl="0" w:tplc="BDACF7E6">
      <w:start w:val="6"/>
      <w:numFmt w:val="bullet"/>
      <w:lvlText w:val="-"/>
      <w:lvlJc w:val="left"/>
      <w:pPr>
        <w:ind w:left="435" w:hanging="360"/>
      </w:pPr>
      <w:rPr>
        <w:rFonts w:ascii="Traditional Arabic" w:eastAsiaTheme="minorHAnsi" w:hAnsi="Traditional Arabic"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4">
    <w:nsid w:val="592A714B"/>
    <w:multiLevelType w:val="hybridMultilevel"/>
    <w:tmpl w:val="4852ED42"/>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35">
    <w:nsid w:val="5E187DA0"/>
    <w:multiLevelType w:val="hybridMultilevel"/>
    <w:tmpl w:val="B134B24E"/>
    <w:lvl w:ilvl="0" w:tplc="F04C53EA">
      <w:start w:val="8"/>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267B5B"/>
    <w:multiLevelType w:val="hybridMultilevel"/>
    <w:tmpl w:val="00A29794"/>
    <w:lvl w:ilvl="0" w:tplc="EA4037F4">
      <w:start w:val="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0672E6"/>
    <w:multiLevelType w:val="hybridMultilevel"/>
    <w:tmpl w:val="ADBA68A4"/>
    <w:lvl w:ilvl="0" w:tplc="04090013">
      <w:start w:val="1"/>
      <w:numFmt w:val="arabicAlpha"/>
      <w:lvlText w:val="%1-"/>
      <w:lvlJc w:val="center"/>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68265B3"/>
    <w:multiLevelType w:val="hybridMultilevel"/>
    <w:tmpl w:val="BD306994"/>
    <w:lvl w:ilvl="0" w:tplc="737864D6">
      <w:start w:val="1"/>
      <w:numFmt w:val="arabicAlpha"/>
      <w:lvlText w:val="%1."/>
      <w:lvlJc w:val="left"/>
      <w:pPr>
        <w:ind w:left="72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1308D3"/>
    <w:multiLevelType w:val="hybridMultilevel"/>
    <w:tmpl w:val="29EEE976"/>
    <w:lvl w:ilvl="0" w:tplc="5298E4E0">
      <w:start w:val="27"/>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20122E"/>
    <w:multiLevelType w:val="hybridMultilevel"/>
    <w:tmpl w:val="50DA2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7E62B1"/>
    <w:multiLevelType w:val="hybridMultilevel"/>
    <w:tmpl w:val="6DB4EECC"/>
    <w:lvl w:ilvl="0" w:tplc="8028E360">
      <w:start w:val="26"/>
      <w:numFmt w:val="arabicAlph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9CB6302"/>
    <w:multiLevelType w:val="hybridMultilevel"/>
    <w:tmpl w:val="0C2C42CA"/>
    <w:lvl w:ilvl="0" w:tplc="DC2C4122">
      <w:start w:val="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1508A2"/>
    <w:multiLevelType w:val="hybridMultilevel"/>
    <w:tmpl w:val="B772FEE4"/>
    <w:lvl w:ilvl="0" w:tplc="95660A98">
      <w:start w:val="1"/>
      <w:numFmt w:val="arabicAlpha"/>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F5E3D65"/>
    <w:multiLevelType w:val="hybridMultilevel"/>
    <w:tmpl w:val="B9BCF73E"/>
    <w:lvl w:ilvl="0" w:tplc="FB349D80">
      <w:numFmt w:val="bullet"/>
      <w:lvlText w:val="-"/>
      <w:lvlJc w:val="left"/>
      <w:pPr>
        <w:tabs>
          <w:tab w:val="num" w:pos="720"/>
        </w:tabs>
        <w:ind w:left="720" w:hanging="360"/>
      </w:pPr>
      <w:rPr>
        <w:rFonts w:ascii="Simplified Arabic" w:eastAsia="Times New Roman" w:hAnsi="Simplified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F6A7FAF"/>
    <w:multiLevelType w:val="hybridMultilevel"/>
    <w:tmpl w:val="5A40D95C"/>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46">
    <w:nsid w:val="70455276"/>
    <w:multiLevelType w:val="hybridMultilevel"/>
    <w:tmpl w:val="2B747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70997142"/>
    <w:multiLevelType w:val="hybridMultilevel"/>
    <w:tmpl w:val="B41AE1C8"/>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8">
    <w:nsid w:val="71650EFF"/>
    <w:multiLevelType w:val="hybridMultilevel"/>
    <w:tmpl w:val="F6F6EBBA"/>
    <w:lvl w:ilvl="0" w:tplc="98244956">
      <w:start w:val="1"/>
      <w:numFmt w:val="bullet"/>
      <w:lvlText w:val="-"/>
      <w:lvlJc w:val="left"/>
      <w:pPr>
        <w:ind w:left="720" w:hanging="360"/>
      </w:pPr>
      <w:rPr>
        <w:rFonts w:ascii="Times New Roman" w:eastAsia="Times New Roman" w:hAnsi="Times New Roman" w:cs="Simplified Arabic"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1D53A9A"/>
    <w:multiLevelType w:val="hybridMultilevel"/>
    <w:tmpl w:val="8522CB0E"/>
    <w:lvl w:ilvl="0" w:tplc="B6EE4CF6">
      <w:start w:val="1"/>
      <w:numFmt w:val="decimal"/>
      <w:lvlText w:val="%1-"/>
      <w:lvlJc w:val="left"/>
      <w:pPr>
        <w:ind w:left="1211" w:hanging="360"/>
      </w:pPr>
      <w:rPr>
        <w:rFonts w:hint="default"/>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E36D23"/>
    <w:multiLevelType w:val="hybridMultilevel"/>
    <w:tmpl w:val="302C9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734613E0"/>
    <w:multiLevelType w:val="hybridMultilevel"/>
    <w:tmpl w:val="36E2FD2C"/>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2">
    <w:nsid w:val="74036D3C"/>
    <w:multiLevelType w:val="hybridMultilevel"/>
    <w:tmpl w:val="BAD61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7D03C02"/>
    <w:multiLevelType w:val="hybridMultilevel"/>
    <w:tmpl w:val="94E6D1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79365904"/>
    <w:multiLevelType w:val="hybridMultilevel"/>
    <w:tmpl w:val="5BAEB6A0"/>
    <w:lvl w:ilvl="0" w:tplc="8F485E1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95E6B4F"/>
    <w:multiLevelType w:val="hybridMultilevel"/>
    <w:tmpl w:val="1B82D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D5E63E7"/>
    <w:multiLevelType w:val="hybridMultilevel"/>
    <w:tmpl w:val="C8F84ED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7">
    <w:nsid w:val="7E845105"/>
    <w:multiLevelType w:val="hybridMultilevel"/>
    <w:tmpl w:val="C352D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7F2F7097"/>
    <w:multiLevelType w:val="hybridMultilevel"/>
    <w:tmpl w:val="0212A878"/>
    <w:lvl w:ilvl="0" w:tplc="748206D8">
      <w:numFmt w:val="bullet"/>
      <w:lvlText w:val="-"/>
      <w:lvlJc w:val="left"/>
      <w:pPr>
        <w:tabs>
          <w:tab w:val="num" w:pos="720"/>
        </w:tabs>
        <w:ind w:left="720" w:hanging="360"/>
      </w:pPr>
      <w:rPr>
        <w:rFonts w:ascii="Simplified Arabic" w:eastAsia="Times New Roman" w:hAnsi="Simplified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FF8142E"/>
    <w:multiLevelType w:val="hybridMultilevel"/>
    <w:tmpl w:val="93F49282"/>
    <w:lvl w:ilvl="0" w:tplc="04090001">
      <w:start w:val="1"/>
      <w:numFmt w:val="bullet"/>
      <w:lvlText w:val=""/>
      <w:lvlJc w:val="left"/>
      <w:pPr>
        <w:ind w:left="1250" w:hanging="360"/>
      </w:pPr>
      <w:rPr>
        <w:rFonts w:ascii="Symbol" w:hAnsi="Symbol" w:hint="default"/>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num w:numId="1">
    <w:abstractNumId w:val="9"/>
  </w:num>
  <w:num w:numId="2">
    <w:abstractNumId w:val="30"/>
  </w:num>
  <w:num w:numId="3">
    <w:abstractNumId w:val="51"/>
  </w:num>
  <w:num w:numId="4">
    <w:abstractNumId w:val="54"/>
  </w:num>
  <w:num w:numId="5">
    <w:abstractNumId w:val="59"/>
  </w:num>
  <w:num w:numId="6">
    <w:abstractNumId w:val="20"/>
  </w:num>
  <w:num w:numId="7">
    <w:abstractNumId w:val="50"/>
  </w:num>
  <w:num w:numId="8">
    <w:abstractNumId w:val="46"/>
  </w:num>
  <w:num w:numId="9">
    <w:abstractNumId w:val="38"/>
  </w:num>
  <w:num w:numId="10">
    <w:abstractNumId w:val="32"/>
  </w:num>
  <w:num w:numId="11">
    <w:abstractNumId w:val="0"/>
  </w:num>
  <w:num w:numId="12">
    <w:abstractNumId w:val="56"/>
  </w:num>
  <w:num w:numId="13">
    <w:abstractNumId w:val="57"/>
  </w:num>
  <w:num w:numId="14">
    <w:abstractNumId w:val="26"/>
  </w:num>
  <w:num w:numId="15">
    <w:abstractNumId w:val="34"/>
  </w:num>
  <w:num w:numId="16">
    <w:abstractNumId w:val="8"/>
  </w:num>
  <w:num w:numId="17">
    <w:abstractNumId w:val="23"/>
    <w:lvlOverride w:ilvl="0"/>
    <w:lvlOverride w:ilvl="1">
      <w:startOverride w:val="1"/>
    </w:lvlOverride>
    <w:lvlOverride w:ilvl="2"/>
    <w:lvlOverride w:ilvl="3"/>
    <w:lvlOverride w:ilvl="4"/>
    <w:lvlOverride w:ilvl="5"/>
    <w:lvlOverride w:ilvl="6"/>
    <w:lvlOverride w:ilvl="7"/>
    <w:lvlOverride w:ilvl="8"/>
  </w:num>
  <w:num w:numId="18">
    <w:abstractNumId w:val="13"/>
  </w:num>
  <w:num w:numId="19">
    <w:abstractNumId w:val="2"/>
  </w:num>
  <w:num w:numId="20">
    <w:abstractNumId w:val="9"/>
  </w:num>
  <w:num w:numId="21">
    <w:abstractNumId w:val="10"/>
  </w:num>
  <w:num w:numId="22">
    <w:abstractNumId w:val="45"/>
  </w:num>
  <w:num w:numId="23">
    <w:abstractNumId w:val="55"/>
  </w:num>
  <w:num w:numId="24">
    <w:abstractNumId w:val="28"/>
  </w:num>
  <w:num w:numId="25">
    <w:abstractNumId w:val="31"/>
  </w:num>
  <w:num w:numId="26">
    <w:abstractNumId w:val="11"/>
  </w:num>
  <w:num w:numId="27">
    <w:abstractNumId w:val="15"/>
  </w:num>
  <w:num w:numId="28">
    <w:abstractNumId w:val="21"/>
  </w:num>
  <w:num w:numId="29">
    <w:abstractNumId w:val="42"/>
  </w:num>
  <w:num w:numId="30">
    <w:abstractNumId w:val="5"/>
  </w:num>
  <w:num w:numId="31">
    <w:abstractNumId w:val="19"/>
  </w:num>
  <w:num w:numId="32">
    <w:abstractNumId w:val="29"/>
  </w:num>
  <w:num w:numId="33">
    <w:abstractNumId w:val="37"/>
  </w:num>
  <w:num w:numId="34">
    <w:abstractNumId w:val="25"/>
  </w:num>
  <w:num w:numId="35">
    <w:abstractNumId w:val="16"/>
  </w:num>
  <w:num w:numId="36">
    <w:abstractNumId w:val="1"/>
  </w:num>
  <w:num w:numId="37">
    <w:abstractNumId w:val="14"/>
  </w:num>
  <w:num w:numId="38">
    <w:abstractNumId w:val="24"/>
  </w:num>
  <w:num w:numId="39">
    <w:abstractNumId w:val="12"/>
  </w:num>
  <w:num w:numId="40">
    <w:abstractNumId w:val="48"/>
  </w:num>
  <w:num w:numId="41">
    <w:abstractNumId w:val="52"/>
  </w:num>
  <w:num w:numId="42">
    <w:abstractNumId w:val="40"/>
  </w:num>
  <w:num w:numId="43">
    <w:abstractNumId w:val="36"/>
  </w:num>
  <w:num w:numId="44">
    <w:abstractNumId w:val="17"/>
  </w:num>
  <w:num w:numId="45">
    <w:abstractNumId w:val="43"/>
  </w:num>
  <w:num w:numId="46">
    <w:abstractNumId w:val="27"/>
  </w:num>
  <w:num w:numId="47">
    <w:abstractNumId w:val="35"/>
  </w:num>
  <w:num w:numId="48">
    <w:abstractNumId w:val="41"/>
  </w:num>
  <w:num w:numId="49">
    <w:abstractNumId w:val="3"/>
  </w:num>
  <w:num w:numId="50">
    <w:abstractNumId w:val="39"/>
  </w:num>
  <w:num w:numId="51">
    <w:abstractNumId w:val="6"/>
  </w:num>
  <w:num w:numId="52">
    <w:abstractNumId w:val="47"/>
  </w:num>
  <w:num w:numId="53">
    <w:abstractNumId w:val="33"/>
  </w:num>
  <w:num w:numId="54">
    <w:abstractNumId w:val="7"/>
  </w:num>
  <w:num w:numId="55">
    <w:abstractNumId w:val="58"/>
  </w:num>
  <w:num w:numId="56">
    <w:abstractNumId w:val="44"/>
  </w:num>
  <w:num w:numId="57">
    <w:abstractNumId w:val="49"/>
  </w:num>
  <w:num w:numId="58">
    <w:abstractNumId w:val="53"/>
  </w:num>
  <w:num w:numId="59">
    <w:abstractNumId w:val="22"/>
  </w:num>
  <w:num w:numId="60">
    <w:abstractNumId w:val="18"/>
  </w:num>
  <w:num w:numId="61">
    <w:abstractNumId w:val="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C17"/>
    <w:rsid w:val="000017FD"/>
    <w:rsid w:val="00001F0C"/>
    <w:rsid w:val="000038F5"/>
    <w:rsid w:val="00005FE1"/>
    <w:rsid w:val="00006659"/>
    <w:rsid w:val="0001051A"/>
    <w:rsid w:val="00011AB8"/>
    <w:rsid w:val="000150C5"/>
    <w:rsid w:val="00016551"/>
    <w:rsid w:val="00020525"/>
    <w:rsid w:val="00022512"/>
    <w:rsid w:val="00026A6B"/>
    <w:rsid w:val="00027DE5"/>
    <w:rsid w:val="00032642"/>
    <w:rsid w:val="000330F8"/>
    <w:rsid w:val="0003721D"/>
    <w:rsid w:val="00043CAF"/>
    <w:rsid w:val="00044612"/>
    <w:rsid w:val="00047B71"/>
    <w:rsid w:val="00051E1B"/>
    <w:rsid w:val="00052D24"/>
    <w:rsid w:val="00055F57"/>
    <w:rsid w:val="00056F3E"/>
    <w:rsid w:val="00056FE3"/>
    <w:rsid w:val="00057EE1"/>
    <w:rsid w:val="00063022"/>
    <w:rsid w:val="00065F19"/>
    <w:rsid w:val="00073234"/>
    <w:rsid w:val="000747DD"/>
    <w:rsid w:val="00077BE9"/>
    <w:rsid w:val="00080CE5"/>
    <w:rsid w:val="00080EF6"/>
    <w:rsid w:val="000815D7"/>
    <w:rsid w:val="00081615"/>
    <w:rsid w:val="00081EDF"/>
    <w:rsid w:val="00085CCB"/>
    <w:rsid w:val="00090B73"/>
    <w:rsid w:val="00091032"/>
    <w:rsid w:val="0009555E"/>
    <w:rsid w:val="00097923"/>
    <w:rsid w:val="000A3856"/>
    <w:rsid w:val="000B1071"/>
    <w:rsid w:val="000B2135"/>
    <w:rsid w:val="000B4A8C"/>
    <w:rsid w:val="000B7C26"/>
    <w:rsid w:val="000C023E"/>
    <w:rsid w:val="000C308A"/>
    <w:rsid w:val="000C3E27"/>
    <w:rsid w:val="000C4F5C"/>
    <w:rsid w:val="000C72A5"/>
    <w:rsid w:val="000D03AD"/>
    <w:rsid w:val="000D1212"/>
    <w:rsid w:val="000D1464"/>
    <w:rsid w:val="000D1624"/>
    <w:rsid w:val="000D1DE2"/>
    <w:rsid w:val="000E01A9"/>
    <w:rsid w:val="000E048C"/>
    <w:rsid w:val="000E49AA"/>
    <w:rsid w:val="000E6CF2"/>
    <w:rsid w:val="000F0354"/>
    <w:rsid w:val="000F0C60"/>
    <w:rsid w:val="000F2CD8"/>
    <w:rsid w:val="000F325B"/>
    <w:rsid w:val="000F32F8"/>
    <w:rsid w:val="001008F9"/>
    <w:rsid w:val="001059AC"/>
    <w:rsid w:val="00112527"/>
    <w:rsid w:val="001135C0"/>
    <w:rsid w:val="001136DF"/>
    <w:rsid w:val="00116305"/>
    <w:rsid w:val="00120A93"/>
    <w:rsid w:val="001246AD"/>
    <w:rsid w:val="00126661"/>
    <w:rsid w:val="001266D9"/>
    <w:rsid w:val="0013206D"/>
    <w:rsid w:val="00132F52"/>
    <w:rsid w:val="00133DE1"/>
    <w:rsid w:val="0015176D"/>
    <w:rsid w:val="00154709"/>
    <w:rsid w:val="00161579"/>
    <w:rsid w:val="00161A4D"/>
    <w:rsid w:val="00162051"/>
    <w:rsid w:val="001648B6"/>
    <w:rsid w:val="001807C8"/>
    <w:rsid w:val="00180CD3"/>
    <w:rsid w:val="00186DD7"/>
    <w:rsid w:val="00187A33"/>
    <w:rsid w:val="00187B1C"/>
    <w:rsid w:val="001903AC"/>
    <w:rsid w:val="00190423"/>
    <w:rsid w:val="00192945"/>
    <w:rsid w:val="00195608"/>
    <w:rsid w:val="001A1032"/>
    <w:rsid w:val="001A117F"/>
    <w:rsid w:val="001A1CC3"/>
    <w:rsid w:val="001A6ABF"/>
    <w:rsid w:val="001A780C"/>
    <w:rsid w:val="001B1970"/>
    <w:rsid w:val="001B2148"/>
    <w:rsid w:val="001B4CBC"/>
    <w:rsid w:val="001B5F3C"/>
    <w:rsid w:val="001B69E5"/>
    <w:rsid w:val="001C0C36"/>
    <w:rsid w:val="001C567F"/>
    <w:rsid w:val="001D3B3E"/>
    <w:rsid w:val="001E2660"/>
    <w:rsid w:val="001E33F7"/>
    <w:rsid w:val="001E567F"/>
    <w:rsid w:val="001F605B"/>
    <w:rsid w:val="001F7302"/>
    <w:rsid w:val="00201393"/>
    <w:rsid w:val="0021044D"/>
    <w:rsid w:val="00213461"/>
    <w:rsid w:val="0021470F"/>
    <w:rsid w:val="002204A1"/>
    <w:rsid w:val="00221C03"/>
    <w:rsid w:val="002222C3"/>
    <w:rsid w:val="0023229E"/>
    <w:rsid w:val="0023232A"/>
    <w:rsid w:val="00234EDD"/>
    <w:rsid w:val="00236072"/>
    <w:rsid w:val="0023790F"/>
    <w:rsid w:val="00240C63"/>
    <w:rsid w:val="00241AA9"/>
    <w:rsid w:val="0024435D"/>
    <w:rsid w:val="00246D46"/>
    <w:rsid w:val="002520B7"/>
    <w:rsid w:val="002532B9"/>
    <w:rsid w:val="00256231"/>
    <w:rsid w:val="00256A01"/>
    <w:rsid w:val="00257370"/>
    <w:rsid w:val="00260EB2"/>
    <w:rsid w:val="002616F7"/>
    <w:rsid w:val="002629CE"/>
    <w:rsid w:val="00264BF6"/>
    <w:rsid w:val="00264ED4"/>
    <w:rsid w:val="002662F4"/>
    <w:rsid w:val="00267A36"/>
    <w:rsid w:val="00273735"/>
    <w:rsid w:val="002801A5"/>
    <w:rsid w:val="002805F5"/>
    <w:rsid w:val="00283DF2"/>
    <w:rsid w:val="00283FD2"/>
    <w:rsid w:val="00284CBA"/>
    <w:rsid w:val="002859C9"/>
    <w:rsid w:val="00285F3A"/>
    <w:rsid w:val="00286819"/>
    <w:rsid w:val="00292861"/>
    <w:rsid w:val="00294518"/>
    <w:rsid w:val="00295D4A"/>
    <w:rsid w:val="002A4829"/>
    <w:rsid w:val="002A48ED"/>
    <w:rsid w:val="002B3CD3"/>
    <w:rsid w:val="002B7BBF"/>
    <w:rsid w:val="002C2674"/>
    <w:rsid w:val="002C47E2"/>
    <w:rsid w:val="002C4EA1"/>
    <w:rsid w:val="002D24FC"/>
    <w:rsid w:val="002D6081"/>
    <w:rsid w:val="002E3347"/>
    <w:rsid w:val="002E34C6"/>
    <w:rsid w:val="002E36E2"/>
    <w:rsid w:val="002E4DBD"/>
    <w:rsid w:val="002F1F2E"/>
    <w:rsid w:val="002F4457"/>
    <w:rsid w:val="002F5931"/>
    <w:rsid w:val="002F75CF"/>
    <w:rsid w:val="003017A9"/>
    <w:rsid w:val="00303A3B"/>
    <w:rsid w:val="00305DC5"/>
    <w:rsid w:val="00316F31"/>
    <w:rsid w:val="003232E4"/>
    <w:rsid w:val="0032469E"/>
    <w:rsid w:val="0033774B"/>
    <w:rsid w:val="00341FF1"/>
    <w:rsid w:val="003424A9"/>
    <w:rsid w:val="003460C9"/>
    <w:rsid w:val="00351276"/>
    <w:rsid w:val="00356D60"/>
    <w:rsid w:val="00357088"/>
    <w:rsid w:val="00362CFC"/>
    <w:rsid w:val="00362F34"/>
    <w:rsid w:val="00366274"/>
    <w:rsid w:val="00370CE9"/>
    <w:rsid w:val="0037432C"/>
    <w:rsid w:val="00375083"/>
    <w:rsid w:val="0037535C"/>
    <w:rsid w:val="00377A81"/>
    <w:rsid w:val="003807E0"/>
    <w:rsid w:val="00383B27"/>
    <w:rsid w:val="00393FC2"/>
    <w:rsid w:val="003A23F1"/>
    <w:rsid w:val="003A3E23"/>
    <w:rsid w:val="003B0593"/>
    <w:rsid w:val="003B34A8"/>
    <w:rsid w:val="003B6AFD"/>
    <w:rsid w:val="003B6B56"/>
    <w:rsid w:val="003C0AB2"/>
    <w:rsid w:val="003C2C2B"/>
    <w:rsid w:val="003C325E"/>
    <w:rsid w:val="003C5AE6"/>
    <w:rsid w:val="003C6393"/>
    <w:rsid w:val="003C67D8"/>
    <w:rsid w:val="003C68BD"/>
    <w:rsid w:val="003D03C5"/>
    <w:rsid w:val="003D1FC8"/>
    <w:rsid w:val="003D2BB5"/>
    <w:rsid w:val="003E75C0"/>
    <w:rsid w:val="003F07E4"/>
    <w:rsid w:val="003F27E4"/>
    <w:rsid w:val="003F572B"/>
    <w:rsid w:val="004014C1"/>
    <w:rsid w:val="004017AD"/>
    <w:rsid w:val="00404218"/>
    <w:rsid w:val="004058EF"/>
    <w:rsid w:val="00410A77"/>
    <w:rsid w:val="00410C96"/>
    <w:rsid w:val="004115FF"/>
    <w:rsid w:val="004156CD"/>
    <w:rsid w:val="00415E4D"/>
    <w:rsid w:val="0042595C"/>
    <w:rsid w:val="0043252A"/>
    <w:rsid w:val="00433267"/>
    <w:rsid w:val="004375DD"/>
    <w:rsid w:val="00443DAE"/>
    <w:rsid w:val="00451854"/>
    <w:rsid w:val="00453C04"/>
    <w:rsid w:val="00455F37"/>
    <w:rsid w:val="00464F17"/>
    <w:rsid w:val="004677BF"/>
    <w:rsid w:val="00467853"/>
    <w:rsid w:val="00470CF1"/>
    <w:rsid w:val="0047194C"/>
    <w:rsid w:val="00473858"/>
    <w:rsid w:val="0047452E"/>
    <w:rsid w:val="00475BCF"/>
    <w:rsid w:val="00476A54"/>
    <w:rsid w:val="00476E03"/>
    <w:rsid w:val="00476E21"/>
    <w:rsid w:val="00482E88"/>
    <w:rsid w:val="004859B5"/>
    <w:rsid w:val="004872CC"/>
    <w:rsid w:val="0049024A"/>
    <w:rsid w:val="004905D0"/>
    <w:rsid w:val="004960CD"/>
    <w:rsid w:val="004974A9"/>
    <w:rsid w:val="004977C2"/>
    <w:rsid w:val="004A4ABF"/>
    <w:rsid w:val="004B1330"/>
    <w:rsid w:val="004B3C18"/>
    <w:rsid w:val="004B5D42"/>
    <w:rsid w:val="004B796E"/>
    <w:rsid w:val="004C1035"/>
    <w:rsid w:val="004C33DB"/>
    <w:rsid w:val="004C721F"/>
    <w:rsid w:val="004C768E"/>
    <w:rsid w:val="004D0177"/>
    <w:rsid w:val="004D048E"/>
    <w:rsid w:val="004D101C"/>
    <w:rsid w:val="004D36DA"/>
    <w:rsid w:val="004D3764"/>
    <w:rsid w:val="004E25E4"/>
    <w:rsid w:val="004F07B8"/>
    <w:rsid w:val="004F1F37"/>
    <w:rsid w:val="004F3540"/>
    <w:rsid w:val="004F40B4"/>
    <w:rsid w:val="005012A7"/>
    <w:rsid w:val="005030A2"/>
    <w:rsid w:val="0050606E"/>
    <w:rsid w:val="0050627F"/>
    <w:rsid w:val="005120D4"/>
    <w:rsid w:val="0052019F"/>
    <w:rsid w:val="00520BD2"/>
    <w:rsid w:val="005269C1"/>
    <w:rsid w:val="0053070F"/>
    <w:rsid w:val="00530DA7"/>
    <w:rsid w:val="005313CA"/>
    <w:rsid w:val="00533292"/>
    <w:rsid w:val="005333D6"/>
    <w:rsid w:val="00536795"/>
    <w:rsid w:val="005410C2"/>
    <w:rsid w:val="005424BE"/>
    <w:rsid w:val="00544AE5"/>
    <w:rsid w:val="0054590E"/>
    <w:rsid w:val="00553C78"/>
    <w:rsid w:val="005575CF"/>
    <w:rsid w:val="00560450"/>
    <w:rsid w:val="00561DFA"/>
    <w:rsid w:val="00565F78"/>
    <w:rsid w:val="005756EE"/>
    <w:rsid w:val="00585A68"/>
    <w:rsid w:val="005919E4"/>
    <w:rsid w:val="00594A47"/>
    <w:rsid w:val="005967DA"/>
    <w:rsid w:val="005A52A8"/>
    <w:rsid w:val="005B2FB1"/>
    <w:rsid w:val="005B3F24"/>
    <w:rsid w:val="005C7790"/>
    <w:rsid w:val="005D139D"/>
    <w:rsid w:val="005D1CAC"/>
    <w:rsid w:val="005E2D88"/>
    <w:rsid w:val="005E54FB"/>
    <w:rsid w:val="005E71B0"/>
    <w:rsid w:val="005F4C6F"/>
    <w:rsid w:val="005F6C0E"/>
    <w:rsid w:val="005F7477"/>
    <w:rsid w:val="0060456C"/>
    <w:rsid w:val="00610A11"/>
    <w:rsid w:val="006118C2"/>
    <w:rsid w:val="00611CA4"/>
    <w:rsid w:val="00621542"/>
    <w:rsid w:val="00621E38"/>
    <w:rsid w:val="00627615"/>
    <w:rsid w:val="006279EE"/>
    <w:rsid w:val="00634E41"/>
    <w:rsid w:val="00637DAD"/>
    <w:rsid w:val="006447C6"/>
    <w:rsid w:val="00650953"/>
    <w:rsid w:val="00653860"/>
    <w:rsid w:val="006542F2"/>
    <w:rsid w:val="006553C4"/>
    <w:rsid w:val="00656146"/>
    <w:rsid w:val="00660F37"/>
    <w:rsid w:val="006623AA"/>
    <w:rsid w:val="006649C8"/>
    <w:rsid w:val="00665EF0"/>
    <w:rsid w:val="00665FFF"/>
    <w:rsid w:val="006734A1"/>
    <w:rsid w:val="006745B8"/>
    <w:rsid w:val="006757C7"/>
    <w:rsid w:val="00675827"/>
    <w:rsid w:val="0068474E"/>
    <w:rsid w:val="00685165"/>
    <w:rsid w:val="00685586"/>
    <w:rsid w:val="006871A2"/>
    <w:rsid w:val="006878F6"/>
    <w:rsid w:val="00691314"/>
    <w:rsid w:val="006932F7"/>
    <w:rsid w:val="00693318"/>
    <w:rsid w:val="00695DED"/>
    <w:rsid w:val="00696889"/>
    <w:rsid w:val="006A109A"/>
    <w:rsid w:val="006A60A1"/>
    <w:rsid w:val="006B25C4"/>
    <w:rsid w:val="006B6DE4"/>
    <w:rsid w:val="006B768E"/>
    <w:rsid w:val="006C4CF5"/>
    <w:rsid w:val="006D30E7"/>
    <w:rsid w:val="006D3B0D"/>
    <w:rsid w:val="006D46F1"/>
    <w:rsid w:val="006E2573"/>
    <w:rsid w:val="006E2CCB"/>
    <w:rsid w:val="006F0CA0"/>
    <w:rsid w:val="006F2B9E"/>
    <w:rsid w:val="006F3CB3"/>
    <w:rsid w:val="006F48BF"/>
    <w:rsid w:val="006F6E41"/>
    <w:rsid w:val="006F73EC"/>
    <w:rsid w:val="006F7A3B"/>
    <w:rsid w:val="00701175"/>
    <w:rsid w:val="00701FAB"/>
    <w:rsid w:val="00703E9B"/>
    <w:rsid w:val="00710428"/>
    <w:rsid w:val="007105F4"/>
    <w:rsid w:val="00710B2E"/>
    <w:rsid w:val="00711FE6"/>
    <w:rsid w:val="007230FC"/>
    <w:rsid w:val="007239F2"/>
    <w:rsid w:val="00726C16"/>
    <w:rsid w:val="0072732F"/>
    <w:rsid w:val="00727A17"/>
    <w:rsid w:val="007324E9"/>
    <w:rsid w:val="007422E8"/>
    <w:rsid w:val="00744F56"/>
    <w:rsid w:val="007505B7"/>
    <w:rsid w:val="007524BF"/>
    <w:rsid w:val="00752B50"/>
    <w:rsid w:val="007574A4"/>
    <w:rsid w:val="00757C12"/>
    <w:rsid w:val="0076039F"/>
    <w:rsid w:val="00760B3D"/>
    <w:rsid w:val="00764E29"/>
    <w:rsid w:val="00766B8D"/>
    <w:rsid w:val="00771681"/>
    <w:rsid w:val="00773182"/>
    <w:rsid w:val="00773F82"/>
    <w:rsid w:val="00774EDF"/>
    <w:rsid w:val="00775676"/>
    <w:rsid w:val="007767D8"/>
    <w:rsid w:val="00782A9C"/>
    <w:rsid w:val="00783A15"/>
    <w:rsid w:val="00784CE9"/>
    <w:rsid w:val="00784D77"/>
    <w:rsid w:val="0078659C"/>
    <w:rsid w:val="0078699E"/>
    <w:rsid w:val="00787A38"/>
    <w:rsid w:val="00794EB6"/>
    <w:rsid w:val="0079514D"/>
    <w:rsid w:val="007A072C"/>
    <w:rsid w:val="007A79BB"/>
    <w:rsid w:val="007B0639"/>
    <w:rsid w:val="007B1439"/>
    <w:rsid w:val="007B3292"/>
    <w:rsid w:val="007B465F"/>
    <w:rsid w:val="007B59EC"/>
    <w:rsid w:val="007B631D"/>
    <w:rsid w:val="007C00AD"/>
    <w:rsid w:val="007C1759"/>
    <w:rsid w:val="007C2BC9"/>
    <w:rsid w:val="007C3A76"/>
    <w:rsid w:val="007C3CA4"/>
    <w:rsid w:val="007C59DD"/>
    <w:rsid w:val="007C6BB1"/>
    <w:rsid w:val="007D0FF0"/>
    <w:rsid w:val="007E0062"/>
    <w:rsid w:val="007E0B8B"/>
    <w:rsid w:val="007E5B9B"/>
    <w:rsid w:val="007E606F"/>
    <w:rsid w:val="007E7894"/>
    <w:rsid w:val="007F1041"/>
    <w:rsid w:val="007F2259"/>
    <w:rsid w:val="007F37D1"/>
    <w:rsid w:val="00803BD7"/>
    <w:rsid w:val="00805125"/>
    <w:rsid w:val="00805DCF"/>
    <w:rsid w:val="00812B8D"/>
    <w:rsid w:val="00813AA5"/>
    <w:rsid w:val="008242C1"/>
    <w:rsid w:val="008258F1"/>
    <w:rsid w:val="00826FD4"/>
    <w:rsid w:val="00827E6C"/>
    <w:rsid w:val="00832A32"/>
    <w:rsid w:val="008344C7"/>
    <w:rsid w:val="00834E63"/>
    <w:rsid w:val="00835809"/>
    <w:rsid w:val="00841A6A"/>
    <w:rsid w:val="008435E9"/>
    <w:rsid w:val="008468A5"/>
    <w:rsid w:val="00847595"/>
    <w:rsid w:val="0085162A"/>
    <w:rsid w:val="00854467"/>
    <w:rsid w:val="00864AB5"/>
    <w:rsid w:val="00880C9F"/>
    <w:rsid w:val="00881300"/>
    <w:rsid w:val="008817F9"/>
    <w:rsid w:val="0088345B"/>
    <w:rsid w:val="008838AE"/>
    <w:rsid w:val="008865EF"/>
    <w:rsid w:val="00890C3E"/>
    <w:rsid w:val="00891DE8"/>
    <w:rsid w:val="0089400A"/>
    <w:rsid w:val="00894A0C"/>
    <w:rsid w:val="00897C17"/>
    <w:rsid w:val="008A05E7"/>
    <w:rsid w:val="008A0719"/>
    <w:rsid w:val="008A11A2"/>
    <w:rsid w:val="008A32FC"/>
    <w:rsid w:val="008A75F0"/>
    <w:rsid w:val="008A76D2"/>
    <w:rsid w:val="008B032B"/>
    <w:rsid w:val="008B2EDE"/>
    <w:rsid w:val="008B3DCB"/>
    <w:rsid w:val="008B476F"/>
    <w:rsid w:val="008B62A6"/>
    <w:rsid w:val="008B6F01"/>
    <w:rsid w:val="008B7FAE"/>
    <w:rsid w:val="008C1175"/>
    <w:rsid w:val="008C25E1"/>
    <w:rsid w:val="008C7E1E"/>
    <w:rsid w:val="008D0389"/>
    <w:rsid w:val="008D13B0"/>
    <w:rsid w:val="008D413F"/>
    <w:rsid w:val="008E09BD"/>
    <w:rsid w:val="008E1137"/>
    <w:rsid w:val="008E455F"/>
    <w:rsid w:val="008E6460"/>
    <w:rsid w:val="008E6EEE"/>
    <w:rsid w:val="008E70B6"/>
    <w:rsid w:val="008E78C8"/>
    <w:rsid w:val="008F39EF"/>
    <w:rsid w:val="00900BF7"/>
    <w:rsid w:val="00902060"/>
    <w:rsid w:val="009040BF"/>
    <w:rsid w:val="00904B96"/>
    <w:rsid w:val="009122C1"/>
    <w:rsid w:val="00913846"/>
    <w:rsid w:val="00915718"/>
    <w:rsid w:val="00916D04"/>
    <w:rsid w:val="0094600E"/>
    <w:rsid w:val="00951F17"/>
    <w:rsid w:val="00965FE9"/>
    <w:rsid w:val="009703D1"/>
    <w:rsid w:val="009712BA"/>
    <w:rsid w:val="009741D2"/>
    <w:rsid w:val="00976A57"/>
    <w:rsid w:val="00977C09"/>
    <w:rsid w:val="009816E3"/>
    <w:rsid w:val="00984F16"/>
    <w:rsid w:val="00985FA3"/>
    <w:rsid w:val="009903B3"/>
    <w:rsid w:val="0099543D"/>
    <w:rsid w:val="00997AC1"/>
    <w:rsid w:val="009A0283"/>
    <w:rsid w:val="009A14DA"/>
    <w:rsid w:val="009A2FEE"/>
    <w:rsid w:val="009A409B"/>
    <w:rsid w:val="009A4AAA"/>
    <w:rsid w:val="009A5642"/>
    <w:rsid w:val="009A6305"/>
    <w:rsid w:val="009B6683"/>
    <w:rsid w:val="009C1AFB"/>
    <w:rsid w:val="009C3898"/>
    <w:rsid w:val="009C69D8"/>
    <w:rsid w:val="009C78E4"/>
    <w:rsid w:val="009D1262"/>
    <w:rsid w:val="009D4727"/>
    <w:rsid w:val="009D7E01"/>
    <w:rsid w:val="009E112F"/>
    <w:rsid w:val="009F32EC"/>
    <w:rsid w:val="00A03F0B"/>
    <w:rsid w:val="00A11468"/>
    <w:rsid w:val="00A130C8"/>
    <w:rsid w:val="00A244AF"/>
    <w:rsid w:val="00A25FDE"/>
    <w:rsid w:val="00A279D2"/>
    <w:rsid w:val="00A32DDC"/>
    <w:rsid w:val="00A34BD2"/>
    <w:rsid w:val="00A3554C"/>
    <w:rsid w:val="00A4097B"/>
    <w:rsid w:val="00A411CE"/>
    <w:rsid w:val="00A4163D"/>
    <w:rsid w:val="00A42F08"/>
    <w:rsid w:val="00A50889"/>
    <w:rsid w:val="00A51A97"/>
    <w:rsid w:val="00A5503F"/>
    <w:rsid w:val="00A60C6C"/>
    <w:rsid w:val="00A60CC9"/>
    <w:rsid w:val="00A61B49"/>
    <w:rsid w:val="00A63F2B"/>
    <w:rsid w:val="00A70911"/>
    <w:rsid w:val="00A75E0D"/>
    <w:rsid w:val="00A83BFD"/>
    <w:rsid w:val="00A854D6"/>
    <w:rsid w:val="00A85C1D"/>
    <w:rsid w:val="00A869B9"/>
    <w:rsid w:val="00A87DBD"/>
    <w:rsid w:val="00A9142F"/>
    <w:rsid w:val="00AA12DF"/>
    <w:rsid w:val="00AA15ED"/>
    <w:rsid w:val="00AA6820"/>
    <w:rsid w:val="00AB01F9"/>
    <w:rsid w:val="00AB0D68"/>
    <w:rsid w:val="00AB1DC2"/>
    <w:rsid w:val="00AB491F"/>
    <w:rsid w:val="00AB4AF5"/>
    <w:rsid w:val="00AB6B86"/>
    <w:rsid w:val="00AC7D1C"/>
    <w:rsid w:val="00AD6559"/>
    <w:rsid w:val="00AE2AE9"/>
    <w:rsid w:val="00AE3929"/>
    <w:rsid w:val="00AE47C0"/>
    <w:rsid w:val="00AE4CB2"/>
    <w:rsid w:val="00AE50C8"/>
    <w:rsid w:val="00AE5782"/>
    <w:rsid w:val="00AF17F8"/>
    <w:rsid w:val="00AF22EF"/>
    <w:rsid w:val="00AF27E7"/>
    <w:rsid w:val="00AF6494"/>
    <w:rsid w:val="00AF71B9"/>
    <w:rsid w:val="00AF7581"/>
    <w:rsid w:val="00B01634"/>
    <w:rsid w:val="00B016D7"/>
    <w:rsid w:val="00B03937"/>
    <w:rsid w:val="00B0443C"/>
    <w:rsid w:val="00B10918"/>
    <w:rsid w:val="00B10E69"/>
    <w:rsid w:val="00B11147"/>
    <w:rsid w:val="00B128FF"/>
    <w:rsid w:val="00B158B6"/>
    <w:rsid w:val="00B17486"/>
    <w:rsid w:val="00B17A01"/>
    <w:rsid w:val="00B215A0"/>
    <w:rsid w:val="00B2416D"/>
    <w:rsid w:val="00B302F6"/>
    <w:rsid w:val="00B31AEA"/>
    <w:rsid w:val="00B3608C"/>
    <w:rsid w:val="00B41CE7"/>
    <w:rsid w:val="00B4468A"/>
    <w:rsid w:val="00B50CD8"/>
    <w:rsid w:val="00B562B0"/>
    <w:rsid w:val="00B63641"/>
    <w:rsid w:val="00B63EDA"/>
    <w:rsid w:val="00B63F59"/>
    <w:rsid w:val="00B7009F"/>
    <w:rsid w:val="00B70766"/>
    <w:rsid w:val="00B73662"/>
    <w:rsid w:val="00B75344"/>
    <w:rsid w:val="00B833D9"/>
    <w:rsid w:val="00B835C4"/>
    <w:rsid w:val="00B8571A"/>
    <w:rsid w:val="00B86427"/>
    <w:rsid w:val="00B90F9A"/>
    <w:rsid w:val="00B916D3"/>
    <w:rsid w:val="00B9171F"/>
    <w:rsid w:val="00B9214C"/>
    <w:rsid w:val="00B92B7A"/>
    <w:rsid w:val="00B969A1"/>
    <w:rsid w:val="00B9727E"/>
    <w:rsid w:val="00BA02BE"/>
    <w:rsid w:val="00BA1CDD"/>
    <w:rsid w:val="00BA6B93"/>
    <w:rsid w:val="00BB1C5D"/>
    <w:rsid w:val="00BB2718"/>
    <w:rsid w:val="00BB4C95"/>
    <w:rsid w:val="00BB5726"/>
    <w:rsid w:val="00BC214F"/>
    <w:rsid w:val="00BC422C"/>
    <w:rsid w:val="00BC4422"/>
    <w:rsid w:val="00BC4842"/>
    <w:rsid w:val="00BC77CD"/>
    <w:rsid w:val="00BD116F"/>
    <w:rsid w:val="00BE0D64"/>
    <w:rsid w:val="00BE2804"/>
    <w:rsid w:val="00BE2FD7"/>
    <w:rsid w:val="00BE468A"/>
    <w:rsid w:val="00BE7F3D"/>
    <w:rsid w:val="00BF27B9"/>
    <w:rsid w:val="00BF375C"/>
    <w:rsid w:val="00C05B8A"/>
    <w:rsid w:val="00C124C8"/>
    <w:rsid w:val="00C132E8"/>
    <w:rsid w:val="00C22A4D"/>
    <w:rsid w:val="00C24620"/>
    <w:rsid w:val="00C32930"/>
    <w:rsid w:val="00C370E1"/>
    <w:rsid w:val="00C3759D"/>
    <w:rsid w:val="00C441DA"/>
    <w:rsid w:val="00C44B5A"/>
    <w:rsid w:val="00C46618"/>
    <w:rsid w:val="00C46E9D"/>
    <w:rsid w:val="00C52B0C"/>
    <w:rsid w:val="00C63507"/>
    <w:rsid w:val="00C6561B"/>
    <w:rsid w:val="00C658B6"/>
    <w:rsid w:val="00C73AD4"/>
    <w:rsid w:val="00C76653"/>
    <w:rsid w:val="00C84936"/>
    <w:rsid w:val="00C862B0"/>
    <w:rsid w:val="00C9168D"/>
    <w:rsid w:val="00C96B22"/>
    <w:rsid w:val="00C96E6F"/>
    <w:rsid w:val="00C9799A"/>
    <w:rsid w:val="00C97FBC"/>
    <w:rsid w:val="00CB0E61"/>
    <w:rsid w:val="00CB1080"/>
    <w:rsid w:val="00CB1285"/>
    <w:rsid w:val="00CB3039"/>
    <w:rsid w:val="00CB3491"/>
    <w:rsid w:val="00CB5286"/>
    <w:rsid w:val="00CB552F"/>
    <w:rsid w:val="00CC00AA"/>
    <w:rsid w:val="00CC1385"/>
    <w:rsid w:val="00CC36BF"/>
    <w:rsid w:val="00CC3C63"/>
    <w:rsid w:val="00CD1DFB"/>
    <w:rsid w:val="00CD3520"/>
    <w:rsid w:val="00CD4F45"/>
    <w:rsid w:val="00CE214E"/>
    <w:rsid w:val="00CE2756"/>
    <w:rsid w:val="00CE2A70"/>
    <w:rsid w:val="00CE40A4"/>
    <w:rsid w:val="00CE4150"/>
    <w:rsid w:val="00CE68BA"/>
    <w:rsid w:val="00CE7F5A"/>
    <w:rsid w:val="00CF0982"/>
    <w:rsid w:val="00CF2634"/>
    <w:rsid w:val="00CF6195"/>
    <w:rsid w:val="00D04F39"/>
    <w:rsid w:val="00D05885"/>
    <w:rsid w:val="00D060AE"/>
    <w:rsid w:val="00D06BFB"/>
    <w:rsid w:val="00D11DA3"/>
    <w:rsid w:val="00D16CA7"/>
    <w:rsid w:val="00D20A47"/>
    <w:rsid w:val="00D222C4"/>
    <w:rsid w:val="00D22484"/>
    <w:rsid w:val="00D23B09"/>
    <w:rsid w:val="00D27D16"/>
    <w:rsid w:val="00D27E36"/>
    <w:rsid w:val="00D30C84"/>
    <w:rsid w:val="00D319D8"/>
    <w:rsid w:val="00D33BFB"/>
    <w:rsid w:val="00D33D7C"/>
    <w:rsid w:val="00D34B61"/>
    <w:rsid w:val="00D36AA2"/>
    <w:rsid w:val="00D429B5"/>
    <w:rsid w:val="00D42AC7"/>
    <w:rsid w:val="00D52A48"/>
    <w:rsid w:val="00D54855"/>
    <w:rsid w:val="00D556BD"/>
    <w:rsid w:val="00D602CA"/>
    <w:rsid w:val="00D60600"/>
    <w:rsid w:val="00D63697"/>
    <w:rsid w:val="00D6504A"/>
    <w:rsid w:val="00D66F78"/>
    <w:rsid w:val="00D73D8E"/>
    <w:rsid w:val="00D75538"/>
    <w:rsid w:val="00D76947"/>
    <w:rsid w:val="00D83CE0"/>
    <w:rsid w:val="00D868D9"/>
    <w:rsid w:val="00D8790C"/>
    <w:rsid w:val="00D87A2D"/>
    <w:rsid w:val="00D9092C"/>
    <w:rsid w:val="00D9241E"/>
    <w:rsid w:val="00D93295"/>
    <w:rsid w:val="00D97175"/>
    <w:rsid w:val="00D97AA5"/>
    <w:rsid w:val="00DA059D"/>
    <w:rsid w:val="00DA106F"/>
    <w:rsid w:val="00DA1434"/>
    <w:rsid w:val="00DA1B8B"/>
    <w:rsid w:val="00DA35F7"/>
    <w:rsid w:val="00DA7009"/>
    <w:rsid w:val="00DB4CF7"/>
    <w:rsid w:val="00DC08DF"/>
    <w:rsid w:val="00DC12D1"/>
    <w:rsid w:val="00DC209E"/>
    <w:rsid w:val="00DC4058"/>
    <w:rsid w:val="00DC5876"/>
    <w:rsid w:val="00DC59F2"/>
    <w:rsid w:val="00DC7205"/>
    <w:rsid w:val="00DC7476"/>
    <w:rsid w:val="00DE11B0"/>
    <w:rsid w:val="00DE1894"/>
    <w:rsid w:val="00DE2B77"/>
    <w:rsid w:val="00DE4048"/>
    <w:rsid w:val="00DE568A"/>
    <w:rsid w:val="00DE59C2"/>
    <w:rsid w:val="00DE6E73"/>
    <w:rsid w:val="00DF4712"/>
    <w:rsid w:val="00DF4DAA"/>
    <w:rsid w:val="00DF59FF"/>
    <w:rsid w:val="00DF5E09"/>
    <w:rsid w:val="00DF6A9B"/>
    <w:rsid w:val="00E03B32"/>
    <w:rsid w:val="00E07869"/>
    <w:rsid w:val="00E079C6"/>
    <w:rsid w:val="00E149C4"/>
    <w:rsid w:val="00E15E3C"/>
    <w:rsid w:val="00E17282"/>
    <w:rsid w:val="00E23853"/>
    <w:rsid w:val="00E25DFA"/>
    <w:rsid w:val="00E267DE"/>
    <w:rsid w:val="00E302E5"/>
    <w:rsid w:val="00E30643"/>
    <w:rsid w:val="00E36401"/>
    <w:rsid w:val="00E40C8D"/>
    <w:rsid w:val="00E42324"/>
    <w:rsid w:val="00E4541B"/>
    <w:rsid w:val="00E4564A"/>
    <w:rsid w:val="00E47DB7"/>
    <w:rsid w:val="00E47E21"/>
    <w:rsid w:val="00E5191E"/>
    <w:rsid w:val="00E538D0"/>
    <w:rsid w:val="00E53E7E"/>
    <w:rsid w:val="00E62FEA"/>
    <w:rsid w:val="00E669F5"/>
    <w:rsid w:val="00E7706A"/>
    <w:rsid w:val="00E81013"/>
    <w:rsid w:val="00E8585F"/>
    <w:rsid w:val="00E867FA"/>
    <w:rsid w:val="00E9192D"/>
    <w:rsid w:val="00E94210"/>
    <w:rsid w:val="00E942FA"/>
    <w:rsid w:val="00E96B4B"/>
    <w:rsid w:val="00EA3FC9"/>
    <w:rsid w:val="00EB070B"/>
    <w:rsid w:val="00EB3F72"/>
    <w:rsid w:val="00EB5F8B"/>
    <w:rsid w:val="00EB78B5"/>
    <w:rsid w:val="00EC0D49"/>
    <w:rsid w:val="00EC36AA"/>
    <w:rsid w:val="00EC3889"/>
    <w:rsid w:val="00EC4136"/>
    <w:rsid w:val="00EC4315"/>
    <w:rsid w:val="00EC453B"/>
    <w:rsid w:val="00EC630F"/>
    <w:rsid w:val="00ED0163"/>
    <w:rsid w:val="00ED343C"/>
    <w:rsid w:val="00ED6718"/>
    <w:rsid w:val="00EE105D"/>
    <w:rsid w:val="00EE4F44"/>
    <w:rsid w:val="00EF40AC"/>
    <w:rsid w:val="00F063A7"/>
    <w:rsid w:val="00F0704E"/>
    <w:rsid w:val="00F100B4"/>
    <w:rsid w:val="00F143B6"/>
    <w:rsid w:val="00F17867"/>
    <w:rsid w:val="00F23C97"/>
    <w:rsid w:val="00F2407C"/>
    <w:rsid w:val="00F314EE"/>
    <w:rsid w:val="00F323FA"/>
    <w:rsid w:val="00F32A77"/>
    <w:rsid w:val="00F42530"/>
    <w:rsid w:val="00F4577F"/>
    <w:rsid w:val="00F469B4"/>
    <w:rsid w:val="00F54B35"/>
    <w:rsid w:val="00F62E47"/>
    <w:rsid w:val="00F63224"/>
    <w:rsid w:val="00F642E4"/>
    <w:rsid w:val="00F66734"/>
    <w:rsid w:val="00F72F81"/>
    <w:rsid w:val="00F74978"/>
    <w:rsid w:val="00F75081"/>
    <w:rsid w:val="00F824D9"/>
    <w:rsid w:val="00F83C27"/>
    <w:rsid w:val="00F904C5"/>
    <w:rsid w:val="00F92AAB"/>
    <w:rsid w:val="00F930C3"/>
    <w:rsid w:val="00F969A1"/>
    <w:rsid w:val="00F974CC"/>
    <w:rsid w:val="00F97A1A"/>
    <w:rsid w:val="00FA4504"/>
    <w:rsid w:val="00FA51FC"/>
    <w:rsid w:val="00FA7C98"/>
    <w:rsid w:val="00FB0362"/>
    <w:rsid w:val="00FB45C3"/>
    <w:rsid w:val="00FC0C4C"/>
    <w:rsid w:val="00FC3963"/>
    <w:rsid w:val="00FC68F0"/>
    <w:rsid w:val="00FD32DD"/>
    <w:rsid w:val="00FE05CF"/>
    <w:rsid w:val="00FE37DA"/>
    <w:rsid w:val="00FE430F"/>
    <w:rsid w:val="00FE4509"/>
    <w:rsid w:val="00FE62E9"/>
    <w:rsid w:val="00FF1873"/>
    <w:rsid w:val="00FF1C68"/>
    <w:rsid w:val="00FF3746"/>
    <w:rsid w:val="00FF5E00"/>
    <w:rsid w:val="00FF6483"/>
    <w:rsid w:val="00FF6E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DC72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F37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C720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83A1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83A1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72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F375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C720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83A1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83A15"/>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897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Footnote Text Char1 Char,Footnote Text Char Char Char,Footnote Text Char1 Char1 Char Char,Footnote Text Char Char Char1 Char Char,Footnote Text Char1 Char Char Char Char,Footnote Text Char Char Char Char Char Char, Char"/>
    <w:basedOn w:val="Normal"/>
    <w:link w:val="FootnoteTextChar"/>
    <w:unhideWhenUsed/>
    <w:rsid w:val="006D46F1"/>
    <w:pPr>
      <w:spacing w:after="0" w:line="240" w:lineRule="auto"/>
    </w:pPr>
    <w:rPr>
      <w:rFonts w:ascii="Times New Roman" w:eastAsia="Times New Roman" w:hAnsi="Times New Roman" w:cs="Times New Roman"/>
      <w:sz w:val="20"/>
      <w:szCs w:val="20"/>
      <w:lang w:bidi="ar-EG"/>
    </w:rPr>
  </w:style>
  <w:style w:type="character" w:customStyle="1" w:styleId="FootnoteTextChar">
    <w:name w:val="Footnote Text Char"/>
    <w:aliases w:val="Char Char,Footnote Text Char1 Char Char,Footnote Text Char Char Char Char,Footnote Text Char1 Char1 Char Char Char,Footnote Text Char Char Char1 Char Char Char,Footnote Text Char1 Char Char Char Char Char, Char Char"/>
    <w:basedOn w:val="DefaultParagraphFont"/>
    <w:link w:val="FootnoteText"/>
    <w:rsid w:val="006D46F1"/>
    <w:rPr>
      <w:rFonts w:ascii="Times New Roman" w:eastAsia="Times New Roman" w:hAnsi="Times New Roman" w:cs="Times New Roman"/>
      <w:sz w:val="20"/>
      <w:szCs w:val="20"/>
      <w:lang w:bidi="ar-EG"/>
    </w:rPr>
  </w:style>
  <w:style w:type="character" w:styleId="FootnoteReference">
    <w:name w:val="footnote reference"/>
    <w:aliases w:val="16 Point,Superscript 6 Point,(Ref. de nota al pie),BVI fnr"/>
    <w:uiPriority w:val="99"/>
    <w:unhideWhenUsed/>
    <w:rsid w:val="006D46F1"/>
    <w:rPr>
      <w:vertAlign w:val="superscript"/>
    </w:rPr>
  </w:style>
  <w:style w:type="paragraph" w:styleId="Header">
    <w:name w:val="header"/>
    <w:basedOn w:val="Normal"/>
    <w:link w:val="HeaderChar"/>
    <w:uiPriority w:val="99"/>
    <w:unhideWhenUsed/>
    <w:rsid w:val="006D46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46F1"/>
  </w:style>
  <w:style w:type="paragraph" w:styleId="Footer">
    <w:name w:val="footer"/>
    <w:basedOn w:val="Normal"/>
    <w:link w:val="FooterChar"/>
    <w:uiPriority w:val="99"/>
    <w:unhideWhenUsed/>
    <w:rsid w:val="006D46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46F1"/>
  </w:style>
  <w:style w:type="character" w:styleId="LineNumber">
    <w:name w:val="line number"/>
    <w:basedOn w:val="DefaultParagraphFont"/>
    <w:uiPriority w:val="99"/>
    <w:semiHidden/>
    <w:unhideWhenUsed/>
    <w:rsid w:val="00E267DE"/>
  </w:style>
  <w:style w:type="table" w:styleId="LightShading-Accent1">
    <w:name w:val="Light Shading Accent 1"/>
    <w:basedOn w:val="TableNormal"/>
    <w:uiPriority w:val="60"/>
    <w:rsid w:val="00985FA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85FA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PlaceholderText">
    <w:name w:val="Placeholder Text"/>
    <w:basedOn w:val="DefaultParagraphFont"/>
    <w:uiPriority w:val="99"/>
    <w:semiHidden/>
    <w:rsid w:val="00357088"/>
    <w:rPr>
      <w:color w:val="808080"/>
    </w:rPr>
  </w:style>
  <w:style w:type="paragraph" w:styleId="BalloonText">
    <w:name w:val="Balloon Text"/>
    <w:basedOn w:val="Normal"/>
    <w:link w:val="BalloonTextChar"/>
    <w:uiPriority w:val="99"/>
    <w:unhideWhenUsed/>
    <w:rsid w:val="00357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57088"/>
    <w:rPr>
      <w:rFonts w:ascii="Tahoma" w:hAnsi="Tahoma" w:cs="Tahoma"/>
      <w:sz w:val="16"/>
      <w:szCs w:val="16"/>
    </w:rPr>
  </w:style>
  <w:style w:type="paragraph" w:styleId="TOCHeading">
    <w:name w:val="TOC Heading"/>
    <w:basedOn w:val="Heading1"/>
    <w:next w:val="Normal"/>
    <w:uiPriority w:val="39"/>
    <w:unhideWhenUsed/>
    <w:qFormat/>
    <w:rsid w:val="00292861"/>
    <w:pPr>
      <w:bidi w:val="0"/>
      <w:outlineLvl w:val="9"/>
    </w:pPr>
    <w:rPr>
      <w:lang w:eastAsia="ja-JP"/>
    </w:rPr>
  </w:style>
  <w:style w:type="paragraph" w:styleId="TOC1">
    <w:name w:val="toc 1"/>
    <w:basedOn w:val="Normal"/>
    <w:next w:val="Normal"/>
    <w:autoRedefine/>
    <w:uiPriority w:val="39"/>
    <w:unhideWhenUsed/>
    <w:rsid w:val="00292861"/>
    <w:pPr>
      <w:spacing w:after="100"/>
    </w:pPr>
  </w:style>
  <w:style w:type="paragraph" w:styleId="TOC2">
    <w:name w:val="toc 2"/>
    <w:basedOn w:val="Normal"/>
    <w:next w:val="Normal"/>
    <w:autoRedefine/>
    <w:uiPriority w:val="39"/>
    <w:unhideWhenUsed/>
    <w:rsid w:val="00292861"/>
    <w:pPr>
      <w:spacing w:after="100"/>
      <w:ind w:left="220"/>
    </w:pPr>
  </w:style>
  <w:style w:type="paragraph" w:styleId="TOC3">
    <w:name w:val="toc 3"/>
    <w:basedOn w:val="Normal"/>
    <w:next w:val="Normal"/>
    <w:autoRedefine/>
    <w:uiPriority w:val="39"/>
    <w:unhideWhenUsed/>
    <w:rsid w:val="00292861"/>
    <w:pPr>
      <w:spacing w:after="100"/>
      <w:ind w:left="440"/>
    </w:pPr>
  </w:style>
  <w:style w:type="character" w:styleId="Hyperlink">
    <w:name w:val="Hyperlink"/>
    <w:basedOn w:val="DefaultParagraphFont"/>
    <w:uiPriority w:val="99"/>
    <w:unhideWhenUsed/>
    <w:rsid w:val="00292861"/>
    <w:rPr>
      <w:color w:val="0000FF" w:themeColor="hyperlink"/>
      <w:u w:val="single"/>
    </w:rPr>
  </w:style>
  <w:style w:type="character" w:customStyle="1" w:styleId="fusion-imageframe">
    <w:name w:val="fusion-imageframe"/>
    <w:basedOn w:val="DefaultParagraphFont"/>
    <w:rsid w:val="00560450"/>
  </w:style>
  <w:style w:type="paragraph" w:styleId="ListParagraph">
    <w:name w:val="List Paragraph"/>
    <w:aliases w:val="Абзац списка1"/>
    <w:basedOn w:val="Normal"/>
    <w:link w:val="ListParagraphChar"/>
    <w:uiPriority w:val="34"/>
    <w:qFormat/>
    <w:rsid w:val="00560450"/>
    <w:pPr>
      <w:bidi w:val="0"/>
      <w:ind w:left="720"/>
      <w:contextualSpacing/>
    </w:pPr>
  </w:style>
  <w:style w:type="character" w:customStyle="1" w:styleId="ListParagraphChar">
    <w:name w:val="List Paragraph Char"/>
    <w:aliases w:val="Абзац списка1 Char"/>
    <w:link w:val="ListParagraph"/>
    <w:uiPriority w:val="34"/>
    <w:locked/>
    <w:rsid w:val="00560450"/>
  </w:style>
  <w:style w:type="character" w:customStyle="1" w:styleId="apple-converted-space">
    <w:name w:val="apple-converted-space"/>
    <w:basedOn w:val="DefaultParagraphFont"/>
    <w:rsid w:val="00CC36BF"/>
  </w:style>
  <w:style w:type="character" w:customStyle="1" w:styleId="z-TopofFormChar">
    <w:name w:val="z-Top of Form Char"/>
    <w:basedOn w:val="DefaultParagraphFont"/>
    <w:link w:val="z-TopofForm"/>
    <w:uiPriority w:val="99"/>
    <w:semiHidden/>
    <w:rsid w:val="00CC36BF"/>
    <w:rPr>
      <w:rFonts w:ascii="Arial" w:hAnsi="Arial" w:cs="Arial"/>
      <w:vanish/>
      <w:sz w:val="16"/>
      <w:szCs w:val="16"/>
      <w:lang w:val="en-GB"/>
    </w:rPr>
  </w:style>
  <w:style w:type="paragraph" w:styleId="z-TopofForm">
    <w:name w:val="HTML Top of Form"/>
    <w:basedOn w:val="Normal"/>
    <w:next w:val="Normal"/>
    <w:link w:val="z-TopofFormChar"/>
    <w:hidden/>
    <w:uiPriority w:val="99"/>
    <w:semiHidden/>
    <w:unhideWhenUsed/>
    <w:rsid w:val="00CC36BF"/>
    <w:pPr>
      <w:pBdr>
        <w:bottom w:val="single" w:sz="6" w:space="1" w:color="auto"/>
      </w:pBdr>
      <w:bidi w:val="0"/>
      <w:spacing w:after="0"/>
      <w:jc w:val="center"/>
    </w:pPr>
    <w:rPr>
      <w:rFonts w:ascii="Arial" w:hAnsi="Arial" w:cs="Arial"/>
      <w:vanish/>
      <w:sz w:val="16"/>
      <w:szCs w:val="16"/>
      <w:lang w:val="en-GB"/>
    </w:rPr>
  </w:style>
  <w:style w:type="character" w:customStyle="1" w:styleId="z-BottomofFormChar">
    <w:name w:val="z-Bottom of Form Char"/>
    <w:basedOn w:val="DefaultParagraphFont"/>
    <w:link w:val="z-BottomofForm"/>
    <w:uiPriority w:val="99"/>
    <w:semiHidden/>
    <w:rsid w:val="00CC36BF"/>
    <w:rPr>
      <w:rFonts w:ascii="Arial"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CC36BF"/>
    <w:pPr>
      <w:pBdr>
        <w:top w:val="single" w:sz="6" w:space="1" w:color="auto"/>
      </w:pBdr>
      <w:bidi w:val="0"/>
      <w:spacing w:after="0"/>
      <w:jc w:val="center"/>
    </w:pPr>
    <w:rPr>
      <w:rFonts w:ascii="Arial" w:hAnsi="Arial" w:cs="Arial"/>
      <w:vanish/>
      <w:sz w:val="16"/>
      <w:szCs w:val="16"/>
      <w:lang w:val="en-GB"/>
    </w:rPr>
  </w:style>
  <w:style w:type="character" w:customStyle="1" w:styleId="CommentTextChar">
    <w:name w:val="Comment Text Char"/>
    <w:basedOn w:val="DefaultParagraphFont"/>
    <w:link w:val="CommentText"/>
    <w:uiPriority w:val="99"/>
    <w:semiHidden/>
    <w:rsid w:val="00CC36BF"/>
    <w:rPr>
      <w:sz w:val="20"/>
      <w:szCs w:val="20"/>
    </w:rPr>
  </w:style>
  <w:style w:type="paragraph" w:styleId="CommentText">
    <w:name w:val="annotation text"/>
    <w:basedOn w:val="Normal"/>
    <w:link w:val="CommentTextChar"/>
    <w:uiPriority w:val="99"/>
    <w:semiHidden/>
    <w:unhideWhenUsed/>
    <w:rsid w:val="00CC36BF"/>
    <w:pPr>
      <w:bidi w:val="0"/>
      <w:spacing w:line="240" w:lineRule="auto"/>
    </w:pPr>
    <w:rPr>
      <w:sz w:val="20"/>
      <w:szCs w:val="20"/>
    </w:rPr>
  </w:style>
  <w:style w:type="character" w:customStyle="1" w:styleId="CommentSubjectChar">
    <w:name w:val="Comment Subject Char"/>
    <w:basedOn w:val="CommentTextChar"/>
    <w:link w:val="CommentSubject"/>
    <w:uiPriority w:val="99"/>
    <w:semiHidden/>
    <w:rsid w:val="00CC36BF"/>
    <w:rPr>
      <w:b/>
      <w:bCs/>
      <w:sz w:val="20"/>
      <w:szCs w:val="20"/>
    </w:rPr>
  </w:style>
  <w:style w:type="paragraph" w:styleId="CommentSubject">
    <w:name w:val="annotation subject"/>
    <w:basedOn w:val="CommentText"/>
    <w:next w:val="CommentText"/>
    <w:link w:val="CommentSubjectChar"/>
    <w:uiPriority w:val="99"/>
    <w:semiHidden/>
    <w:unhideWhenUsed/>
    <w:rsid w:val="00CC36BF"/>
    <w:rPr>
      <w:b/>
      <w:bCs/>
    </w:rPr>
  </w:style>
  <w:style w:type="character" w:styleId="Emphasis">
    <w:name w:val="Emphasis"/>
    <w:qFormat/>
    <w:rsid w:val="004C33DB"/>
    <w:rPr>
      <w:i/>
      <w:iCs/>
    </w:rPr>
  </w:style>
  <w:style w:type="paragraph" w:customStyle="1" w:styleId="Default">
    <w:name w:val="Default"/>
    <w:rsid w:val="0015176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B10E69"/>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DC72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F37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C720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83A1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83A1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720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F375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C720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83A1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83A15"/>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897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Footnote Text Char1 Char,Footnote Text Char Char Char,Footnote Text Char1 Char1 Char Char,Footnote Text Char Char Char1 Char Char,Footnote Text Char1 Char Char Char Char,Footnote Text Char Char Char Char Char Char, Char"/>
    <w:basedOn w:val="Normal"/>
    <w:link w:val="FootnoteTextChar"/>
    <w:unhideWhenUsed/>
    <w:rsid w:val="006D46F1"/>
    <w:pPr>
      <w:spacing w:after="0" w:line="240" w:lineRule="auto"/>
    </w:pPr>
    <w:rPr>
      <w:rFonts w:ascii="Times New Roman" w:eastAsia="Times New Roman" w:hAnsi="Times New Roman" w:cs="Times New Roman"/>
      <w:sz w:val="20"/>
      <w:szCs w:val="20"/>
      <w:lang w:bidi="ar-EG"/>
    </w:rPr>
  </w:style>
  <w:style w:type="character" w:customStyle="1" w:styleId="FootnoteTextChar">
    <w:name w:val="Footnote Text Char"/>
    <w:aliases w:val="Char Char,Footnote Text Char1 Char Char,Footnote Text Char Char Char Char,Footnote Text Char1 Char1 Char Char Char,Footnote Text Char Char Char1 Char Char Char,Footnote Text Char1 Char Char Char Char Char, Char Char"/>
    <w:basedOn w:val="DefaultParagraphFont"/>
    <w:link w:val="FootnoteText"/>
    <w:rsid w:val="006D46F1"/>
    <w:rPr>
      <w:rFonts w:ascii="Times New Roman" w:eastAsia="Times New Roman" w:hAnsi="Times New Roman" w:cs="Times New Roman"/>
      <w:sz w:val="20"/>
      <w:szCs w:val="20"/>
      <w:lang w:bidi="ar-EG"/>
    </w:rPr>
  </w:style>
  <w:style w:type="character" w:styleId="FootnoteReference">
    <w:name w:val="footnote reference"/>
    <w:aliases w:val="16 Point,Superscript 6 Point,(Ref. de nota al pie),BVI fnr"/>
    <w:uiPriority w:val="99"/>
    <w:unhideWhenUsed/>
    <w:rsid w:val="006D46F1"/>
    <w:rPr>
      <w:vertAlign w:val="superscript"/>
    </w:rPr>
  </w:style>
  <w:style w:type="paragraph" w:styleId="Header">
    <w:name w:val="header"/>
    <w:basedOn w:val="Normal"/>
    <w:link w:val="HeaderChar"/>
    <w:uiPriority w:val="99"/>
    <w:unhideWhenUsed/>
    <w:rsid w:val="006D46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46F1"/>
  </w:style>
  <w:style w:type="paragraph" w:styleId="Footer">
    <w:name w:val="footer"/>
    <w:basedOn w:val="Normal"/>
    <w:link w:val="FooterChar"/>
    <w:uiPriority w:val="99"/>
    <w:unhideWhenUsed/>
    <w:rsid w:val="006D46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46F1"/>
  </w:style>
  <w:style w:type="character" w:styleId="LineNumber">
    <w:name w:val="line number"/>
    <w:basedOn w:val="DefaultParagraphFont"/>
    <w:uiPriority w:val="99"/>
    <w:semiHidden/>
    <w:unhideWhenUsed/>
    <w:rsid w:val="00E267DE"/>
  </w:style>
  <w:style w:type="table" w:styleId="LightShading-Accent1">
    <w:name w:val="Light Shading Accent 1"/>
    <w:basedOn w:val="TableNormal"/>
    <w:uiPriority w:val="60"/>
    <w:rsid w:val="00985FA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85FA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PlaceholderText">
    <w:name w:val="Placeholder Text"/>
    <w:basedOn w:val="DefaultParagraphFont"/>
    <w:uiPriority w:val="99"/>
    <w:semiHidden/>
    <w:rsid w:val="00357088"/>
    <w:rPr>
      <w:color w:val="808080"/>
    </w:rPr>
  </w:style>
  <w:style w:type="paragraph" w:styleId="BalloonText">
    <w:name w:val="Balloon Text"/>
    <w:basedOn w:val="Normal"/>
    <w:link w:val="BalloonTextChar"/>
    <w:uiPriority w:val="99"/>
    <w:unhideWhenUsed/>
    <w:rsid w:val="00357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57088"/>
    <w:rPr>
      <w:rFonts w:ascii="Tahoma" w:hAnsi="Tahoma" w:cs="Tahoma"/>
      <w:sz w:val="16"/>
      <w:szCs w:val="16"/>
    </w:rPr>
  </w:style>
  <w:style w:type="paragraph" w:styleId="TOCHeading">
    <w:name w:val="TOC Heading"/>
    <w:basedOn w:val="Heading1"/>
    <w:next w:val="Normal"/>
    <w:uiPriority w:val="39"/>
    <w:unhideWhenUsed/>
    <w:qFormat/>
    <w:rsid w:val="00292861"/>
    <w:pPr>
      <w:bidi w:val="0"/>
      <w:outlineLvl w:val="9"/>
    </w:pPr>
    <w:rPr>
      <w:lang w:eastAsia="ja-JP"/>
    </w:rPr>
  </w:style>
  <w:style w:type="paragraph" w:styleId="TOC1">
    <w:name w:val="toc 1"/>
    <w:basedOn w:val="Normal"/>
    <w:next w:val="Normal"/>
    <w:autoRedefine/>
    <w:uiPriority w:val="39"/>
    <w:unhideWhenUsed/>
    <w:rsid w:val="00292861"/>
    <w:pPr>
      <w:spacing w:after="100"/>
    </w:pPr>
  </w:style>
  <w:style w:type="paragraph" w:styleId="TOC2">
    <w:name w:val="toc 2"/>
    <w:basedOn w:val="Normal"/>
    <w:next w:val="Normal"/>
    <w:autoRedefine/>
    <w:uiPriority w:val="39"/>
    <w:unhideWhenUsed/>
    <w:rsid w:val="00292861"/>
    <w:pPr>
      <w:spacing w:after="100"/>
      <w:ind w:left="220"/>
    </w:pPr>
  </w:style>
  <w:style w:type="paragraph" w:styleId="TOC3">
    <w:name w:val="toc 3"/>
    <w:basedOn w:val="Normal"/>
    <w:next w:val="Normal"/>
    <w:autoRedefine/>
    <w:uiPriority w:val="39"/>
    <w:unhideWhenUsed/>
    <w:rsid w:val="00292861"/>
    <w:pPr>
      <w:spacing w:after="100"/>
      <w:ind w:left="440"/>
    </w:pPr>
  </w:style>
  <w:style w:type="character" w:styleId="Hyperlink">
    <w:name w:val="Hyperlink"/>
    <w:basedOn w:val="DefaultParagraphFont"/>
    <w:uiPriority w:val="99"/>
    <w:unhideWhenUsed/>
    <w:rsid w:val="00292861"/>
    <w:rPr>
      <w:color w:val="0000FF" w:themeColor="hyperlink"/>
      <w:u w:val="single"/>
    </w:rPr>
  </w:style>
  <w:style w:type="character" w:customStyle="1" w:styleId="fusion-imageframe">
    <w:name w:val="fusion-imageframe"/>
    <w:basedOn w:val="DefaultParagraphFont"/>
    <w:rsid w:val="00560450"/>
  </w:style>
  <w:style w:type="paragraph" w:styleId="ListParagraph">
    <w:name w:val="List Paragraph"/>
    <w:aliases w:val="Абзац списка1"/>
    <w:basedOn w:val="Normal"/>
    <w:link w:val="ListParagraphChar"/>
    <w:uiPriority w:val="34"/>
    <w:qFormat/>
    <w:rsid w:val="00560450"/>
    <w:pPr>
      <w:bidi w:val="0"/>
      <w:ind w:left="720"/>
      <w:contextualSpacing/>
    </w:pPr>
  </w:style>
  <w:style w:type="character" w:customStyle="1" w:styleId="ListParagraphChar">
    <w:name w:val="List Paragraph Char"/>
    <w:aliases w:val="Абзац списка1 Char"/>
    <w:link w:val="ListParagraph"/>
    <w:uiPriority w:val="34"/>
    <w:locked/>
    <w:rsid w:val="00560450"/>
  </w:style>
  <w:style w:type="character" w:customStyle="1" w:styleId="apple-converted-space">
    <w:name w:val="apple-converted-space"/>
    <w:basedOn w:val="DefaultParagraphFont"/>
    <w:rsid w:val="00CC36BF"/>
  </w:style>
  <w:style w:type="character" w:customStyle="1" w:styleId="z-TopofFormChar">
    <w:name w:val="z-Top of Form Char"/>
    <w:basedOn w:val="DefaultParagraphFont"/>
    <w:link w:val="z-TopofForm"/>
    <w:uiPriority w:val="99"/>
    <w:semiHidden/>
    <w:rsid w:val="00CC36BF"/>
    <w:rPr>
      <w:rFonts w:ascii="Arial" w:hAnsi="Arial" w:cs="Arial"/>
      <w:vanish/>
      <w:sz w:val="16"/>
      <w:szCs w:val="16"/>
      <w:lang w:val="en-GB"/>
    </w:rPr>
  </w:style>
  <w:style w:type="paragraph" w:styleId="z-TopofForm">
    <w:name w:val="HTML Top of Form"/>
    <w:basedOn w:val="Normal"/>
    <w:next w:val="Normal"/>
    <w:link w:val="z-TopofFormChar"/>
    <w:hidden/>
    <w:uiPriority w:val="99"/>
    <w:semiHidden/>
    <w:unhideWhenUsed/>
    <w:rsid w:val="00CC36BF"/>
    <w:pPr>
      <w:pBdr>
        <w:bottom w:val="single" w:sz="6" w:space="1" w:color="auto"/>
      </w:pBdr>
      <w:bidi w:val="0"/>
      <w:spacing w:after="0"/>
      <w:jc w:val="center"/>
    </w:pPr>
    <w:rPr>
      <w:rFonts w:ascii="Arial" w:hAnsi="Arial" w:cs="Arial"/>
      <w:vanish/>
      <w:sz w:val="16"/>
      <w:szCs w:val="16"/>
      <w:lang w:val="en-GB"/>
    </w:rPr>
  </w:style>
  <w:style w:type="character" w:customStyle="1" w:styleId="z-BottomofFormChar">
    <w:name w:val="z-Bottom of Form Char"/>
    <w:basedOn w:val="DefaultParagraphFont"/>
    <w:link w:val="z-BottomofForm"/>
    <w:uiPriority w:val="99"/>
    <w:semiHidden/>
    <w:rsid w:val="00CC36BF"/>
    <w:rPr>
      <w:rFonts w:ascii="Arial"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CC36BF"/>
    <w:pPr>
      <w:pBdr>
        <w:top w:val="single" w:sz="6" w:space="1" w:color="auto"/>
      </w:pBdr>
      <w:bidi w:val="0"/>
      <w:spacing w:after="0"/>
      <w:jc w:val="center"/>
    </w:pPr>
    <w:rPr>
      <w:rFonts w:ascii="Arial" w:hAnsi="Arial" w:cs="Arial"/>
      <w:vanish/>
      <w:sz w:val="16"/>
      <w:szCs w:val="16"/>
      <w:lang w:val="en-GB"/>
    </w:rPr>
  </w:style>
  <w:style w:type="character" w:customStyle="1" w:styleId="CommentTextChar">
    <w:name w:val="Comment Text Char"/>
    <w:basedOn w:val="DefaultParagraphFont"/>
    <w:link w:val="CommentText"/>
    <w:uiPriority w:val="99"/>
    <w:semiHidden/>
    <w:rsid w:val="00CC36BF"/>
    <w:rPr>
      <w:sz w:val="20"/>
      <w:szCs w:val="20"/>
    </w:rPr>
  </w:style>
  <w:style w:type="paragraph" w:styleId="CommentText">
    <w:name w:val="annotation text"/>
    <w:basedOn w:val="Normal"/>
    <w:link w:val="CommentTextChar"/>
    <w:uiPriority w:val="99"/>
    <w:semiHidden/>
    <w:unhideWhenUsed/>
    <w:rsid w:val="00CC36BF"/>
    <w:pPr>
      <w:bidi w:val="0"/>
      <w:spacing w:line="240" w:lineRule="auto"/>
    </w:pPr>
    <w:rPr>
      <w:sz w:val="20"/>
      <w:szCs w:val="20"/>
    </w:rPr>
  </w:style>
  <w:style w:type="character" w:customStyle="1" w:styleId="CommentSubjectChar">
    <w:name w:val="Comment Subject Char"/>
    <w:basedOn w:val="CommentTextChar"/>
    <w:link w:val="CommentSubject"/>
    <w:uiPriority w:val="99"/>
    <w:semiHidden/>
    <w:rsid w:val="00CC36BF"/>
    <w:rPr>
      <w:b/>
      <w:bCs/>
      <w:sz w:val="20"/>
      <w:szCs w:val="20"/>
    </w:rPr>
  </w:style>
  <w:style w:type="paragraph" w:styleId="CommentSubject">
    <w:name w:val="annotation subject"/>
    <w:basedOn w:val="CommentText"/>
    <w:next w:val="CommentText"/>
    <w:link w:val="CommentSubjectChar"/>
    <w:uiPriority w:val="99"/>
    <w:semiHidden/>
    <w:unhideWhenUsed/>
    <w:rsid w:val="00CC36BF"/>
    <w:rPr>
      <w:b/>
      <w:bCs/>
    </w:rPr>
  </w:style>
  <w:style w:type="character" w:styleId="Emphasis">
    <w:name w:val="Emphasis"/>
    <w:qFormat/>
    <w:rsid w:val="004C33DB"/>
    <w:rPr>
      <w:i/>
      <w:iCs/>
    </w:rPr>
  </w:style>
  <w:style w:type="paragraph" w:customStyle="1" w:styleId="Default">
    <w:name w:val="Default"/>
    <w:rsid w:val="0015176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B10E6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581280">
      <w:bodyDiv w:val="1"/>
      <w:marLeft w:val="0"/>
      <w:marRight w:val="0"/>
      <w:marTop w:val="0"/>
      <w:marBottom w:val="0"/>
      <w:divBdr>
        <w:top w:val="none" w:sz="0" w:space="0" w:color="auto"/>
        <w:left w:val="none" w:sz="0" w:space="0" w:color="auto"/>
        <w:bottom w:val="none" w:sz="0" w:space="0" w:color="auto"/>
        <w:right w:val="none" w:sz="0" w:space="0" w:color="auto"/>
      </w:divBdr>
    </w:div>
    <w:div w:id="1551527548">
      <w:bodyDiv w:val="1"/>
      <w:marLeft w:val="0"/>
      <w:marRight w:val="0"/>
      <w:marTop w:val="0"/>
      <w:marBottom w:val="0"/>
      <w:divBdr>
        <w:top w:val="none" w:sz="0" w:space="0" w:color="auto"/>
        <w:left w:val="none" w:sz="0" w:space="0" w:color="auto"/>
        <w:bottom w:val="none" w:sz="0" w:space="0" w:color="auto"/>
        <w:right w:val="none" w:sz="0" w:space="0" w:color="auto"/>
      </w:divBdr>
    </w:div>
    <w:div w:id="170868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charts/_rels/chart17.xml.rels><?xml version="1.0" encoding="UTF-8" standalone="yes"?>
<Relationships xmlns="http://schemas.openxmlformats.org/package/2006/relationships"><Relationship Id="rId1" Type="http://schemas.openxmlformats.org/officeDocument/2006/relationships/oleObject" Target="file:///C:\Users\LENOVO\Desktop\Copy%20of%20&#1575;&#1587;&#1578;&#1591;&#1604;&#1575;&#1593;%20&#1575;&#1604;&#1585;&#1571;&#1610;.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H:\&#160;\Book1%20(Recovered).xlsx" TargetMode="External"/></Relationships>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30579533702083"/>
          <c:y val="5.6030183727034118E-2"/>
          <c:w val="0.82965413738865523"/>
          <c:h val="0.54819845435987169"/>
        </c:manualLayout>
      </c:layout>
      <c:barChart>
        <c:barDir val="col"/>
        <c:grouping val="clustered"/>
        <c:varyColors val="0"/>
        <c:ser>
          <c:idx val="0"/>
          <c:order val="0"/>
          <c:tx>
            <c:strRef>
              <c:f>'[ملف تصايح البيانات.xlsx]Sheet1'!$B$179</c:f>
              <c:strCache>
                <c:ptCount val="1"/>
                <c:pt idx="0">
                  <c:v>موافق</c:v>
                </c:pt>
              </c:strCache>
            </c:strRef>
          </c:tx>
          <c:spPr>
            <a:solidFill>
              <a:schemeClr val="tx1"/>
            </a:solidFill>
          </c:spPr>
          <c:invertIfNegative val="0"/>
          <c:dLbls>
            <c:spPr>
              <a:noFill/>
              <a:ln>
                <a:noFill/>
              </a:ln>
              <a:effectLst/>
            </c:spPr>
            <c:txPr>
              <a:bodyPr/>
              <a:lstStyle/>
              <a:p>
                <a:pPr>
                  <a:defRPr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'[ملف تصايح البيانات.xlsx]Sheet1'!$A$180:$A$186</c:f>
              <c:strCache>
                <c:ptCount val="7"/>
                <c:pt idx="0">
                  <c:v>ارتفاع أسعارها </c:v>
                </c:pt>
                <c:pt idx="1">
                  <c:v>عدم توافر معلومات عنها </c:v>
                </c:pt>
                <c:pt idx="2">
                  <c:v>توافرها في نوعية متاجر محددة ومحدودة </c:v>
                </c:pt>
                <c:pt idx="3">
                  <c:v>عدم الاقتناع باهيمتها </c:v>
                </c:pt>
                <c:pt idx="4">
                  <c:v>عدم موازاة المنافع البيئة لما يدفع في مقابلها </c:v>
                </c:pt>
                <c:pt idx="5">
                  <c:v>العادات الاستهلاكية غير الرشيدة </c:v>
                </c:pt>
                <c:pt idx="6">
                  <c:v>عدم تنوعها بما يلبي احتياجات المستهلك </c:v>
                </c:pt>
              </c:strCache>
            </c:strRef>
          </c:cat>
          <c:val>
            <c:numRef>
              <c:f>'[ملف تصايح البيانات.xlsx]Sheet1'!$B$180:$B$186</c:f>
              <c:numCache>
                <c:formatCode>0</c:formatCode>
                <c:ptCount val="7"/>
                <c:pt idx="0">
                  <c:v>85.7</c:v>
                </c:pt>
                <c:pt idx="1">
                  <c:v>92.9</c:v>
                </c:pt>
                <c:pt idx="2">
                  <c:v>71.399999999999991</c:v>
                </c:pt>
                <c:pt idx="3">
                  <c:v>35.700000000000003</c:v>
                </c:pt>
                <c:pt idx="4">
                  <c:v>35.699999999999996</c:v>
                </c:pt>
                <c:pt idx="5">
                  <c:v>85.7</c:v>
                </c:pt>
                <c:pt idx="6">
                  <c:v>64.3</c:v>
                </c:pt>
              </c:numCache>
            </c:numRef>
          </c:val>
        </c:ser>
        <c:ser>
          <c:idx val="1"/>
          <c:order val="1"/>
          <c:tx>
            <c:strRef>
              <c:f>'[ملف تصايح البيانات.xlsx]Sheet1'!$C$179</c:f>
              <c:strCache>
                <c:ptCount val="1"/>
                <c:pt idx="0">
                  <c:v>محايد </c:v>
                </c:pt>
              </c:strCache>
            </c:strRef>
          </c:tx>
          <c:spPr>
            <a:pattFill prst="wdUpDiag">
              <a:fgClr>
                <a:schemeClr val="tx1"/>
              </a:fgClr>
              <a:bgClr>
                <a:schemeClr val="bg1"/>
              </a:bgClr>
            </a:pattFill>
            <a:ln>
              <a:solidFill>
                <a:schemeClr val="tx1"/>
              </a:solidFill>
            </a:ln>
          </c:spPr>
          <c:invertIfNegative val="0"/>
          <c:dLbls>
            <c:dLbl>
              <c:idx val="1"/>
              <c:delete val="1"/>
              <c:extLst>
                <c:ext xmlns:c15="http://schemas.microsoft.com/office/drawing/2012/chart" uri="{CE6537A1-D6FC-4f65-9D91-7224C49458BB}"/>
              </c:extLst>
            </c:dLbl>
            <c:spPr>
              <a:noFill/>
              <a:ln>
                <a:noFill/>
              </a:ln>
              <a:effectLst/>
            </c:spPr>
            <c:txPr>
              <a:bodyPr/>
              <a:lstStyle/>
              <a:p>
                <a:pPr>
                  <a:defRPr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'[ملف تصايح البيانات.xlsx]Sheet1'!$A$180:$A$186</c:f>
              <c:strCache>
                <c:ptCount val="7"/>
                <c:pt idx="0">
                  <c:v>ارتفاع أسعارها </c:v>
                </c:pt>
                <c:pt idx="1">
                  <c:v>عدم توافر معلومات عنها </c:v>
                </c:pt>
                <c:pt idx="2">
                  <c:v>توافرها في نوعية متاجر محددة ومحدودة </c:v>
                </c:pt>
                <c:pt idx="3">
                  <c:v>عدم الاقتناع باهيمتها </c:v>
                </c:pt>
                <c:pt idx="4">
                  <c:v>عدم موازاة المنافع البيئة لما يدفع في مقابلها </c:v>
                </c:pt>
                <c:pt idx="5">
                  <c:v>العادات الاستهلاكية غير الرشيدة </c:v>
                </c:pt>
                <c:pt idx="6">
                  <c:v>عدم تنوعها بما يلبي احتياجات المستهلك </c:v>
                </c:pt>
              </c:strCache>
            </c:strRef>
          </c:cat>
          <c:val>
            <c:numRef>
              <c:f>'[ملف تصايح البيانات.xlsx]Sheet1'!$C$180:$C$186</c:f>
              <c:numCache>
                <c:formatCode>0</c:formatCode>
                <c:ptCount val="7"/>
                <c:pt idx="0">
                  <c:v>14.299999999999999</c:v>
                </c:pt>
                <c:pt idx="1">
                  <c:v>0</c:v>
                </c:pt>
                <c:pt idx="2">
                  <c:v>14.299999999999999</c:v>
                </c:pt>
                <c:pt idx="3">
                  <c:v>35.700000000000003</c:v>
                </c:pt>
                <c:pt idx="4">
                  <c:v>28.6</c:v>
                </c:pt>
                <c:pt idx="5">
                  <c:v>14.299999999999999</c:v>
                </c:pt>
                <c:pt idx="6">
                  <c:v>28.599999999999998</c:v>
                </c:pt>
              </c:numCache>
            </c:numRef>
          </c:val>
        </c:ser>
        <c:ser>
          <c:idx val="2"/>
          <c:order val="2"/>
          <c:tx>
            <c:strRef>
              <c:f>'[ملف تصايح البيانات.xlsx]Sheet1'!$D$179</c:f>
              <c:strCache>
                <c:ptCount val="1"/>
                <c:pt idx="0">
                  <c:v>غير موافق</c:v>
                </c:pt>
              </c:strCache>
            </c:strRef>
          </c:tx>
          <c:spPr>
            <a:pattFill prst="pct5">
              <a:fgClr>
                <a:schemeClr val="tx1"/>
              </a:fgClr>
              <a:bgClr>
                <a:schemeClr val="bg1"/>
              </a:bgClr>
            </a:pattFill>
            <a:ln>
              <a:solidFill>
                <a:schemeClr val="tx1"/>
              </a:solidFill>
            </a:ln>
          </c:spPr>
          <c:invertIfNegative val="0"/>
          <c:dLbls>
            <c:dLbl>
              <c:idx val="0"/>
              <c:delete val="1"/>
              <c:extLst>
                <c:ext xmlns:c15="http://schemas.microsoft.com/office/drawing/2012/chart" uri="{CE6537A1-D6FC-4f65-9D91-7224C49458BB}"/>
              </c:extLst>
            </c:dLbl>
            <c:spPr>
              <a:noFill/>
              <a:ln>
                <a:noFill/>
              </a:ln>
              <a:effectLst/>
            </c:spPr>
            <c:txPr>
              <a:bodyPr/>
              <a:lstStyle/>
              <a:p>
                <a:pPr>
                  <a:defRPr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'[ملف تصايح البيانات.xlsx]Sheet1'!$A$180:$A$186</c:f>
              <c:strCache>
                <c:ptCount val="7"/>
                <c:pt idx="0">
                  <c:v>ارتفاع أسعارها </c:v>
                </c:pt>
                <c:pt idx="1">
                  <c:v>عدم توافر معلومات عنها </c:v>
                </c:pt>
                <c:pt idx="2">
                  <c:v>توافرها في نوعية متاجر محددة ومحدودة </c:v>
                </c:pt>
                <c:pt idx="3">
                  <c:v>عدم الاقتناع باهيمتها </c:v>
                </c:pt>
                <c:pt idx="4">
                  <c:v>عدم موازاة المنافع البيئة لما يدفع في مقابلها </c:v>
                </c:pt>
                <c:pt idx="5">
                  <c:v>العادات الاستهلاكية غير الرشيدة </c:v>
                </c:pt>
                <c:pt idx="6">
                  <c:v>عدم تنوعها بما يلبي احتياجات المستهلك </c:v>
                </c:pt>
              </c:strCache>
            </c:strRef>
          </c:cat>
          <c:val>
            <c:numRef>
              <c:f>'[ملف تصايح البيانات.xlsx]Sheet1'!$D$180:$D$186</c:f>
              <c:numCache>
                <c:formatCode>0</c:formatCode>
                <c:ptCount val="7"/>
                <c:pt idx="0">
                  <c:v>0</c:v>
                </c:pt>
                <c:pt idx="1">
                  <c:v>7.1</c:v>
                </c:pt>
                <c:pt idx="2">
                  <c:v>14.299999999999999</c:v>
                </c:pt>
                <c:pt idx="3">
                  <c:v>28.6</c:v>
                </c:pt>
                <c:pt idx="4">
                  <c:v>35.699999999999996</c:v>
                </c:pt>
                <c:pt idx="5">
                  <c:v>0</c:v>
                </c:pt>
                <c:pt idx="6">
                  <c:v>7.1</c:v>
                </c:pt>
              </c:numCache>
            </c:numRef>
          </c:val>
        </c:ser>
        <c:dLbls>
          <c:showLegendKey val="0"/>
          <c:showVal val="0"/>
          <c:showCatName val="0"/>
          <c:showSerName val="0"/>
          <c:showPercent val="0"/>
          <c:showBubbleSize val="0"/>
        </c:dLbls>
        <c:gapWidth val="150"/>
        <c:axId val="130979712"/>
        <c:axId val="130981248"/>
      </c:barChart>
      <c:catAx>
        <c:axId val="130979712"/>
        <c:scaling>
          <c:orientation val="minMax"/>
        </c:scaling>
        <c:delete val="0"/>
        <c:axPos val="b"/>
        <c:numFmt formatCode="General" sourceLinked="0"/>
        <c:majorTickMark val="out"/>
        <c:minorTickMark val="none"/>
        <c:tickLblPos val="nextTo"/>
        <c:txPr>
          <a:bodyPr/>
          <a:lstStyle/>
          <a:p>
            <a:pPr>
              <a:defRPr b="1">
                <a:latin typeface="Traditional Arabic" pitchFamily="18" charset="-78"/>
                <a:cs typeface="Traditional Arabic" pitchFamily="18" charset="-78"/>
              </a:defRPr>
            </a:pPr>
            <a:endParaRPr lang="en-US"/>
          </a:p>
        </c:txPr>
        <c:crossAx val="130981248"/>
        <c:crosses val="autoZero"/>
        <c:auto val="1"/>
        <c:lblAlgn val="ctr"/>
        <c:lblOffset val="100"/>
        <c:noMultiLvlLbl val="0"/>
      </c:catAx>
      <c:valAx>
        <c:axId val="130981248"/>
        <c:scaling>
          <c:orientation val="minMax"/>
          <c:max val="100"/>
        </c:scaling>
        <c:delete val="0"/>
        <c:axPos val="l"/>
        <c:title>
          <c:tx>
            <c:rich>
              <a:bodyPr rot="0" vert="horz"/>
              <a:lstStyle/>
              <a:p>
                <a:pPr>
                  <a:defRPr/>
                </a:pPr>
                <a:r>
                  <a:rPr lang="en-US"/>
                  <a:t>(%)</a:t>
                </a:r>
              </a:p>
            </c:rich>
          </c:tx>
          <c:layout>
            <c:manualLayout>
              <c:xMode val="edge"/>
              <c:yMode val="edge"/>
              <c:x val="1.6528945160116401E-3"/>
              <c:y val="3.0210338291046954E-2"/>
            </c:manualLayout>
          </c:layout>
          <c:overlay val="0"/>
        </c:title>
        <c:numFmt formatCode="0" sourceLinked="1"/>
        <c:majorTickMark val="out"/>
        <c:minorTickMark val="none"/>
        <c:tickLblPos val="nextTo"/>
        <c:crossAx val="130979712"/>
        <c:crosses val="autoZero"/>
        <c:crossBetween val="between"/>
        <c:majorUnit val="20"/>
      </c:valAx>
    </c:plotArea>
    <c:legend>
      <c:legendPos val="b"/>
      <c:overlay val="0"/>
      <c:txPr>
        <a:bodyPr/>
        <a:lstStyle/>
        <a:p>
          <a:pPr>
            <a:defRPr b="1">
              <a:latin typeface="Traditional Arabic" pitchFamily="18" charset="-78"/>
              <a:cs typeface="Traditional Arabic" pitchFamily="18" charset="-78"/>
            </a:defRPr>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11542154791627"/>
          <c:y val="0.16840140841903614"/>
          <c:w val="0.72866863837142304"/>
          <c:h val="0.53700742432895487"/>
        </c:manualLayout>
      </c:layout>
      <c:barChart>
        <c:barDir val="col"/>
        <c:grouping val="clustered"/>
        <c:varyColors val="0"/>
        <c:ser>
          <c:idx val="0"/>
          <c:order val="0"/>
          <c:tx>
            <c:strRef>
              <c:f>Sheet2!$B$26</c:f>
              <c:strCache>
                <c:ptCount val="1"/>
                <c:pt idx="0">
                  <c:v>ممتاز</c:v>
                </c:pt>
              </c:strCache>
            </c:strRef>
          </c:tx>
          <c:spPr>
            <a:solidFill>
              <a:schemeClr val="tx1"/>
            </a:solidFill>
          </c:spPr>
          <c:invertIfNegative val="0"/>
          <c:dLbls>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Sheet2!$C$25:$D$25</c:f>
              <c:strCache>
                <c:ptCount val="2"/>
                <c:pt idx="0">
                  <c:v>الأجهزة الحكومية</c:v>
                </c:pt>
                <c:pt idx="1">
                  <c:v>منظمات المجتمع المدني</c:v>
                </c:pt>
              </c:strCache>
            </c:strRef>
          </c:cat>
          <c:val>
            <c:numRef>
              <c:f>Sheet2!$C$26:$D$26</c:f>
              <c:numCache>
                <c:formatCode>General</c:formatCode>
                <c:ptCount val="2"/>
                <c:pt idx="0">
                  <c:v>4</c:v>
                </c:pt>
                <c:pt idx="1">
                  <c:v>3</c:v>
                </c:pt>
              </c:numCache>
            </c:numRef>
          </c:val>
        </c:ser>
        <c:ser>
          <c:idx val="1"/>
          <c:order val="1"/>
          <c:tx>
            <c:strRef>
              <c:f>Sheet2!$B$27</c:f>
              <c:strCache>
                <c:ptCount val="1"/>
                <c:pt idx="0">
                  <c:v>جيد</c:v>
                </c:pt>
              </c:strCache>
            </c:strRef>
          </c:tx>
          <c:spPr>
            <a:pattFill prst="wdDnDiag">
              <a:fgClr>
                <a:schemeClr val="tx1"/>
              </a:fgClr>
              <a:bgClr>
                <a:schemeClr val="bg1"/>
              </a:bgClr>
            </a:pattFill>
            <a:ln>
              <a:solidFill>
                <a:schemeClr val="tx1"/>
              </a:solidFill>
            </a:ln>
          </c:spPr>
          <c:invertIfNegative val="0"/>
          <c:dLbls>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Sheet2!$C$25:$D$25</c:f>
              <c:strCache>
                <c:ptCount val="2"/>
                <c:pt idx="0">
                  <c:v>الأجهزة الحكومية</c:v>
                </c:pt>
                <c:pt idx="1">
                  <c:v>منظمات المجتمع المدني</c:v>
                </c:pt>
              </c:strCache>
            </c:strRef>
          </c:cat>
          <c:val>
            <c:numRef>
              <c:f>Sheet2!$C$27:$D$27</c:f>
              <c:numCache>
                <c:formatCode>General</c:formatCode>
                <c:ptCount val="2"/>
                <c:pt idx="0">
                  <c:v>22</c:v>
                </c:pt>
                <c:pt idx="1">
                  <c:v>20</c:v>
                </c:pt>
              </c:numCache>
            </c:numRef>
          </c:val>
        </c:ser>
        <c:ser>
          <c:idx val="2"/>
          <c:order val="2"/>
          <c:tx>
            <c:strRef>
              <c:f>Sheet2!$B$28</c:f>
              <c:strCache>
                <c:ptCount val="1"/>
                <c:pt idx="0">
                  <c:v>ضعيف</c:v>
                </c:pt>
              </c:strCache>
            </c:strRef>
          </c:tx>
          <c:spPr>
            <a:pattFill prst="pct5">
              <a:fgClr>
                <a:schemeClr val="tx1"/>
              </a:fgClr>
              <a:bgClr>
                <a:schemeClr val="bg1"/>
              </a:bgClr>
            </a:pattFill>
            <a:ln>
              <a:solidFill>
                <a:schemeClr val="tx1"/>
              </a:solidFill>
            </a:ln>
          </c:spPr>
          <c:invertIfNegative val="0"/>
          <c:dLbls>
            <c:spPr>
              <a:noFill/>
              <a:ln>
                <a:noFill/>
              </a:ln>
              <a:effectLst/>
            </c:spPr>
            <c:txPr>
              <a:bodyPr/>
              <a:lstStyle/>
              <a:p>
                <a:pPr>
                  <a:defRPr lang="en-US" sz="800" b="1" baseline="0">
                    <a:latin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Sheet2!$C$25:$D$25</c:f>
              <c:strCache>
                <c:ptCount val="2"/>
                <c:pt idx="0">
                  <c:v>الأجهزة الحكومية</c:v>
                </c:pt>
                <c:pt idx="1">
                  <c:v>منظمات المجتمع المدني</c:v>
                </c:pt>
              </c:strCache>
            </c:strRef>
          </c:cat>
          <c:val>
            <c:numRef>
              <c:f>Sheet2!$C$28:$D$28</c:f>
              <c:numCache>
                <c:formatCode>General</c:formatCode>
                <c:ptCount val="2"/>
                <c:pt idx="0">
                  <c:v>74</c:v>
                </c:pt>
                <c:pt idx="1">
                  <c:v>77</c:v>
                </c:pt>
              </c:numCache>
            </c:numRef>
          </c:val>
        </c:ser>
        <c:dLbls>
          <c:showLegendKey val="0"/>
          <c:showVal val="0"/>
          <c:showCatName val="0"/>
          <c:showSerName val="0"/>
          <c:showPercent val="0"/>
          <c:showBubbleSize val="0"/>
        </c:dLbls>
        <c:gapWidth val="500"/>
        <c:overlap val="10"/>
        <c:axId val="131852160"/>
        <c:axId val="131853696"/>
      </c:barChart>
      <c:catAx>
        <c:axId val="131852160"/>
        <c:scaling>
          <c:orientation val="minMax"/>
        </c:scaling>
        <c:delete val="0"/>
        <c:axPos val="b"/>
        <c:numFmt formatCode="General" sourceLinked="0"/>
        <c:majorTickMark val="out"/>
        <c:minorTickMark val="none"/>
        <c:tickLblPos val="nextTo"/>
        <c:txPr>
          <a:bodyPr/>
          <a:lstStyle/>
          <a:p>
            <a:pPr>
              <a:defRPr lang="en-US" sz="1200" b="1">
                <a:latin typeface="Traditional Arabic" pitchFamily="18" charset="-78"/>
                <a:cs typeface="Traditional Arabic" pitchFamily="18" charset="-78"/>
              </a:defRPr>
            </a:pPr>
            <a:endParaRPr lang="en-US"/>
          </a:p>
        </c:txPr>
        <c:crossAx val="131853696"/>
        <c:crosses val="autoZero"/>
        <c:auto val="1"/>
        <c:lblAlgn val="ctr"/>
        <c:lblOffset val="100"/>
        <c:noMultiLvlLbl val="0"/>
      </c:catAx>
      <c:valAx>
        <c:axId val="131853696"/>
        <c:scaling>
          <c:orientation val="minMax"/>
          <c:max val="100"/>
        </c:scaling>
        <c:delete val="0"/>
        <c:axPos val="l"/>
        <c:title>
          <c:tx>
            <c:rich>
              <a:bodyPr rot="0" vert="horz"/>
              <a:lstStyle/>
              <a:p>
                <a:pPr>
                  <a:defRPr lang="en-US" sz="1100"/>
                </a:pPr>
                <a:r>
                  <a:rPr lang="en-US" sz="1100"/>
                  <a:t>(%)</a:t>
                </a:r>
              </a:p>
            </c:rich>
          </c:tx>
          <c:layout>
            <c:manualLayout>
              <c:xMode val="edge"/>
              <c:yMode val="edge"/>
              <c:x val="0"/>
              <c:y val="2.8051545640128312E-2"/>
            </c:manualLayout>
          </c:layout>
          <c:overlay val="0"/>
        </c:title>
        <c:numFmt formatCode="General" sourceLinked="1"/>
        <c:majorTickMark val="out"/>
        <c:minorTickMark val="none"/>
        <c:tickLblPos val="nextTo"/>
        <c:txPr>
          <a:bodyPr/>
          <a:lstStyle/>
          <a:p>
            <a:pPr>
              <a:defRPr lang="en-US" b="1" baseline="0">
                <a:latin typeface="Garamond" pitchFamily="18" charset="0"/>
              </a:defRPr>
            </a:pPr>
            <a:endParaRPr lang="en-US"/>
          </a:p>
        </c:txPr>
        <c:crossAx val="131852160"/>
        <c:crosses val="autoZero"/>
        <c:crossBetween val="between"/>
        <c:majorUnit val="20"/>
      </c:valAx>
    </c:plotArea>
    <c:legend>
      <c:legendPos val="b"/>
      <c:layout>
        <c:manualLayout>
          <c:xMode val="edge"/>
          <c:yMode val="edge"/>
          <c:x val="0.33585390664920617"/>
          <c:y val="0.87032863655200998"/>
          <c:w val="0.33458333333333384"/>
          <c:h val="0.1075040861832717"/>
        </c:manualLayout>
      </c:layout>
      <c:overlay val="0"/>
      <c:txPr>
        <a:bodyPr/>
        <a:lstStyle/>
        <a:p>
          <a:pPr>
            <a:defRPr lang="en-US" sz="1000" b="1">
              <a:latin typeface="Traditional Arabic" pitchFamily="18" charset="-78"/>
              <a:cs typeface="Traditional Arabic" pitchFamily="18" charset="-78"/>
            </a:defRPr>
          </a:pPr>
          <a:endParaRPr lang="en-US"/>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310398571262536"/>
          <c:y val="0.23537606627296587"/>
          <c:w val="0.810522340230727"/>
          <c:h val="0.51367495078740155"/>
        </c:manualLayout>
      </c:layout>
      <c:barChart>
        <c:barDir val="col"/>
        <c:grouping val="clustered"/>
        <c:varyColors val="0"/>
        <c:ser>
          <c:idx val="0"/>
          <c:order val="0"/>
          <c:tx>
            <c:strRef>
              <c:f>Sheet2!$B$3</c:f>
              <c:strCache>
                <c:ptCount val="1"/>
                <c:pt idx="0">
                  <c:v>ممتاز</c:v>
                </c:pt>
              </c:strCache>
            </c:strRef>
          </c:tx>
          <c:spPr>
            <a:solidFill>
              <a:schemeClr val="tx1"/>
            </a:solidFill>
          </c:spPr>
          <c:invertIfNegative val="0"/>
          <c:dLbls>
            <c:spPr>
              <a:noFill/>
              <a:ln>
                <a:noFill/>
              </a:ln>
              <a:effectLst/>
            </c:spPr>
            <c:txPr>
              <a:bodyPr/>
              <a:lstStyle/>
              <a:p>
                <a:pPr>
                  <a:defRPr lang="en-US" sz="800" b="1" baseline="0">
                    <a:latin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Sheet2!$C$2:$D$2</c:f>
              <c:strCache>
                <c:ptCount val="2"/>
                <c:pt idx="0">
                  <c:v>الأجهزة الحكومية</c:v>
                </c:pt>
                <c:pt idx="1">
                  <c:v>القطاع الخاص</c:v>
                </c:pt>
              </c:strCache>
            </c:strRef>
          </c:cat>
          <c:val>
            <c:numRef>
              <c:f>Sheet2!$C$3:$D$3</c:f>
              <c:numCache>
                <c:formatCode>General</c:formatCode>
                <c:ptCount val="2"/>
                <c:pt idx="0">
                  <c:v>3</c:v>
                </c:pt>
                <c:pt idx="1">
                  <c:v>7</c:v>
                </c:pt>
              </c:numCache>
            </c:numRef>
          </c:val>
        </c:ser>
        <c:ser>
          <c:idx val="1"/>
          <c:order val="1"/>
          <c:tx>
            <c:strRef>
              <c:f>Sheet2!$B$4</c:f>
              <c:strCache>
                <c:ptCount val="1"/>
                <c:pt idx="0">
                  <c:v>جيد</c:v>
                </c:pt>
              </c:strCache>
            </c:strRef>
          </c:tx>
          <c:spPr>
            <a:pattFill prst="wdDnDiag">
              <a:fgClr>
                <a:schemeClr val="tx1"/>
              </a:fgClr>
              <a:bgClr>
                <a:schemeClr val="bg1"/>
              </a:bgClr>
            </a:pattFill>
            <a:ln>
              <a:solidFill>
                <a:schemeClr val="tx1"/>
              </a:solidFill>
            </a:ln>
          </c:spPr>
          <c:invertIfNegative val="0"/>
          <c:dLbls>
            <c:spPr>
              <a:noFill/>
              <a:ln>
                <a:noFill/>
              </a:ln>
              <a:effectLst/>
            </c:spPr>
            <c:txPr>
              <a:bodyPr/>
              <a:lstStyle/>
              <a:p>
                <a:pPr>
                  <a:defRPr lang="en-US" sz="800" b="1" baseline="0">
                    <a:latin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Sheet2!$C$2:$D$2</c:f>
              <c:strCache>
                <c:ptCount val="2"/>
                <c:pt idx="0">
                  <c:v>الأجهزة الحكومية</c:v>
                </c:pt>
                <c:pt idx="1">
                  <c:v>القطاع الخاص</c:v>
                </c:pt>
              </c:strCache>
            </c:strRef>
          </c:cat>
          <c:val>
            <c:numRef>
              <c:f>Sheet2!$C$4:$D$4</c:f>
              <c:numCache>
                <c:formatCode>General</c:formatCode>
                <c:ptCount val="2"/>
                <c:pt idx="0">
                  <c:v>27</c:v>
                </c:pt>
                <c:pt idx="1">
                  <c:v>38</c:v>
                </c:pt>
              </c:numCache>
            </c:numRef>
          </c:val>
        </c:ser>
        <c:ser>
          <c:idx val="2"/>
          <c:order val="2"/>
          <c:tx>
            <c:strRef>
              <c:f>Sheet2!$B$5</c:f>
              <c:strCache>
                <c:ptCount val="1"/>
                <c:pt idx="0">
                  <c:v>ضعيف</c:v>
                </c:pt>
              </c:strCache>
            </c:strRef>
          </c:tx>
          <c:spPr>
            <a:pattFill prst="pct5">
              <a:fgClr>
                <a:schemeClr val="tx1"/>
              </a:fgClr>
              <a:bgClr>
                <a:schemeClr val="bg1"/>
              </a:bgClr>
            </a:pattFill>
            <a:ln>
              <a:solidFill>
                <a:schemeClr val="tx1"/>
              </a:solidFill>
            </a:ln>
          </c:spPr>
          <c:invertIfNegative val="0"/>
          <c:dPt>
            <c:idx val="1"/>
            <c:invertIfNegative val="0"/>
            <c:bubble3D val="0"/>
            <c:spPr>
              <a:pattFill prst="pct5">
                <a:fgClr>
                  <a:schemeClr val="tx1"/>
                </a:fgClr>
                <a:bgClr>
                  <a:schemeClr val="bg1"/>
                </a:bgClr>
              </a:pattFill>
              <a:ln>
                <a:solidFill>
                  <a:schemeClr val="tx1"/>
                </a:solidFill>
              </a:ln>
              <a:scene3d>
                <a:camera prst="orthographicFront"/>
                <a:lightRig rig="threePt" dir="t"/>
              </a:scene3d>
              <a:sp3d>
                <a:bevelT w="0"/>
              </a:sp3d>
            </c:spPr>
          </c:dPt>
          <c:dLbls>
            <c:spPr>
              <a:noFill/>
              <a:ln>
                <a:noFill/>
              </a:ln>
              <a:effectLst/>
            </c:spPr>
            <c:txPr>
              <a:bodyPr/>
              <a:lstStyle/>
              <a:p>
                <a:pPr>
                  <a:defRPr lang="en-US" sz="800" b="1" baseline="0">
                    <a:latin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Sheet2!$C$2:$D$2</c:f>
              <c:strCache>
                <c:ptCount val="2"/>
                <c:pt idx="0">
                  <c:v>الأجهزة الحكومية</c:v>
                </c:pt>
                <c:pt idx="1">
                  <c:v>القطاع الخاص</c:v>
                </c:pt>
              </c:strCache>
            </c:strRef>
          </c:cat>
          <c:val>
            <c:numRef>
              <c:f>Sheet2!$C$5:$D$5</c:f>
              <c:numCache>
                <c:formatCode>General</c:formatCode>
                <c:ptCount val="2"/>
                <c:pt idx="0">
                  <c:v>70</c:v>
                </c:pt>
                <c:pt idx="1">
                  <c:v>55</c:v>
                </c:pt>
              </c:numCache>
            </c:numRef>
          </c:val>
        </c:ser>
        <c:dLbls>
          <c:showLegendKey val="0"/>
          <c:showVal val="0"/>
          <c:showCatName val="0"/>
          <c:showSerName val="0"/>
          <c:showPercent val="0"/>
          <c:showBubbleSize val="0"/>
        </c:dLbls>
        <c:gapWidth val="500"/>
        <c:axId val="132184704"/>
        <c:axId val="132198784"/>
      </c:barChart>
      <c:catAx>
        <c:axId val="132184704"/>
        <c:scaling>
          <c:orientation val="minMax"/>
        </c:scaling>
        <c:delete val="0"/>
        <c:axPos val="b"/>
        <c:numFmt formatCode="General" sourceLinked="0"/>
        <c:majorTickMark val="out"/>
        <c:minorTickMark val="none"/>
        <c:tickLblPos val="nextTo"/>
        <c:txPr>
          <a:bodyPr/>
          <a:lstStyle/>
          <a:p>
            <a:pPr>
              <a:defRPr lang="en-US" sz="1200" b="1">
                <a:latin typeface="Traditional Arabic" pitchFamily="18" charset="-78"/>
                <a:cs typeface="Traditional Arabic" pitchFamily="18" charset="-78"/>
              </a:defRPr>
            </a:pPr>
            <a:endParaRPr lang="en-US"/>
          </a:p>
        </c:txPr>
        <c:crossAx val="132198784"/>
        <c:crosses val="autoZero"/>
        <c:auto val="1"/>
        <c:lblAlgn val="ctr"/>
        <c:lblOffset val="100"/>
        <c:noMultiLvlLbl val="0"/>
      </c:catAx>
      <c:valAx>
        <c:axId val="132198784"/>
        <c:scaling>
          <c:orientation val="minMax"/>
          <c:max val="100"/>
        </c:scaling>
        <c:delete val="0"/>
        <c:axPos val="l"/>
        <c:title>
          <c:tx>
            <c:rich>
              <a:bodyPr rot="0" vert="horz"/>
              <a:lstStyle/>
              <a:p>
                <a:pPr>
                  <a:defRPr lang="en-US" sz="1200"/>
                </a:pPr>
                <a:r>
                  <a:rPr lang="en-US" sz="1200"/>
                  <a:t>(%)</a:t>
                </a:r>
              </a:p>
            </c:rich>
          </c:tx>
          <c:layout>
            <c:manualLayout>
              <c:xMode val="edge"/>
              <c:yMode val="edge"/>
              <c:x val="2.0556824927189733E-2"/>
              <c:y val="3.362997461716128E-2"/>
            </c:manualLayout>
          </c:layout>
          <c:overlay val="0"/>
        </c:title>
        <c:numFmt formatCode="General" sourceLinked="1"/>
        <c:majorTickMark val="out"/>
        <c:minorTickMark val="none"/>
        <c:tickLblPos val="nextTo"/>
        <c:txPr>
          <a:bodyPr/>
          <a:lstStyle/>
          <a:p>
            <a:pPr>
              <a:defRPr lang="en-US" b="1" baseline="0">
                <a:latin typeface="Garamond" pitchFamily="18" charset="0"/>
              </a:defRPr>
            </a:pPr>
            <a:endParaRPr lang="en-US"/>
          </a:p>
        </c:txPr>
        <c:crossAx val="132184704"/>
        <c:crosses val="autoZero"/>
        <c:crossBetween val="between"/>
        <c:majorUnit val="20"/>
        <c:minorUnit val="2"/>
      </c:valAx>
    </c:plotArea>
    <c:legend>
      <c:legendPos val="b"/>
      <c:layout>
        <c:manualLayout>
          <c:xMode val="edge"/>
          <c:yMode val="edge"/>
          <c:x val="0.26872329548922663"/>
          <c:y val="0.86183350992064867"/>
          <c:w val="0.63022111334920339"/>
          <c:h val="0.11715879265091864"/>
        </c:manualLayout>
      </c:layout>
      <c:overlay val="0"/>
      <c:txPr>
        <a:bodyPr/>
        <a:lstStyle/>
        <a:p>
          <a:pPr>
            <a:defRPr lang="en-US" sz="1000" b="1">
              <a:latin typeface="Traditional Arabic" pitchFamily="18" charset="-78"/>
              <a:cs typeface="Traditional Arabic" pitchFamily="18" charset="-78"/>
            </a:defRPr>
          </a:pPr>
          <a:endParaRPr lang="en-US"/>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9676854978393"/>
          <c:y val="0.1180812571930086"/>
          <c:w val="0.81556500459156178"/>
          <c:h val="0.50137774576285221"/>
        </c:manualLayout>
      </c:layout>
      <c:barChart>
        <c:barDir val="col"/>
        <c:grouping val="clustered"/>
        <c:varyColors val="0"/>
        <c:ser>
          <c:idx val="0"/>
          <c:order val="0"/>
          <c:tx>
            <c:strRef>
              <c:f>'Sheet1'!$B$1</c:f>
              <c:strCache>
                <c:ptCount val="1"/>
                <c:pt idx="0">
                  <c:v>المسئولين </c:v>
                </c:pt>
              </c:strCache>
            </c:strRef>
          </c:tx>
          <c:spPr>
            <a:pattFill prst="wdDnDiag">
              <a:fgClr>
                <a:schemeClr val="tx1"/>
              </a:fgClr>
              <a:bgClr>
                <a:schemeClr val="bg1"/>
              </a:bgClr>
            </a:pattFill>
            <a:ln>
              <a:solidFill>
                <a:schemeClr val="tx1"/>
              </a:solidFill>
            </a:ln>
          </c:spPr>
          <c:invertIfNegative val="0"/>
          <c:dLbls>
            <c:dLbl>
              <c:idx val="0"/>
              <c:tx>
                <c:rich>
                  <a:bodyPr/>
                  <a:lstStyle/>
                  <a:p>
                    <a:r>
                      <a:rPr lang="en-US" sz="800" b="1">
                        <a:latin typeface="Times New Roman" pitchFamily="18" charset="0"/>
                        <a:cs typeface="Times New Roman" pitchFamily="18" charset="0"/>
                      </a:rPr>
                      <a:t>29</a:t>
                    </a:r>
                    <a:endParaRPr lang="en-US" sz="900" b="1">
                      <a:latin typeface="Garamond" pitchFamily="18" charset="0"/>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5E8-4377-9F96-8350E1D93F90}"/>
                </c:ext>
                <c:ext xmlns:c15="http://schemas.microsoft.com/office/drawing/2012/chart" uri="{CE6537A1-D6FC-4f65-9D91-7224C49458BB}"/>
              </c:extLst>
            </c:dLbl>
            <c:dLbl>
              <c:idx val="1"/>
              <c:tx>
                <c:rich>
                  <a:bodyPr/>
                  <a:lstStyle/>
                  <a:p>
                    <a:r>
                      <a:rPr lang="en-US" sz="800" b="1">
                        <a:latin typeface="Times New Roman" pitchFamily="18" charset="0"/>
                        <a:cs typeface="Times New Roman" pitchFamily="18" charset="0"/>
                      </a:rPr>
                      <a:t>43</a:t>
                    </a:r>
                    <a:endParaRPr lang="en-US" sz="900" b="1">
                      <a:latin typeface="Garamond" pitchFamily="18" charset="0"/>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5E8-4377-9F96-8350E1D93F90}"/>
                </c:ext>
                <c:ext xmlns:c15="http://schemas.microsoft.com/office/drawing/2012/chart" uri="{CE6537A1-D6FC-4f65-9D91-7224C49458BB}"/>
              </c:extLst>
            </c:dLbl>
            <c:dLbl>
              <c:idx val="2"/>
              <c:tx>
                <c:rich>
                  <a:bodyPr/>
                  <a:lstStyle/>
                  <a:p>
                    <a:r>
                      <a:rPr lang="en-US" sz="800" b="1">
                        <a:latin typeface="Times New Roman" pitchFamily="18" charset="0"/>
                        <a:cs typeface="Times New Roman" pitchFamily="18" charset="0"/>
                      </a:rPr>
                      <a:t>7</a:t>
                    </a:r>
                    <a:endParaRPr lang="en-US" sz="900" b="1">
                      <a:latin typeface="Garamond" pitchFamily="18" charset="0"/>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5E8-4377-9F96-8350E1D93F90}"/>
                </c:ext>
                <c:ext xmlns:c15="http://schemas.microsoft.com/office/drawing/2012/chart" uri="{CE6537A1-D6FC-4f65-9D91-7224C49458BB}"/>
              </c:extLst>
            </c:dLbl>
            <c:dLbl>
              <c:idx val="3"/>
              <c:tx>
                <c:rich>
                  <a:bodyPr/>
                  <a:lstStyle/>
                  <a:p>
                    <a:r>
                      <a:rPr lang="en-US" sz="800" b="1">
                        <a:latin typeface="Times New Roman" pitchFamily="18" charset="0"/>
                        <a:cs typeface="Times New Roman" pitchFamily="18" charset="0"/>
                      </a:rPr>
                      <a:t>7</a:t>
                    </a:r>
                    <a:endParaRPr lang="en-US" sz="900" b="1">
                      <a:latin typeface="Garamond" pitchFamily="18" charset="0"/>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5E8-4377-9F96-8350E1D93F90}"/>
                </c:ext>
                <c:ext xmlns:c15="http://schemas.microsoft.com/office/drawing/2012/chart" uri="{CE6537A1-D6FC-4f65-9D91-7224C49458BB}"/>
              </c:extLst>
            </c:dLbl>
            <c:dLbl>
              <c:idx val="4"/>
              <c:tx>
                <c:rich>
                  <a:bodyPr/>
                  <a:lstStyle/>
                  <a:p>
                    <a:r>
                      <a:rPr lang="en-US" sz="800" b="1">
                        <a:latin typeface="Times New Roman" pitchFamily="18" charset="0"/>
                        <a:cs typeface="Times New Roman" pitchFamily="18" charset="0"/>
                      </a:rPr>
                      <a:t>14</a:t>
                    </a:r>
                    <a:endParaRPr lang="en-US" sz="900" b="1">
                      <a:latin typeface="Garamond" pitchFamily="18" charset="0"/>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5E8-4377-9F96-8350E1D93F90}"/>
                </c:ext>
                <c:ext xmlns:c15="http://schemas.microsoft.com/office/drawing/2012/chart" uri="{CE6537A1-D6FC-4f65-9D91-7224C49458BB}"/>
              </c:extLst>
            </c:dLbl>
            <c:numFmt formatCode="#,##0" sourceLinked="0"/>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نوع المستهلك</c:v>
                </c:pt>
                <c:pt idx="1">
                  <c:v>دخل الأسرة </c:v>
                </c:pt>
                <c:pt idx="2">
                  <c:v>العادات والتقاليد المجتمعية </c:v>
                </c:pt>
                <c:pt idx="3">
                  <c:v>مستوى التعليم </c:v>
                </c:pt>
                <c:pt idx="4">
                  <c:v>الدعاية والإعلان </c:v>
                </c:pt>
              </c:strCache>
            </c:strRef>
          </c:cat>
          <c:val>
            <c:numRef>
              <c:f>'Sheet1'!$B$2:$B$6</c:f>
              <c:numCache>
                <c:formatCode>General</c:formatCode>
                <c:ptCount val="5"/>
                <c:pt idx="0">
                  <c:v>28.7</c:v>
                </c:pt>
                <c:pt idx="1">
                  <c:v>42.9</c:v>
                </c:pt>
                <c:pt idx="2">
                  <c:v>7.1</c:v>
                </c:pt>
                <c:pt idx="3">
                  <c:v>7.1</c:v>
                </c:pt>
                <c:pt idx="4">
                  <c:v>14.3</c:v>
                </c:pt>
              </c:numCache>
            </c:numRef>
          </c:val>
          <c:extLst xmlns:c16r2="http://schemas.microsoft.com/office/drawing/2015/06/chart">
            <c:ext xmlns:c16="http://schemas.microsoft.com/office/drawing/2014/chart" uri="{C3380CC4-5D6E-409C-BE32-E72D297353CC}">
              <c16:uniqueId val="{00000005-A5E8-4377-9F96-8350E1D93F90}"/>
            </c:ext>
          </c:extLst>
        </c:ser>
        <c:ser>
          <c:idx val="1"/>
          <c:order val="1"/>
          <c:tx>
            <c:strRef>
              <c:f>'Sheet1'!$C$1</c:f>
              <c:strCache>
                <c:ptCount val="1"/>
                <c:pt idx="0">
                  <c:v>الوسطاء </c:v>
                </c:pt>
              </c:strCache>
            </c:strRef>
          </c:tx>
          <c:spPr>
            <a:pattFill prst="pct5">
              <a:fgClr>
                <a:schemeClr val="tx1"/>
              </a:fgClr>
              <a:bgClr>
                <a:schemeClr val="bg1"/>
              </a:bgClr>
            </a:pattFill>
            <a:ln>
              <a:solidFill>
                <a:schemeClr val="tx1"/>
              </a:solidFill>
            </a:ln>
          </c:spPr>
          <c:invertIfNegative val="0"/>
          <c:dLbls>
            <c:dLbl>
              <c:idx val="0"/>
              <c:layout>
                <c:manualLayout>
                  <c:x val="-1.0787698409580545E-3"/>
                  <c:y val="0"/>
                </c:manualLayout>
              </c:layout>
              <c:tx>
                <c:rich>
                  <a:bodyPr/>
                  <a:lstStyle/>
                  <a:p>
                    <a:r>
                      <a:rPr lang="en-US" sz="800" b="1">
                        <a:latin typeface="Times New Roman" pitchFamily="18" charset="0"/>
                        <a:cs typeface="Times New Roman" pitchFamily="18" charset="0"/>
                      </a:rPr>
                      <a:t>4</a:t>
                    </a:r>
                    <a:endParaRPr lang="en-US" sz="900" b="1">
                      <a:latin typeface="Garamond" pitchFamily="18" charset="0"/>
                      <a:cs typeface="Traditional Arabic" pitchFamily="18" charset="-78"/>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5E8-4377-9F96-8350E1D93F90}"/>
                </c:ext>
                <c:ext xmlns:c15="http://schemas.microsoft.com/office/drawing/2012/chart" uri="{CE6537A1-D6FC-4f65-9D91-7224C49458BB}"/>
              </c:extLst>
            </c:dLbl>
            <c:dLbl>
              <c:idx val="1"/>
              <c:tx>
                <c:rich>
                  <a:bodyPr/>
                  <a:lstStyle/>
                  <a:p>
                    <a:r>
                      <a:rPr lang="en-US" sz="800" b="1">
                        <a:latin typeface="Times New Roman" pitchFamily="18" charset="0"/>
                        <a:cs typeface="Times New Roman" pitchFamily="18" charset="0"/>
                      </a:rPr>
                      <a:t>62</a:t>
                    </a:r>
                    <a:endParaRPr lang="en-US" sz="900" b="1">
                      <a:latin typeface="Garamond" pitchFamily="18" charset="0"/>
                      <a:cs typeface="Traditional Arabic" pitchFamily="18" charset="-78"/>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5E8-4377-9F96-8350E1D93F90}"/>
                </c:ext>
                <c:ext xmlns:c15="http://schemas.microsoft.com/office/drawing/2012/chart" uri="{CE6537A1-D6FC-4f65-9D91-7224C49458BB}"/>
              </c:extLst>
            </c:dLbl>
            <c:dLbl>
              <c:idx val="2"/>
              <c:tx>
                <c:rich>
                  <a:bodyPr/>
                  <a:lstStyle/>
                  <a:p>
                    <a:r>
                      <a:rPr lang="en-US" sz="800" b="1">
                        <a:latin typeface="Times New Roman" pitchFamily="18" charset="0"/>
                        <a:cs typeface="Times New Roman" pitchFamily="18" charset="0"/>
                      </a:rPr>
                      <a:t>18</a:t>
                    </a:r>
                    <a:endParaRPr lang="en-US" sz="900" b="1">
                      <a:latin typeface="Garamond" pitchFamily="18" charset="0"/>
                      <a:cs typeface="Traditional Arabic" pitchFamily="18" charset="-78"/>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5E8-4377-9F96-8350E1D93F90}"/>
                </c:ext>
                <c:ext xmlns:c15="http://schemas.microsoft.com/office/drawing/2012/chart" uri="{CE6537A1-D6FC-4f65-9D91-7224C49458BB}"/>
              </c:extLst>
            </c:dLbl>
            <c:dLbl>
              <c:idx val="3"/>
              <c:layout>
                <c:manualLayout>
                  <c:x val="-5.8884490699636976E-3"/>
                  <c:y val="4.87869340139433E-3"/>
                </c:manualLayout>
              </c:layout>
              <c:tx>
                <c:rich>
                  <a:bodyPr/>
                  <a:lstStyle/>
                  <a:p>
                    <a:r>
                      <a:rPr lang="en-US" sz="800" b="1">
                        <a:latin typeface="Times New Roman" pitchFamily="18" charset="0"/>
                        <a:cs typeface="Times New Roman" pitchFamily="18" charset="0"/>
                      </a:rPr>
                      <a:t>9</a:t>
                    </a:r>
                    <a:endParaRPr lang="en-US" sz="900" b="1">
                      <a:latin typeface="Garamond" pitchFamily="18" charset="0"/>
                      <a:cs typeface="Traditional Arabic" pitchFamily="18" charset="-78"/>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5E8-4377-9F96-8350E1D93F90}"/>
                </c:ext>
                <c:ext xmlns:c15="http://schemas.microsoft.com/office/drawing/2012/chart" uri="{CE6537A1-D6FC-4f65-9D91-7224C49458BB}"/>
              </c:extLst>
            </c:dLbl>
            <c:dLbl>
              <c:idx val="4"/>
              <c:layout>
                <c:manualLayout>
                  <c:x val="-1.0787698409580545E-3"/>
                  <c:y val="0"/>
                </c:manualLayout>
              </c:layout>
              <c:tx>
                <c:rich>
                  <a:bodyPr/>
                  <a:lstStyle/>
                  <a:p>
                    <a:r>
                      <a:rPr lang="en-US" sz="800" b="1">
                        <a:latin typeface="Times New Roman" pitchFamily="18" charset="0"/>
                        <a:cs typeface="Times New Roman" pitchFamily="18" charset="0"/>
                      </a:rPr>
                      <a:t>7</a:t>
                    </a:r>
                    <a:endParaRPr lang="en-US" sz="900" b="1">
                      <a:latin typeface="Garamond" pitchFamily="18" charset="0"/>
                      <a:cs typeface="Traditional Arabic" pitchFamily="18" charset="-78"/>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5E8-4377-9F96-8350E1D93F90}"/>
                </c:ext>
                <c:ext xmlns:c15="http://schemas.microsoft.com/office/drawing/2012/chart" uri="{CE6537A1-D6FC-4f65-9D91-7224C49458BB}"/>
              </c:extLst>
            </c:dLbl>
            <c:numFmt formatCode="#,##0" sourceLinked="0"/>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نوع المستهلك</c:v>
                </c:pt>
                <c:pt idx="1">
                  <c:v>دخل الأسرة </c:v>
                </c:pt>
                <c:pt idx="2">
                  <c:v>العادات والتقاليد المجتمعية </c:v>
                </c:pt>
                <c:pt idx="3">
                  <c:v>مستوى التعليم </c:v>
                </c:pt>
                <c:pt idx="4">
                  <c:v>الدعاية والإعلان </c:v>
                </c:pt>
              </c:strCache>
            </c:strRef>
          </c:cat>
          <c:val>
            <c:numRef>
              <c:f>'Sheet1'!$C$2:$C$6</c:f>
              <c:numCache>
                <c:formatCode>General</c:formatCode>
                <c:ptCount val="5"/>
                <c:pt idx="0">
                  <c:v>3.6</c:v>
                </c:pt>
                <c:pt idx="1">
                  <c:v>61.8</c:v>
                </c:pt>
                <c:pt idx="2">
                  <c:v>18.2</c:v>
                </c:pt>
                <c:pt idx="3">
                  <c:v>9.1</c:v>
                </c:pt>
                <c:pt idx="4">
                  <c:v>7.3</c:v>
                </c:pt>
              </c:numCache>
            </c:numRef>
          </c:val>
          <c:extLst xmlns:c16r2="http://schemas.microsoft.com/office/drawing/2015/06/chart">
            <c:ext xmlns:c16="http://schemas.microsoft.com/office/drawing/2014/chart" uri="{C3380CC4-5D6E-409C-BE32-E72D297353CC}">
              <c16:uniqueId val="{0000000B-A5E8-4377-9F96-8350E1D93F90}"/>
            </c:ext>
          </c:extLst>
        </c:ser>
        <c:dLbls>
          <c:showLegendKey val="0"/>
          <c:showVal val="0"/>
          <c:showCatName val="0"/>
          <c:showSerName val="0"/>
          <c:showPercent val="0"/>
          <c:showBubbleSize val="0"/>
        </c:dLbls>
        <c:gapWidth val="306"/>
        <c:axId val="133388928"/>
        <c:axId val="133423488"/>
      </c:barChart>
      <c:catAx>
        <c:axId val="133388928"/>
        <c:scaling>
          <c:orientation val="minMax"/>
        </c:scaling>
        <c:delete val="0"/>
        <c:axPos val="b"/>
        <c:numFmt formatCode="General" sourceLinked="0"/>
        <c:majorTickMark val="none"/>
        <c:minorTickMark val="none"/>
        <c:tickLblPos val="nextTo"/>
        <c:txPr>
          <a:bodyPr/>
          <a:lstStyle/>
          <a:p>
            <a:pPr>
              <a:defRPr lang="en-US" b="1">
                <a:latin typeface="Traditional Arabic" pitchFamily="18" charset="-78"/>
                <a:cs typeface="Traditional Arabic" pitchFamily="18" charset="-78"/>
              </a:defRPr>
            </a:pPr>
            <a:endParaRPr lang="en-US"/>
          </a:p>
        </c:txPr>
        <c:crossAx val="133423488"/>
        <c:crosses val="autoZero"/>
        <c:auto val="1"/>
        <c:lblAlgn val="ctr"/>
        <c:lblOffset val="100"/>
        <c:noMultiLvlLbl val="0"/>
      </c:catAx>
      <c:valAx>
        <c:axId val="133423488"/>
        <c:scaling>
          <c:orientation val="minMax"/>
          <c:max val="100"/>
        </c:scaling>
        <c:delete val="0"/>
        <c:axPos val="l"/>
        <c:title>
          <c:tx>
            <c:rich>
              <a:bodyPr rot="0" vert="horz"/>
              <a:lstStyle/>
              <a:p>
                <a:pPr>
                  <a:defRPr/>
                </a:pPr>
                <a:r>
                  <a:rPr lang="en-US"/>
                  <a:t>(%)</a:t>
                </a:r>
              </a:p>
            </c:rich>
          </c:tx>
          <c:layout>
            <c:manualLayout>
              <c:xMode val="edge"/>
              <c:yMode val="edge"/>
              <c:x val="7.7057794721020704E-3"/>
              <c:y val="4.3008708934593527E-2"/>
            </c:manualLayout>
          </c:layout>
          <c:overlay val="0"/>
        </c:title>
        <c:numFmt formatCode="General" sourceLinked="1"/>
        <c:majorTickMark val="out"/>
        <c:minorTickMark val="none"/>
        <c:tickLblPos val="nextTo"/>
        <c:txPr>
          <a:bodyPr/>
          <a:lstStyle/>
          <a:p>
            <a:pPr>
              <a:defRPr lang="en-US" b="1"/>
            </a:pPr>
            <a:endParaRPr lang="en-US"/>
          </a:p>
        </c:txPr>
        <c:crossAx val="133388928"/>
        <c:crosses val="autoZero"/>
        <c:crossBetween val="between"/>
        <c:majorUnit val="20"/>
      </c:valAx>
    </c:plotArea>
    <c:legend>
      <c:legendPos val="b"/>
      <c:layout>
        <c:manualLayout>
          <c:xMode val="edge"/>
          <c:yMode val="edge"/>
          <c:x val="0.19156268927922471"/>
          <c:y val="0.87357944089343265"/>
          <c:w val="0.65759972311153414"/>
          <c:h val="8.444516973976128E-2"/>
        </c:manualLayout>
      </c:layout>
      <c:overlay val="0"/>
      <c:txPr>
        <a:bodyPr/>
        <a:lstStyle/>
        <a:p>
          <a:pPr>
            <a:defRPr lang="en-US" sz="1000" b="1">
              <a:latin typeface="Traditional Arabic" pitchFamily="18" charset="-78"/>
              <a:cs typeface="Traditional Arabic" pitchFamily="18" charset="-78"/>
            </a:defRPr>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70718767105984"/>
          <c:y val="0.10153336096145876"/>
          <c:w val="0.83912476897323729"/>
          <c:h val="0.49098097112860895"/>
        </c:manualLayout>
      </c:layout>
      <c:barChart>
        <c:barDir val="col"/>
        <c:grouping val="clustered"/>
        <c:varyColors val="0"/>
        <c:ser>
          <c:idx val="0"/>
          <c:order val="0"/>
          <c:tx>
            <c:strRef>
              <c:f>Sheet3!$B$67</c:f>
              <c:strCache>
                <c:ptCount val="1"/>
                <c:pt idx="0">
                  <c:v>موافق </c:v>
                </c:pt>
              </c:strCache>
            </c:strRef>
          </c:tx>
          <c:spPr>
            <a:solidFill>
              <a:schemeClr val="tx1"/>
            </a:solidFill>
          </c:spPr>
          <c:invertIfNegative val="0"/>
          <c:dLbls>
            <c:dLbl>
              <c:idx val="0"/>
              <c:tx>
                <c:rich>
                  <a:bodyPr/>
                  <a:lstStyle/>
                  <a:p>
                    <a:r>
                      <a:rPr lang="en-US" sz="800">
                        <a:latin typeface="Times New Roman" pitchFamily="18" charset="0"/>
                        <a:cs typeface="Times New Roman" pitchFamily="18" charset="0"/>
                      </a:rPr>
                      <a:t>64</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800">
                        <a:latin typeface="Times New Roman" pitchFamily="18" charset="0"/>
                        <a:cs typeface="Times New Roman" pitchFamily="18" charset="0"/>
                      </a:rPr>
                      <a:t>93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800">
                        <a:latin typeface="Times New Roman" pitchFamily="18" charset="0"/>
                        <a:cs typeface="Times New Roman" pitchFamily="18" charset="0"/>
                      </a:rPr>
                      <a:t>93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800">
                        <a:latin typeface="Times New Roman" pitchFamily="18" charset="0"/>
                        <a:cs typeface="Times New Roman" pitchFamily="18" charset="0"/>
                      </a:rPr>
                      <a:t>57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800">
                        <a:latin typeface="Times New Roman" pitchFamily="18" charset="0"/>
                        <a:cs typeface="Times New Roman" pitchFamily="18" charset="0"/>
                      </a:rPr>
                      <a:t>50</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sz="800">
                        <a:latin typeface="Times New Roman" pitchFamily="18" charset="0"/>
                        <a:cs typeface="Times New Roman" pitchFamily="18" charset="0"/>
                      </a:rPr>
                      <a:t>50</a:t>
                    </a:r>
                    <a:endParaRPr lang="en-US"/>
                  </a:p>
                </c:rich>
              </c:tx>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Sheet3!$A$68:$A$73</c:f>
              <c:strCache>
                <c:ptCount val="6"/>
                <c:pt idx="0">
                  <c:v>الحكومة</c:v>
                </c:pt>
                <c:pt idx="1">
                  <c:v>الشركات المنتجة</c:v>
                </c:pt>
                <c:pt idx="2">
                  <c:v>أجهزة الإعلام ووسائل التواصل الاجتماعي </c:v>
                </c:pt>
                <c:pt idx="3">
                  <c:v>المؤسسات التعليمية بمراحلها المختلفة</c:v>
                </c:pt>
                <c:pt idx="4">
                  <c:v>المؤسسات الدينية </c:v>
                </c:pt>
                <c:pt idx="5">
                  <c:v>منظمات المجتمع المدني </c:v>
                </c:pt>
              </c:strCache>
            </c:strRef>
          </c:cat>
          <c:val>
            <c:numRef>
              <c:f>Sheet3!$B$68:$B$73</c:f>
              <c:numCache>
                <c:formatCode>General</c:formatCode>
                <c:ptCount val="6"/>
                <c:pt idx="0">
                  <c:v>64.3</c:v>
                </c:pt>
                <c:pt idx="1">
                  <c:v>92.9</c:v>
                </c:pt>
                <c:pt idx="2">
                  <c:v>92.9</c:v>
                </c:pt>
                <c:pt idx="3">
                  <c:v>57.100000000000009</c:v>
                </c:pt>
                <c:pt idx="4">
                  <c:v>50</c:v>
                </c:pt>
                <c:pt idx="5">
                  <c:v>50</c:v>
                </c:pt>
              </c:numCache>
            </c:numRef>
          </c:val>
        </c:ser>
        <c:ser>
          <c:idx val="1"/>
          <c:order val="1"/>
          <c:tx>
            <c:strRef>
              <c:f>Sheet3!$C$67</c:f>
              <c:strCache>
                <c:ptCount val="1"/>
                <c:pt idx="0">
                  <c:v>محايد</c:v>
                </c:pt>
              </c:strCache>
            </c:strRef>
          </c:tx>
          <c:spPr>
            <a:pattFill prst="wdDnDiag">
              <a:fgClr>
                <a:schemeClr val="tx1"/>
              </a:fgClr>
              <a:bgClr>
                <a:schemeClr val="bg1"/>
              </a:bgClr>
            </a:pattFill>
            <a:ln>
              <a:solidFill>
                <a:schemeClr val="tx1"/>
              </a:solidFill>
            </a:ln>
          </c:spPr>
          <c:invertIfNegative val="0"/>
          <c:dLbls>
            <c:dLbl>
              <c:idx val="0"/>
              <c:tx>
                <c:rich>
                  <a:bodyPr/>
                  <a:lstStyle/>
                  <a:p>
                    <a:r>
                      <a:rPr lang="en-US" sz="800">
                        <a:latin typeface="Times New Roman" pitchFamily="18" charset="0"/>
                        <a:cs typeface="Times New Roman" pitchFamily="18" charset="0"/>
                      </a:rPr>
                      <a:t>14</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5651073853950016E-3"/>
                  <c:y val="5.4410230058966058E-3"/>
                </c:manualLayout>
              </c:layout>
              <c:tx>
                <c:rich>
                  <a:bodyPr/>
                  <a:lstStyle/>
                  <a:p>
                    <a:r>
                      <a:rPr lang="en-US" sz="800">
                        <a:latin typeface="Times New Roman" pitchFamily="18" charset="0"/>
                        <a:cs typeface="Times New Roman"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2.5699034727469407E-3"/>
                  <c:y val="1.007082885300396E-2"/>
                </c:manualLayout>
              </c:layout>
              <c:tx>
                <c:rich>
                  <a:bodyPr/>
                  <a:lstStyle/>
                  <a:p>
                    <a:r>
                      <a:rPr lang="en-US" sz="800">
                        <a:latin typeface="Times New Roman" pitchFamily="18" charset="0"/>
                        <a:cs typeface="Times New Roman"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7.6275100463916775E-3"/>
                  <c:y val="0"/>
                </c:manualLayout>
              </c:layout>
              <c:tx>
                <c:rich>
                  <a:bodyPr/>
                  <a:lstStyle/>
                  <a:p>
                    <a:r>
                      <a:rPr lang="en-US" sz="800">
                        <a:latin typeface="Times New Roman" pitchFamily="18" charset="0"/>
                        <a:cs typeface="Times New Roman" pitchFamily="18" charset="0"/>
                      </a:rPr>
                      <a:t>36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2.5427256444192831E-3"/>
                  <c:y val="-2.1949649027649632E-3"/>
                </c:manualLayout>
              </c:layout>
              <c:tx>
                <c:rich>
                  <a:bodyPr/>
                  <a:lstStyle/>
                  <a:p>
                    <a:r>
                      <a:rPr lang="en-US" sz="800">
                        <a:latin typeface="Times New Roman" pitchFamily="18" charset="0"/>
                        <a:cs typeface="Times New Roman" pitchFamily="18" charset="0"/>
                      </a:rPr>
                      <a:t>21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3.0682175343616069E-3"/>
                  <c:y val="1.5106365859375281E-2"/>
                </c:manualLayout>
              </c:layout>
              <c:tx>
                <c:rich>
                  <a:bodyPr/>
                  <a:lstStyle/>
                  <a:p>
                    <a:r>
                      <a:rPr lang="en-US" sz="800">
                        <a:latin typeface="Times New Roman" pitchFamily="18" charset="0"/>
                        <a:cs typeface="Times New Roman" pitchFamily="18" charset="0"/>
                      </a:rPr>
                      <a:t>36</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Sheet3!$A$68:$A$73</c:f>
              <c:strCache>
                <c:ptCount val="6"/>
                <c:pt idx="0">
                  <c:v>الحكومة</c:v>
                </c:pt>
                <c:pt idx="1">
                  <c:v>الشركات المنتجة</c:v>
                </c:pt>
                <c:pt idx="2">
                  <c:v>أجهزة الإعلام ووسائل التواصل الاجتماعي </c:v>
                </c:pt>
                <c:pt idx="3">
                  <c:v>المؤسسات التعليمية بمراحلها المختلفة</c:v>
                </c:pt>
                <c:pt idx="4">
                  <c:v>المؤسسات الدينية </c:v>
                </c:pt>
                <c:pt idx="5">
                  <c:v>منظمات المجتمع المدني </c:v>
                </c:pt>
              </c:strCache>
            </c:strRef>
          </c:cat>
          <c:val>
            <c:numRef>
              <c:f>Sheet3!$C$68:$C$73</c:f>
              <c:numCache>
                <c:formatCode>General</c:formatCode>
                <c:ptCount val="6"/>
                <c:pt idx="0">
                  <c:v>14.3</c:v>
                </c:pt>
                <c:pt idx="1">
                  <c:v>7.1</c:v>
                </c:pt>
                <c:pt idx="2">
                  <c:v>7.1</c:v>
                </c:pt>
                <c:pt idx="3">
                  <c:v>35.70000000000001</c:v>
                </c:pt>
                <c:pt idx="4">
                  <c:v>21.4</c:v>
                </c:pt>
                <c:pt idx="5">
                  <c:v>35.70000000000001</c:v>
                </c:pt>
              </c:numCache>
            </c:numRef>
          </c:val>
        </c:ser>
        <c:ser>
          <c:idx val="2"/>
          <c:order val="2"/>
          <c:tx>
            <c:strRef>
              <c:f>Sheet3!$D$67</c:f>
              <c:strCache>
                <c:ptCount val="1"/>
                <c:pt idx="0">
                  <c:v>غير موافق</c:v>
                </c:pt>
              </c:strCache>
            </c:strRef>
          </c:tx>
          <c:spPr>
            <a:pattFill prst="pct5">
              <a:fgClr>
                <a:schemeClr val="tx1"/>
              </a:fgClr>
              <a:bgClr>
                <a:schemeClr val="bg1"/>
              </a:bgClr>
            </a:pattFill>
            <a:ln>
              <a:solidFill>
                <a:schemeClr val="tx1"/>
              </a:solidFill>
            </a:ln>
          </c:spPr>
          <c:invertIfNegative val="0"/>
          <c:dLbls>
            <c:dLbl>
              <c:idx val="0"/>
              <c:layout>
                <c:manualLayout>
                  <c:x val="3.0682175343615821E-3"/>
                  <c:y val="3.0596145571325207E-3"/>
                </c:manualLayout>
              </c:layout>
              <c:tx>
                <c:rich>
                  <a:bodyPr/>
                  <a:lstStyle/>
                  <a:p>
                    <a:r>
                      <a:rPr lang="en-US" sz="800">
                        <a:latin typeface="Times New Roman" pitchFamily="18" charset="0"/>
                        <a:cs typeface="Times New Roman" pitchFamily="18" charset="0"/>
                      </a:rPr>
                      <a:t>21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7.641166336502689E-3"/>
                  <c:y val="1.007082885300396E-2"/>
                </c:manualLayout>
              </c:layout>
              <c:tx>
                <c:rich>
                  <a:bodyPr/>
                  <a:lstStyle/>
                  <a:p>
                    <a:r>
                      <a:rPr lang="en-US" sz="800">
                        <a:latin typeface="Times New Roman" pitchFamily="18" charset="0"/>
                        <a:cs typeface="Times New Roman"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7.6137886712020417E-3"/>
                  <c:y val="1.0310308405256497E-2"/>
                </c:manualLayout>
              </c:layout>
              <c:tx>
                <c:rich>
                  <a:bodyPr/>
                  <a:lstStyle/>
                  <a:p>
                    <a:r>
                      <a:rPr lang="en-US" sz="800">
                        <a:latin typeface="Times New Roman" pitchFamily="18" charset="0"/>
                        <a:cs typeface="Times New Roman" pitchFamily="18" charset="0"/>
                      </a:rPr>
                      <a:t>28</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1.5273340009220478E-2"/>
                  <c:y val="1.5106243279505939E-2"/>
                </c:manualLayout>
              </c:layout>
              <c:tx>
                <c:rich>
                  <a:bodyPr/>
                  <a:lstStyle/>
                  <a:p>
                    <a:r>
                      <a:rPr lang="en-US" sz="800">
                        <a:latin typeface="Times New Roman" pitchFamily="18" charset="0"/>
                        <a:cs typeface="Times New Roman" pitchFamily="18" charset="0"/>
                      </a:rPr>
                      <a:t>14</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Sheet3!$A$68:$A$73</c:f>
              <c:strCache>
                <c:ptCount val="6"/>
                <c:pt idx="0">
                  <c:v>الحكومة</c:v>
                </c:pt>
                <c:pt idx="1">
                  <c:v>الشركات المنتجة</c:v>
                </c:pt>
                <c:pt idx="2">
                  <c:v>أجهزة الإعلام ووسائل التواصل الاجتماعي </c:v>
                </c:pt>
                <c:pt idx="3">
                  <c:v>المؤسسات التعليمية بمراحلها المختلفة</c:v>
                </c:pt>
                <c:pt idx="4">
                  <c:v>المؤسسات الدينية </c:v>
                </c:pt>
                <c:pt idx="5">
                  <c:v>منظمات المجتمع المدني </c:v>
                </c:pt>
              </c:strCache>
            </c:strRef>
          </c:cat>
          <c:val>
            <c:numRef>
              <c:f>Sheet3!$D$68:$D$73</c:f>
              <c:numCache>
                <c:formatCode>General</c:formatCode>
                <c:ptCount val="6"/>
                <c:pt idx="0">
                  <c:v>21.4</c:v>
                </c:pt>
                <c:pt idx="3">
                  <c:v>7.1</c:v>
                </c:pt>
                <c:pt idx="4">
                  <c:v>28.599999999999987</c:v>
                </c:pt>
                <c:pt idx="5">
                  <c:v>14.3</c:v>
                </c:pt>
              </c:numCache>
            </c:numRef>
          </c:val>
        </c:ser>
        <c:dLbls>
          <c:showLegendKey val="0"/>
          <c:showVal val="0"/>
          <c:showCatName val="0"/>
          <c:showSerName val="0"/>
          <c:showPercent val="0"/>
          <c:showBubbleSize val="0"/>
        </c:dLbls>
        <c:gapWidth val="150"/>
        <c:axId val="135531904"/>
        <c:axId val="142292096"/>
      </c:barChart>
      <c:catAx>
        <c:axId val="135531904"/>
        <c:scaling>
          <c:orientation val="minMax"/>
        </c:scaling>
        <c:delete val="0"/>
        <c:axPos val="b"/>
        <c:numFmt formatCode="General" sourceLinked="0"/>
        <c:majorTickMark val="none"/>
        <c:minorTickMark val="none"/>
        <c:tickLblPos val="nextTo"/>
        <c:txPr>
          <a:bodyPr/>
          <a:lstStyle/>
          <a:p>
            <a:pPr>
              <a:defRPr lang="en-US" b="1">
                <a:latin typeface="Traditional Arabic" pitchFamily="18" charset="-78"/>
                <a:cs typeface="Traditional Arabic" pitchFamily="18" charset="-78"/>
              </a:defRPr>
            </a:pPr>
            <a:endParaRPr lang="en-US"/>
          </a:p>
        </c:txPr>
        <c:crossAx val="142292096"/>
        <c:crosses val="autoZero"/>
        <c:auto val="1"/>
        <c:lblAlgn val="ctr"/>
        <c:lblOffset val="100"/>
        <c:noMultiLvlLbl val="0"/>
      </c:catAx>
      <c:valAx>
        <c:axId val="142292096"/>
        <c:scaling>
          <c:orientation val="minMax"/>
        </c:scaling>
        <c:delete val="0"/>
        <c:axPos val="l"/>
        <c:title>
          <c:tx>
            <c:rich>
              <a:bodyPr rot="0" vert="horz"/>
              <a:lstStyle/>
              <a:p>
                <a:pPr>
                  <a:defRPr/>
                </a:pPr>
                <a:r>
                  <a:rPr lang="ar-EG"/>
                  <a:t>(%)</a:t>
                </a:r>
                <a:endParaRPr lang="en-US"/>
              </a:p>
            </c:rich>
          </c:tx>
          <c:layout>
            <c:manualLayout>
              <c:xMode val="edge"/>
              <c:yMode val="edge"/>
              <c:x val="4.1355733711590198E-4"/>
              <c:y val="2.7520060991709814E-2"/>
            </c:manualLayout>
          </c:layout>
          <c:overlay val="0"/>
        </c:title>
        <c:numFmt formatCode="#,##0" sourceLinked="0"/>
        <c:majorTickMark val="out"/>
        <c:minorTickMark val="none"/>
        <c:tickLblPos val="nextTo"/>
        <c:txPr>
          <a:bodyPr/>
          <a:lstStyle/>
          <a:p>
            <a:pPr>
              <a:defRPr lang="en-US" b="1">
                <a:latin typeface="Traditional Arabic" pitchFamily="18" charset="-78"/>
                <a:cs typeface="Traditional Arabic" pitchFamily="18" charset="-78"/>
              </a:defRPr>
            </a:pPr>
            <a:endParaRPr lang="en-US"/>
          </a:p>
        </c:txPr>
        <c:crossAx val="135531904"/>
        <c:crosses val="autoZero"/>
        <c:crossBetween val="between"/>
        <c:majorUnit val="20"/>
      </c:valAx>
    </c:plotArea>
    <c:legend>
      <c:legendPos val="r"/>
      <c:layout>
        <c:manualLayout>
          <c:xMode val="edge"/>
          <c:yMode val="edge"/>
          <c:x val="0.27525902003112096"/>
          <c:y val="0.84683386928399462"/>
          <c:w val="0.49114678312266469"/>
          <c:h val="0.12360049120049006"/>
        </c:manualLayout>
      </c:layout>
      <c:overlay val="0"/>
      <c:txPr>
        <a:bodyPr/>
        <a:lstStyle/>
        <a:p>
          <a:pPr>
            <a:defRPr lang="en-US" b="1">
              <a:latin typeface="Traditional Arabic" pitchFamily="18" charset="-78"/>
              <a:cs typeface="Traditional Arabic" pitchFamily="18" charset="-78"/>
            </a:defRPr>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776971595828"/>
          <c:y val="7.4548608404147496E-2"/>
          <c:w val="0.81929544597470361"/>
          <c:h val="0.54884660250802153"/>
        </c:manualLayout>
      </c:layout>
      <c:barChart>
        <c:barDir val="col"/>
        <c:grouping val="clustered"/>
        <c:varyColors val="0"/>
        <c:ser>
          <c:idx val="0"/>
          <c:order val="0"/>
          <c:tx>
            <c:strRef>
              <c:f>Sheet3!$B$87</c:f>
              <c:strCache>
                <c:ptCount val="1"/>
                <c:pt idx="0">
                  <c:v>موافق </c:v>
                </c:pt>
              </c:strCache>
            </c:strRef>
          </c:tx>
          <c:spPr>
            <a:solidFill>
              <a:schemeClr val="tx1"/>
            </a:solidFill>
          </c:spPr>
          <c:invertIfNegative val="0"/>
          <c:dLbls>
            <c:dLbl>
              <c:idx val="0"/>
              <c:tx>
                <c:rich>
                  <a:bodyPr/>
                  <a:lstStyle/>
                  <a:p>
                    <a:r>
                      <a:rPr lang="en-US" sz="800">
                        <a:latin typeface="Times New Roman" pitchFamily="18" charset="0"/>
                        <a:cs typeface="Times New Roman" pitchFamily="18" charset="0"/>
                      </a:rPr>
                      <a:t>86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9444444444444445E-2"/>
                  <c:y val="-9.2592592592593351E-3"/>
                </c:manualLayout>
              </c:layout>
              <c:tx>
                <c:rich>
                  <a:bodyPr/>
                  <a:lstStyle/>
                  <a:p>
                    <a:r>
                      <a:rPr lang="en-US" sz="800">
                        <a:latin typeface="Times New Roman" pitchFamily="18" charset="0"/>
                        <a:cs typeface="Times New Roman" pitchFamily="18" charset="0"/>
                      </a:rPr>
                      <a:t>39</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8.1385897989433211E-3"/>
                  <c:y val="4.6296613010254704E-3"/>
                </c:manualLayout>
              </c:layout>
              <c:tx>
                <c:rich>
                  <a:bodyPr/>
                  <a:lstStyle/>
                  <a:p>
                    <a:r>
                      <a:rPr lang="en-US" sz="800">
                        <a:latin typeface="Times New Roman" pitchFamily="18" charset="0"/>
                        <a:cs typeface="Times New Roman" pitchFamily="18" charset="0"/>
                      </a:rPr>
                      <a:t>47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4.3182111803400144E-3"/>
                  <c:y val="0"/>
                </c:manualLayout>
              </c:layout>
              <c:tx>
                <c:rich>
                  <a:bodyPr/>
                  <a:lstStyle/>
                  <a:p>
                    <a:r>
                      <a:rPr lang="en-US" sz="800">
                        <a:latin typeface="Times New Roman" pitchFamily="18" charset="0"/>
                        <a:cs typeface="Times New Roman" pitchFamily="18" charset="0"/>
                      </a:rPr>
                      <a:t>33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800">
                        <a:latin typeface="Times New Roman" pitchFamily="18" charset="0"/>
                        <a:cs typeface="Times New Roman" pitchFamily="18" charset="0"/>
                      </a:rPr>
                      <a:t>73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sz="800">
                        <a:latin typeface="Times New Roman" pitchFamily="18" charset="0"/>
                        <a:cs typeface="Times New Roman" pitchFamily="18" charset="0"/>
                      </a:rPr>
                      <a:t>67</a:t>
                    </a:r>
                    <a:endParaRPr lang="en-US"/>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Sheet3!$A$88:$A$93</c:f>
              <c:strCache>
                <c:ptCount val="6"/>
                <c:pt idx="0">
                  <c:v>الحكومة</c:v>
                </c:pt>
                <c:pt idx="1">
                  <c:v>الشركات المنتجة</c:v>
                </c:pt>
                <c:pt idx="2">
                  <c:v>أجهزة الإعلام ووسائل التواصل الاجتماعي </c:v>
                </c:pt>
                <c:pt idx="3">
                  <c:v>المؤسسات التعليمية بمراحلها المختلفة</c:v>
                </c:pt>
                <c:pt idx="4">
                  <c:v>المؤسسات الدينية </c:v>
                </c:pt>
                <c:pt idx="5">
                  <c:v>منظمات المجتمع المدني </c:v>
                </c:pt>
              </c:strCache>
            </c:strRef>
          </c:cat>
          <c:val>
            <c:numRef>
              <c:f>Sheet3!$B$88:$B$93</c:f>
              <c:numCache>
                <c:formatCode>General</c:formatCode>
                <c:ptCount val="6"/>
                <c:pt idx="0">
                  <c:v>85.5</c:v>
                </c:pt>
                <c:pt idx="1">
                  <c:v>38.200000000000003</c:v>
                </c:pt>
                <c:pt idx="2">
                  <c:v>47.3</c:v>
                </c:pt>
                <c:pt idx="3">
                  <c:v>33.300000000000004</c:v>
                </c:pt>
                <c:pt idx="4">
                  <c:v>72.7</c:v>
                </c:pt>
                <c:pt idx="5">
                  <c:v>67.3</c:v>
                </c:pt>
              </c:numCache>
            </c:numRef>
          </c:val>
        </c:ser>
        <c:ser>
          <c:idx val="1"/>
          <c:order val="1"/>
          <c:tx>
            <c:strRef>
              <c:f>Sheet3!$C$87</c:f>
              <c:strCache>
                <c:ptCount val="1"/>
                <c:pt idx="0">
                  <c:v>غير موافق</c:v>
                </c:pt>
              </c:strCache>
            </c:strRef>
          </c:tx>
          <c:spPr>
            <a:pattFill prst="pct5">
              <a:fgClr>
                <a:schemeClr val="tx1"/>
              </a:fgClr>
              <a:bgClr>
                <a:schemeClr val="bg1"/>
              </a:bgClr>
            </a:pattFill>
            <a:ln>
              <a:solidFill>
                <a:schemeClr val="tx1"/>
              </a:solidFill>
            </a:ln>
          </c:spPr>
          <c:invertIfNegative val="0"/>
          <c:dLbls>
            <c:dLbl>
              <c:idx val="0"/>
              <c:layout>
                <c:manualLayout>
                  <c:x val="3.620906744964506E-3"/>
                  <c:y val="0"/>
                </c:manualLayout>
              </c:layout>
              <c:tx>
                <c:rich>
                  <a:bodyPr/>
                  <a:lstStyle/>
                  <a:p>
                    <a:r>
                      <a:rPr lang="en-US" sz="800">
                        <a:latin typeface="Times New Roman" pitchFamily="18" charset="0"/>
                        <a:cs typeface="Times New Roman" pitchFamily="18" charset="0"/>
                      </a:rPr>
                      <a:t>15</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800">
                        <a:latin typeface="Times New Roman" pitchFamily="18" charset="0"/>
                        <a:cs typeface="Times New Roman" pitchFamily="18" charset="0"/>
                      </a:rPr>
                      <a:t>62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800">
                        <a:latin typeface="Times New Roman" pitchFamily="18" charset="0"/>
                        <a:cs typeface="Times New Roman" pitchFamily="18" charset="0"/>
                      </a:rPr>
                      <a:t>53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800">
                        <a:latin typeface="Times New Roman" pitchFamily="18" charset="0"/>
                        <a:cs typeface="Times New Roman" pitchFamily="18" charset="0"/>
                      </a:rPr>
                      <a:t>67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9346033235520417E-3"/>
                  <c:y val="4.3427221618686507E-3"/>
                </c:manualLayout>
              </c:layout>
              <c:tx>
                <c:rich>
                  <a:bodyPr/>
                  <a:lstStyle/>
                  <a:p>
                    <a:r>
                      <a:rPr lang="en-US" sz="800">
                        <a:latin typeface="Times New Roman" pitchFamily="18" charset="0"/>
                        <a:cs typeface="Times New Roman" pitchFamily="18" charset="0"/>
                      </a:rPr>
                      <a:t>27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2.2480485763605017E-4"/>
                  <c:y val="0"/>
                </c:manualLayout>
              </c:layout>
              <c:tx>
                <c:rich>
                  <a:bodyPr/>
                  <a:lstStyle/>
                  <a:p>
                    <a:r>
                      <a:rPr lang="en-US" sz="800">
                        <a:latin typeface="Times New Roman" pitchFamily="18" charset="0"/>
                        <a:cs typeface="Times New Roman" pitchFamily="18" charset="0"/>
                      </a:rPr>
                      <a:t>33</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Sheet3!$A$88:$A$93</c:f>
              <c:strCache>
                <c:ptCount val="6"/>
                <c:pt idx="0">
                  <c:v>الحكومة</c:v>
                </c:pt>
                <c:pt idx="1">
                  <c:v>الشركات المنتجة</c:v>
                </c:pt>
                <c:pt idx="2">
                  <c:v>أجهزة الإعلام ووسائل التواصل الاجتماعي </c:v>
                </c:pt>
                <c:pt idx="3">
                  <c:v>المؤسسات التعليمية بمراحلها المختلفة</c:v>
                </c:pt>
                <c:pt idx="4">
                  <c:v>المؤسسات الدينية </c:v>
                </c:pt>
                <c:pt idx="5">
                  <c:v>منظمات المجتمع المدني </c:v>
                </c:pt>
              </c:strCache>
            </c:strRef>
          </c:cat>
          <c:val>
            <c:numRef>
              <c:f>Sheet3!$C$88:$C$93</c:f>
              <c:numCache>
                <c:formatCode>General</c:formatCode>
                <c:ptCount val="6"/>
                <c:pt idx="0">
                  <c:v>14.5</c:v>
                </c:pt>
                <c:pt idx="1">
                  <c:v>61.8</c:v>
                </c:pt>
                <c:pt idx="2">
                  <c:v>52.7</c:v>
                </c:pt>
                <c:pt idx="3">
                  <c:v>66.7</c:v>
                </c:pt>
                <c:pt idx="4">
                  <c:v>27.3</c:v>
                </c:pt>
                <c:pt idx="5">
                  <c:v>32.700000000000003</c:v>
                </c:pt>
              </c:numCache>
            </c:numRef>
          </c:val>
        </c:ser>
        <c:dLbls>
          <c:showLegendKey val="0"/>
          <c:showVal val="0"/>
          <c:showCatName val="0"/>
          <c:showSerName val="0"/>
          <c:showPercent val="0"/>
          <c:showBubbleSize val="0"/>
        </c:dLbls>
        <c:gapWidth val="242"/>
        <c:axId val="142346880"/>
        <c:axId val="142352768"/>
      </c:barChart>
      <c:catAx>
        <c:axId val="142346880"/>
        <c:scaling>
          <c:orientation val="minMax"/>
        </c:scaling>
        <c:delete val="0"/>
        <c:axPos val="b"/>
        <c:numFmt formatCode="General" sourceLinked="0"/>
        <c:majorTickMark val="none"/>
        <c:minorTickMark val="none"/>
        <c:tickLblPos val="nextTo"/>
        <c:txPr>
          <a:bodyPr/>
          <a:lstStyle/>
          <a:p>
            <a:pPr>
              <a:defRPr lang="en-US" b="1">
                <a:latin typeface="Traditional Arabic" pitchFamily="18" charset="-78"/>
                <a:cs typeface="Traditional Arabic" pitchFamily="18" charset="-78"/>
              </a:defRPr>
            </a:pPr>
            <a:endParaRPr lang="en-US"/>
          </a:p>
        </c:txPr>
        <c:crossAx val="142352768"/>
        <c:crosses val="autoZero"/>
        <c:auto val="1"/>
        <c:lblAlgn val="ctr"/>
        <c:lblOffset val="100"/>
        <c:noMultiLvlLbl val="0"/>
      </c:catAx>
      <c:valAx>
        <c:axId val="142352768"/>
        <c:scaling>
          <c:orientation val="minMax"/>
          <c:max val="100"/>
        </c:scaling>
        <c:delete val="0"/>
        <c:axPos val="l"/>
        <c:title>
          <c:tx>
            <c:rich>
              <a:bodyPr rot="0" vert="horz"/>
              <a:lstStyle/>
              <a:p>
                <a:pPr>
                  <a:defRPr/>
                </a:pPr>
                <a:r>
                  <a:rPr lang="ar-EG"/>
                  <a:t>(%)</a:t>
                </a:r>
                <a:endParaRPr lang="en-US"/>
              </a:p>
            </c:rich>
          </c:tx>
          <c:layout>
            <c:manualLayout>
              <c:xMode val="edge"/>
              <c:yMode val="edge"/>
              <c:x val="1.1012642359135543E-4"/>
              <c:y val="3.5899679206765935E-3"/>
            </c:manualLayout>
          </c:layout>
          <c:overlay val="0"/>
        </c:title>
        <c:numFmt formatCode="General" sourceLinked="1"/>
        <c:majorTickMark val="out"/>
        <c:minorTickMark val="none"/>
        <c:tickLblPos val="nextTo"/>
        <c:txPr>
          <a:bodyPr/>
          <a:lstStyle/>
          <a:p>
            <a:pPr>
              <a:defRPr lang="en-US" b="1">
                <a:latin typeface="Traditional Arabic" pitchFamily="18" charset="-78"/>
                <a:cs typeface="Traditional Arabic" pitchFamily="18" charset="-78"/>
              </a:defRPr>
            </a:pPr>
            <a:endParaRPr lang="en-US"/>
          </a:p>
        </c:txPr>
        <c:crossAx val="142346880"/>
        <c:crosses val="autoZero"/>
        <c:crossBetween val="between"/>
        <c:majorUnit val="20"/>
      </c:valAx>
    </c:plotArea>
    <c:legend>
      <c:legendPos val="r"/>
      <c:layout>
        <c:manualLayout>
          <c:xMode val="edge"/>
          <c:yMode val="edge"/>
          <c:x val="0.22845485098196186"/>
          <c:y val="0.89219852726742488"/>
          <c:w val="0.51715135608049245"/>
          <c:h val="0.10356488680457036"/>
        </c:manualLayout>
      </c:layout>
      <c:overlay val="0"/>
      <c:txPr>
        <a:bodyPr/>
        <a:lstStyle/>
        <a:p>
          <a:pPr>
            <a:defRPr lang="en-US" b="1">
              <a:latin typeface="Traditional Arabic" pitchFamily="18" charset="-78"/>
              <a:cs typeface="Traditional Arabic" pitchFamily="18" charset="-78"/>
            </a:defRPr>
          </a:pPr>
          <a:endParaRPr lang="en-U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73026443196086E-2"/>
          <c:y val="9.7923144222356817E-2"/>
          <c:w val="0.83695171375636868"/>
          <c:h val="0.40039302779460262"/>
        </c:manualLayout>
      </c:layout>
      <c:barChart>
        <c:barDir val="col"/>
        <c:grouping val="clustered"/>
        <c:varyColors val="0"/>
        <c:ser>
          <c:idx val="0"/>
          <c:order val="0"/>
          <c:tx>
            <c:strRef>
              <c:f>Sheet2!$B$48</c:f>
              <c:strCache>
                <c:ptCount val="1"/>
                <c:pt idx="0">
                  <c:v>موافق</c:v>
                </c:pt>
              </c:strCache>
            </c:strRef>
          </c:tx>
          <c:spPr>
            <a:solidFill>
              <a:schemeClr val="tx1"/>
            </a:solidFill>
          </c:spPr>
          <c:invertIfNegative val="0"/>
          <c:dLbls>
            <c:dLbl>
              <c:idx val="0"/>
              <c:tx>
                <c:rich>
                  <a:bodyPr/>
                  <a:lstStyle/>
                  <a:p>
                    <a:r>
                      <a:rPr lang="en-US" sz="800" b="1">
                        <a:latin typeface="Times New Roman" pitchFamily="18" charset="0"/>
                        <a:cs typeface="Times New Roman" pitchFamily="18" charset="0"/>
                      </a:rPr>
                      <a:t>9</a:t>
                    </a:r>
                    <a:r>
                      <a:rPr lang="en-US" sz="800">
                        <a:latin typeface="Times New Roman" pitchFamily="18" charset="0"/>
                        <a:cs typeface="Times New Roman"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7.2276328200498834E-3"/>
                  <c:y val="9.268821437334678E-4"/>
                </c:manualLayout>
              </c:layout>
              <c:tx>
                <c:rich>
                  <a:bodyPr/>
                  <a:lstStyle/>
                  <a:p>
                    <a:r>
                      <a:rPr lang="en-US" sz="800" b="1">
                        <a:latin typeface="Times New Roman" pitchFamily="18" charset="0"/>
                        <a:cs typeface="Times New Roman" pitchFamily="18" charset="0"/>
                      </a:rPr>
                      <a:t>3</a:t>
                    </a:r>
                    <a:r>
                      <a:rPr lang="en-US" sz="800">
                        <a:latin typeface="Times New Roman" pitchFamily="18" charset="0"/>
                        <a:cs typeface="Times New Roman"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800" b="1">
                        <a:latin typeface="Times New Roman" pitchFamily="18" charset="0"/>
                        <a:cs typeface="Times New Roman" pitchFamily="18" charset="0"/>
                      </a:rPr>
                      <a:t>9</a:t>
                    </a:r>
                    <a:r>
                      <a:rPr lang="en-US" sz="800">
                        <a:latin typeface="Times New Roman" pitchFamily="18" charset="0"/>
                        <a:cs typeface="Times New Roman"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800" b="1">
                        <a:latin typeface="Times New Roman" pitchFamily="18" charset="0"/>
                        <a:cs typeface="Times New Roman" pitchFamily="18" charset="0"/>
                      </a:rPr>
                      <a:t>7</a:t>
                    </a:r>
                    <a:r>
                      <a:rPr lang="en-US" sz="800">
                        <a:latin typeface="Times New Roman" pitchFamily="18" charset="0"/>
                        <a:cs typeface="Times New Roman"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800" b="1">
                        <a:latin typeface="Times New Roman" pitchFamily="18" charset="0"/>
                        <a:cs typeface="Times New Roman" pitchFamily="18" charset="0"/>
                      </a:rPr>
                      <a:t>90</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sz="800" b="1">
                        <a:latin typeface="Times New Roman" pitchFamily="18" charset="0"/>
                        <a:cs typeface="Times New Roman" pitchFamily="18" charset="0"/>
                      </a:rPr>
                      <a:t>8</a:t>
                    </a:r>
                    <a:r>
                      <a:rPr lang="en-US" sz="800">
                        <a:latin typeface="Times New Roman" pitchFamily="18" charset="0"/>
                        <a:cs typeface="Times New Roman"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6"/>
              <c:layout>
                <c:manualLayout>
                  <c:x val="0"/>
                  <c:y val="7.9829831179371574E-3"/>
                </c:manualLayout>
              </c:layout>
              <c:tx>
                <c:rich>
                  <a:bodyPr/>
                  <a:lstStyle/>
                  <a:p>
                    <a:r>
                      <a:rPr lang="en-US" sz="800" b="1">
                        <a:latin typeface="Times New Roman" pitchFamily="18" charset="0"/>
                        <a:cs typeface="Times New Roman" pitchFamily="18" charset="0"/>
                      </a:rPr>
                      <a:t>90</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0"/>
                  <c:y val="1.2593784025528691E-2"/>
                </c:manualLayout>
              </c:layout>
              <c:tx>
                <c:rich>
                  <a:bodyPr/>
                  <a:lstStyle/>
                  <a:p>
                    <a:r>
                      <a:rPr lang="en-US" sz="800" b="1">
                        <a:latin typeface="Times New Roman" pitchFamily="18" charset="0"/>
                        <a:cs typeface="Times New Roman" pitchFamily="18" charset="0"/>
                      </a:rPr>
                      <a:t>88</a:t>
                    </a:r>
                    <a:endParaRPr lang="en-US"/>
                  </a:p>
                </c:rich>
              </c:tx>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Sheet2!$A$49:$A$56</c:f>
              <c:strCache>
                <c:ptCount val="8"/>
                <c:pt idx="0">
                  <c:v>إدارج بيانات للعلامات التجارية</c:v>
                </c:pt>
                <c:pt idx="1">
                  <c:v>فرض  ضرائب على المنتجات غير المستدامة </c:v>
                </c:pt>
                <c:pt idx="2">
                  <c:v>تنفيذ حملات إعلانية وإعلامية </c:v>
                </c:pt>
                <c:pt idx="3">
                  <c:v>تقديم إعانات وحوافز ضريبية وغير ضريبة </c:v>
                </c:pt>
                <c:pt idx="4">
                  <c:v>إبراز العلامات البيئية الصفات المميزة للمنتجات المستدامة</c:v>
                </c:pt>
                <c:pt idx="5">
                  <c:v>تضمين المناهج التعليمية قضايا الوعي البيئي </c:v>
                </c:pt>
                <c:pt idx="6">
                  <c:v>الدراسة والتحليل المستمر لسلوكيات وميول المستهلك </c:v>
                </c:pt>
                <c:pt idx="7">
                  <c:v>تطبيق مزيج من سياسات دعم وتحفيز الاستهلاك المستدام </c:v>
                </c:pt>
              </c:strCache>
            </c:strRef>
          </c:cat>
          <c:val>
            <c:numRef>
              <c:f>Sheet2!$B$49:$B$56</c:f>
              <c:numCache>
                <c:formatCode>General</c:formatCode>
                <c:ptCount val="8"/>
                <c:pt idx="0">
                  <c:v>93.3</c:v>
                </c:pt>
                <c:pt idx="1">
                  <c:v>32.200000000000003</c:v>
                </c:pt>
                <c:pt idx="2">
                  <c:v>91.7</c:v>
                </c:pt>
                <c:pt idx="3">
                  <c:v>73.3</c:v>
                </c:pt>
                <c:pt idx="4">
                  <c:v>89.9</c:v>
                </c:pt>
                <c:pt idx="5">
                  <c:v>87.1</c:v>
                </c:pt>
                <c:pt idx="6">
                  <c:v>89.7</c:v>
                </c:pt>
                <c:pt idx="7">
                  <c:v>87.8</c:v>
                </c:pt>
              </c:numCache>
            </c:numRef>
          </c:val>
        </c:ser>
        <c:ser>
          <c:idx val="1"/>
          <c:order val="1"/>
          <c:tx>
            <c:strRef>
              <c:f>Sheet2!$C$48</c:f>
              <c:strCache>
                <c:ptCount val="1"/>
                <c:pt idx="0">
                  <c:v>محايد </c:v>
                </c:pt>
              </c:strCache>
            </c:strRef>
          </c:tx>
          <c:spPr>
            <a:pattFill prst="wdDnDiag">
              <a:fgClr>
                <a:schemeClr val="tx1"/>
              </a:fgClr>
              <a:bgClr>
                <a:schemeClr val="bg1"/>
              </a:bgClr>
            </a:pattFill>
            <a:ln>
              <a:solidFill>
                <a:schemeClr val="tx1"/>
              </a:solidFill>
            </a:ln>
          </c:spPr>
          <c:invertIfNegative val="0"/>
          <c:dLbls>
            <c:dLbl>
              <c:idx val="0"/>
              <c:layout>
                <c:manualLayout>
                  <c:x val="2.2171723834951852E-3"/>
                  <c:y val="6.8933285810965144E-3"/>
                </c:manualLayout>
              </c:layout>
              <c:tx>
                <c:rich>
                  <a:bodyPr/>
                  <a:lstStyle/>
                  <a:p>
                    <a:r>
                      <a:rPr lang="en-US" sz="800" b="1">
                        <a:latin typeface="Times New Roman" pitchFamily="18" charset="0"/>
                        <a:cs typeface="Times New Roman"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8531909150287537E-5"/>
                  <c:y val="1.050969456933556E-2"/>
                </c:manualLayout>
              </c:layout>
              <c:tx>
                <c:rich>
                  <a:bodyPr/>
                  <a:lstStyle/>
                  <a:p>
                    <a:r>
                      <a:rPr lang="en-US" sz="800" b="1">
                        <a:latin typeface="Times New Roman" pitchFamily="18" charset="0"/>
                        <a:cs typeface="Times New Roman" pitchFamily="18" charset="0"/>
                      </a:rPr>
                      <a:t>2</a:t>
                    </a:r>
                    <a:r>
                      <a:rPr lang="en-US" sz="800">
                        <a:latin typeface="Times New Roman" pitchFamily="18" charset="0"/>
                        <a:cs typeface="Times New Roman" pitchFamily="18" charset="0"/>
                      </a:rPr>
                      <a:t>5</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4.1567094244362706E-3"/>
                  <c:y val="4.5167605705516735E-3"/>
                </c:manualLayout>
              </c:layout>
              <c:tx>
                <c:rich>
                  <a:bodyPr/>
                  <a:lstStyle/>
                  <a:p>
                    <a:r>
                      <a:rPr lang="en-US" sz="800" b="1">
                        <a:latin typeface="Times New Roman" pitchFamily="18" charset="0"/>
                        <a:cs typeface="Times New Roman" pitchFamily="18" charset="0"/>
                      </a:rPr>
                      <a:t>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2.5073888744564675E-3"/>
                  <c:y val="-2.5495503302680991E-3"/>
                </c:manualLayout>
              </c:layout>
              <c:tx>
                <c:rich>
                  <a:bodyPr/>
                  <a:lstStyle/>
                  <a:p>
                    <a:r>
                      <a:rPr lang="en-US" sz="800" b="1">
                        <a:latin typeface="Times New Roman" pitchFamily="18" charset="0"/>
                        <a:cs typeface="Times New Roman" pitchFamily="18" charset="0"/>
                      </a:rPr>
                      <a:t>16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6.651687166004513E-3"/>
                  <c:y val="8.8477253162153897E-3"/>
                </c:manualLayout>
              </c:layout>
              <c:tx>
                <c:rich>
                  <a:bodyPr/>
                  <a:lstStyle/>
                  <a:p>
                    <a:r>
                      <a:rPr lang="en-US" sz="800" b="1">
                        <a:latin typeface="Times New Roman" pitchFamily="18" charset="0"/>
                        <a:cs typeface="Times New Roman" pitchFamily="18" charset="0"/>
                      </a:rPr>
                      <a:t>9</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1.1629061500733809E-4"/>
                  <c:y val="4.2824083050396608E-3"/>
                </c:manualLayout>
              </c:layout>
              <c:tx>
                <c:rich>
                  <a:bodyPr/>
                  <a:lstStyle/>
                  <a:p>
                    <a:r>
                      <a:rPr lang="en-US" sz="800" b="1">
                        <a:latin typeface="Times New Roman" pitchFamily="18" charset="0"/>
                        <a:cs typeface="Times New Roman" pitchFamily="18" charset="0"/>
                      </a:rPr>
                      <a:t>11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6"/>
              <c:layout>
                <c:manualLayout>
                  <c:x val="4.4924900744940082E-3"/>
                  <c:y val="-3.768856505939232E-3"/>
                </c:manualLayout>
              </c:layout>
              <c:tx>
                <c:rich>
                  <a:bodyPr/>
                  <a:lstStyle/>
                  <a:p>
                    <a:r>
                      <a:rPr lang="en-US" sz="800">
                        <a:latin typeface="Times New Roman" pitchFamily="18" charset="0"/>
                        <a:cs typeface="Times New Roman" pitchFamily="18" charset="0"/>
                      </a:rPr>
                      <a:t>8</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6.6517315796319632E-3"/>
                  <c:y val="-1.2990438640506007E-4"/>
                </c:manualLayout>
              </c:layout>
              <c:tx>
                <c:rich>
                  <a:bodyPr/>
                  <a:lstStyle/>
                  <a:p>
                    <a:r>
                      <a:rPr lang="en-US" sz="800" b="1">
                        <a:latin typeface="Times New Roman" pitchFamily="18" charset="0"/>
                        <a:cs typeface="Times New Roman" pitchFamily="18" charset="0"/>
                      </a:rPr>
                      <a:t>1</a:t>
                    </a:r>
                    <a:r>
                      <a:rPr lang="en-US" sz="800">
                        <a:latin typeface="Times New Roman" pitchFamily="18" charset="0"/>
                        <a:cs typeface="Times New Roman" pitchFamily="18" charset="0"/>
                      </a:rPr>
                      <a:t>0</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Sheet2!$A$49:$A$56</c:f>
              <c:strCache>
                <c:ptCount val="8"/>
                <c:pt idx="0">
                  <c:v>إدارج بيانات للعلامات التجارية</c:v>
                </c:pt>
                <c:pt idx="1">
                  <c:v>فرض  ضرائب على المنتجات غير المستدامة </c:v>
                </c:pt>
                <c:pt idx="2">
                  <c:v>تنفيذ حملات إعلانية وإعلامية </c:v>
                </c:pt>
                <c:pt idx="3">
                  <c:v>تقديم إعانات وحوافز ضريبية وغير ضريبة </c:v>
                </c:pt>
                <c:pt idx="4">
                  <c:v>إبراز العلامات البيئية الصفات المميزة للمنتجات المستدامة</c:v>
                </c:pt>
                <c:pt idx="5">
                  <c:v>تضمين المناهج التعليمية قضايا الوعي البيئي </c:v>
                </c:pt>
                <c:pt idx="6">
                  <c:v>الدراسة والتحليل المستمر لسلوكيات وميول المستهلك </c:v>
                </c:pt>
                <c:pt idx="7">
                  <c:v>تطبيق مزيج من سياسات دعم وتحفيز الاستهلاك المستدام </c:v>
                </c:pt>
              </c:strCache>
            </c:strRef>
          </c:cat>
          <c:val>
            <c:numRef>
              <c:f>Sheet2!$C$49:$C$56</c:f>
              <c:numCache>
                <c:formatCode>General</c:formatCode>
                <c:ptCount val="8"/>
                <c:pt idx="0">
                  <c:v>3.4</c:v>
                </c:pt>
                <c:pt idx="1">
                  <c:v>24.6</c:v>
                </c:pt>
                <c:pt idx="2">
                  <c:v>5.8</c:v>
                </c:pt>
                <c:pt idx="3">
                  <c:v>15.8</c:v>
                </c:pt>
                <c:pt idx="4">
                  <c:v>9.2000000000000011</c:v>
                </c:pt>
                <c:pt idx="5">
                  <c:v>11.2</c:v>
                </c:pt>
                <c:pt idx="6">
                  <c:v>7.8</c:v>
                </c:pt>
                <c:pt idx="7">
                  <c:v>10.4</c:v>
                </c:pt>
              </c:numCache>
            </c:numRef>
          </c:val>
        </c:ser>
        <c:ser>
          <c:idx val="2"/>
          <c:order val="2"/>
          <c:tx>
            <c:strRef>
              <c:f>Sheet2!$D$48</c:f>
              <c:strCache>
                <c:ptCount val="1"/>
                <c:pt idx="0">
                  <c:v>غير موافق</c:v>
                </c:pt>
              </c:strCache>
            </c:strRef>
          </c:tx>
          <c:spPr>
            <a:pattFill prst="pct5">
              <a:fgClr>
                <a:schemeClr val="tx1"/>
              </a:fgClr>
              <a:bgClr>
                <a:schemeClr val="bg1"/>
              </a:bgClr>
            </a:pattFill>
            <a:ln>
              <a:solidFill>
                <a:schemeClr val="tx1"/>
              </a:solidFill>
            </a:ln>
          </c:spPr>
          <c:invertIfNegative val="0"/>
          <c:dLbls>
            <c:dLbl>
              <c:idx val="0"/>
              <c:layout>
                <c:manualLayout>
                  <c:x val="7.0277614940691966E-3"/>
                  <c:y val="1.2593652391859918E-2"/>
                </c:manualLayout>
              </c:layout>
              <c:tx>
                <c:rich>
                  <a:bodyPr/>
                  <a:lstStyle/>
                  <a:p>
                    <a:r>
                      <a:rPr lang="en-US" sz="800" b="1">
                        <a:latin typeface="Times New Roman" pitchFamily="18" charset="0"/>
                        <a:cs typeface="Times New Roman"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4.4406650228047554E-3"/>
                  <c:y val="3.4598198791393002E-3"/>
                </c:manualLayout>
              </c:layout>
              <c:tx>
                <c:rich>
                  <a:bodyPr/>
                  <a:lstStyle/>
                  <a:p>
                    <a:r>
                      <a:rPr lang="en-US" sz="800" b="1">
                        <a:latin typeface="Times New Roman" pitchFamily="18" charset="0"/>
                        <a:cs typeface="Times New Roman" pitchFamily="18" charset="0"/>
                      </a:rPr>
                      <a:t>4</a:t>
                    </a:r>
                    <a:r>
                      <a:rPr lang="en-US" sz="800">
                        <a:latin typeface="Times New Roman" pitchFamily="18" charset="0"/>
                        <a:cs typeface="Times New Roman"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4.8717946974199833E-3"/>
                  <c:y val="1.1696369832827605E-2"/>
                </c:manualLayout>
              </c:layout>
              <c:tx>
                <c:rich>
                  <a:bodyPr/>
                  <a:lstStyle/>
                  <a:p>
                    <a:r>
                      <a:rPr lang="en-US" sz="800" b="1">
                        <a:latin typeface="Times New Roman" pitchFamily="18" charset="0"/>
                        <a:cs typeface="Times New Roman"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4.7245612579516283E-3"/>
                  <c:y val="9.2931632194404017E-3"/>
                </c:manualLayout>
              </c:layout>
              <c:tx>
                <c:rich>
                  <a:bodyPr/>
                  <a:lstStyle/>
                  <a:p>
                    <a:r>
                      <a:rPr lang="en-US" sz="800" b="1">
                        <a:latin typeface="Times New Roman" pitchFamily="18" charset="0"/>
                        <a:cs typeface="Times New Roman" pitchFamily="18" charset="0"/>
                      </a:rPr>
                      <a:t>11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5130611729440835E-2"/>
                  <c:y val="0"/>
                </c:manualLayout>
              </c:layout>
              <c:tx>
                <c:rich>
                  <a:bodyPr/>
                  <a:lstStyle/>
                  <a:p>
                    <a:r>
                      <a:rPr lang="en-US" sz="800" b="1">
                        <a:latin typeface="Times New Roman" pitchFamily="18" charset="0"/>
                        <a:cs typeface="Times New Roman" pitchFamily="18" charset="0"/>
                      </a:rPr>
                      <a:t>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6.6516988892884295E-3"/>
                  <c:y val="0"/>
                </c:manualLayout>
              </c:layout>
              <c:tx>
                <c:rich>
                  <a:bodyPr/>
                  <a:lstStyle/>
                  <a:p>
                    <a:r>
                      <a:rPr lang="en-US" sz="800" b="1">
                        <a:latin typeface="Times New Roman" pitchFamily="18" charset="0"/>
                        <a:cs typeface="Times New Roman"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6"/>
              <c:layout>
                <c:manualLayout>
                  <c:x val="4.3484869298869534E-3"/>
                  <c:y val="1.7121877677558961E-2"/>
                </c:manualLayout>
              </c:layout>
              <c:tx>
                <c:rich>
                  <a:bodyPr/>
                  <a:lstStyle/>
                  <a:p>
                    <a:r>
                      <a:rPr lang="en-US" sz="800" b="1">
                        <a:latin typeface="Times New Roman" pitchFamily="18" charset="0"/>
                        <a:cs typeface="Times New Roman" pitchFamily="18" charset="0"/>
                      </a:rPr>
                      <a:t>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1.3566558355446706E-2"/>
                  <c:y val="1.2593652391859918E-2"/>
                </c:manualLayout>
              </c:layout>
              <c:tx>
                <c:rich>
                  <a:bodyPr/>
                  <a:lstStyle/>
                  <a:p>
                    <a:r>
                      <a:rPr lang="en-US" sz="800" b="1">
                        <a:latin typeface="Times New Roman" pitchFamily="18" charset="0"/>
                        <a:cs typeface="Times New Roman"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Sheet2!$A$49:$A$56</c:f>
              <c:strCache>
                <c:ptCount val="8"/>
                <c:pt idx="0">
                  <c:v>إدارج بيانات للعلامات التجارية</c:v>
                </c:pt>
                <c:pt idx="1">
                  <c:v>فرض  ضرائب على المنتجات غير المستدامة </c:v>
                </c:pt>
                <c:pt idx="2">
                  <c:v>تنفيذ حملات إعلانية وإعلامية </c:v>
                </c:pt>
                <c:pt idx="3">
                  <c:v>تقديم إعانات وحوافز ضريبية وغير ضريبة </c:v>
                </c:pt>
                <c:pt idx="4">
                  <c:v>إبراز العلامات البيئية الصفات المميزة للمنتجات المستدامة</c:v>
                </c:pt>
                <c:pt idx="5">
                  <c:v>تضمين المناهج التعليمية قضايا الوعي البيئي </c:v>
                </c:pt>
                <c:pt idx="6">
                  <c:v>الدراسة والتحليل المستمر لسلوكيات وميول المستهلك </c:v>
                </c:pt>
                <c:pt idx="7">
                  <c:v>تطبيق مزيج من سياسات دعم وتحفيز الاستهلاك المستدام </c:v>
                </c:pt>
              </c:strCache>
            </c:strRef>
          </c:cat>
          <c:val>
            <c:numRef>
              <c:f>Sheet2!$D$49:$D$56</c:f>
              <c:numCache>
                <c:formatCode>General</c:formatCode>
                <c:ptCount val="8"/>
                <c:pt idx="0">
                  <c:v>3.4</c:v>
                </c:pt>
                <c:pt idx="1">
                  <c:v>43.2</c:v>
                </c:pt>
                <c:pt idx="2">
                  <c:v>2.5</c:v>
                </c:pt>
                <c:pt idx="3">
                  <c:v>10.8</c:v>
                </c:pt>
                <c:pt idx="4">
                  <c:v>0.8</c:v>
                </c:pt>
                <c:pt idx="5">
                  <c:v>1.7</c:v>
                </c:pt>
                <c:pt idx="6">
                  <c:v>2.6</c:v>
                </c:pt>
                <c:pt idx="7">
                  <c:v>1.7</c:v>
                </c:pt>
              </c:numCache>
            </c:numRef>
          </c:val>
        </c:ser>
        <c:dLbls>
          <c:showLegendKey val="0"/>
          <c:showVal val="0"/>
          <c:showCatName val="0"/>
          <c:showSerName val="0"/>
          <c:showPercent val="0"/>
          <c:showBubbleSize val="0"/>
        </c:dLbls>
        <c:gapWidth val="82"/>
        <c:axId val="145759232"/>
        <c:axId val="146047744"/>
      </c:barChart>
      <c:catAx>
        <c:axId val="145759232"/>
        <c:scaling>
          <c:orientation val="minMax"/>
        </c:scaling>
        <c:delete val="0"/>
        <c:axPos val="b"/>
        <c:numFmt formatCode="General" sourceLinked="0"/>
        <c:majorTickMark val="none"/>
        <c:minorTickMark val="none"/>
        <c:tickLblPos val="nextTo"/>
        <c:txPr>
          <a:bodyPr/>
          <a:lstStyle/>
          <a:p>
            <a:pPr>
              <a:defRPr lang="en-US" b="1">
                <a:latin typeface="Traditional Arabic" pitchFamily="18" charset="-78"/>
                <a:cs typeface="Traditional Arabic" pitchFamily="18" charset="-78"/>
              </a:defRPr>
            </a:pPr>
            <a:endParaRPr lang="en-US"/>
          </a:p>
        </c:txPr>
        <c:crossAx val="146047744"/>
        <c:crosses val="autoZero"/>
        <c:auto val="1"/>
        <c:lblAlgn val="ctr"/>
        <c:lblOffset val="100"/>
        <c:noMultiLvlLbl val="0"/>
      </c:catAx>
      <c:valAx>
        <c:axId val="146047744"/>
        <c:scaling>
          <c:orientation val="minMax"/>
        </c:scaling>
        <c:delete val="0"/>
        <c:axPos val="l"/>
        <c:title>
          <c:tx>
            <c:rich>
              <a:bodyPr rot="0" vert="horz"/>
              <a:lstStyle/>
              <a:p>
                <a:pPr>
                  <a:defRPr/>
                </a:pPr>
                <a:r>
                  <a:rPr lang="en-US"/>
                  <a:t>(%)</a:t>
                </a:r>
              </a:p>
            </c:rich>
          </c:tx>
          <c:layout>
            <c:manualLayout>
              <c:xMode val="edge"/>
              <c:yMode val="edge"/>
              <c:x val="0"/>
              <c:y val="2.363215942185317E-2"/>
            </c:manualLayout>
          </c:layout>
          <c:overlay val="0"/>
        </c:title>
        <c:numFmt formatCode="General" sourceLinked="1"/>
        <c:majorTickMark val="out"/>
        <c:minorTickMark val="none"/>
        <c:tickLblPos val="nextTo"/>
        <c:txPr>
          <a:bodyPr/>
          <a:lstStyle/>
          <a:p>
            <a:pPr>
              <a:defRPr lang="en-US" b="1">
                <a:latin typeface="Traditional Arabic" pitchFamily="18" charset="-78"/>
                <a:cs typeface="Traditional Arabic" pitchFamily="18" charset="-78"/>
              </a:defRPr>
            </a:pPr>
            <a:endParaRPr lang="en-US"/>
          </a:p>
        </c:txPr>
        <c:crossAx val="145759232"/>
        <c:crosses val="autoZero"/>
        <c:crossBetween val="between"/>
        <c:majorUnit val="20"/>
      </c:valAx>
    </c:plotArea>
    <c:legend>
      <c:legendPos val="r"/>
      <c:layout>
        <c:manualLayout>
          <c:xMode val="edge"/>
          <c:yMode val="edge"/>
          <c:x val="0.24802582125399311"/>
          <c:y val="0.87563617848209874"/>
          <c:w val="0.49063889575098896"/>
          <c:h val="0.12240781492927244"/>
        </c:manualLayout>
      </c:layout>
      <c:overlay val="0"/>
      <c:txPr>
        <a:bodyPr/>
        <a:lstStyle/>
        <a:p>
          <a:pPr>
            <a:defRPr lang="en-US" sz="1000" b="1"/>
          </a:pPr>
          <a:endParaRPr lang="en-US"/>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66593240549429"/>
          <c:y val="5.1400554097404488E-2"/>
          <c:w val="0.82575436233058586"/>
          <c:h val="0.49975006635406605"/>
        </c:manualLayout>
      </c:layout>
      <c:barChart>
        <c:barDir val="col"/>
        <c:grouping val="clustered"/>
        <c:varyColors val="0"/>
        <c:ser>
          <c:idx val="0"/>
          <c:order val="0"/>
          <c:tx>
            <c:strRef>
              <c:f>Sheet2!$B$59</c:f>
              <c:strCache>
                <c:ptCount val="1"/>
                <c:pt idx="0">
                  <c:v>موافق</c:v>
                </c:pt>
              </c:strCache>
            </c:strRef>
          </c:tx>
          <c:spPr>
            <a:solidFill>
              <a:schemeClr val="tx1"/>
            </a:solidFill>
          </c:spPr>
          <c:invertIfNegative val="0"/>
          <c:dLbls>
            <c:dLbl>
              <c:idx val="0"/>
              <c:tx>
                <c:rich>
                  <a:bodyPr/>
                  <a:lstStyle/>
                  <a:p>
                    <a:r>
                      <a:rPr lang="en-US"/>
                      <a:t>93</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93</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79</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93</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86</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64</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noFill/>
              </a:ln>
              <a:effectLst/>
            </c:spPr>
            <c:txPr>
              <a:bodyPr/>
              <a:lstStyle/>
              <a:p>
                <a:pPr>
                  <a:defRPr lang="en-US" b="1">
                    <a:latin typeface="Garamond"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Sheet2!$A$60:$A$67</c:f>
              <c:strCache>
                <c:ptCount val="8"/>
                <c:pt idx="0">
                  <c:v>إدارج بيانات للعلامات التجارية</c:v>
                </c:pt>
                <c:pt idx="1">
                  <c:v>فرض  ضرائب على المنتجات غير المستدامة </c:v>
                </c:pt>
                <c:pt idx="2">
                  <c:v>تنفيذ حملات إعلانية وإعلامية </c:v>
                </c:pt>
                <c:pt idx="3">
                  <c:v>تقديم إعانات وحوافز ضريبية وغير ضريبة </c:v>
                </c:pt>
                <c:pt idx="4">
                  <c:v>إبراز العلامات البيئية الصفات المميزة للمنتجات المستدامة</c:v>
                </c:pt>
                <c:pt idx="5">
                  <c:v>تضمين المناهج التعليمية قضايا الوعي البيئي </c:v>
                </c:pt>
                <c:pt idx="6">
                  <c:v>الدراسة والتحليل المستمر لسلوكيات وميول المستهلك </c:v>
                </c:pt>
                <c:pt idx="7">
                  <c:v>تطبيق مزيج من سياسات دعم وتحفيز الاستهلاك المستدام </c:v>
                </c:pt>
              </c:strCache>
            </c:strRef>
          </c:cat>
          <c:val>
            <c:numRef>
              <c:f>Sheet2!$B$60:$B$67</c:f>
              <c:numCache>
                <c:formatCode>General</c:formatCode>
                <c:ptCount val="8"/>
                <c:pt idx="0">
                  <c:v>92.9</c:v>
                </c:pt>
                <c:pt idx="1">
                  <c:v>46.1</c:v>
                </c:pt>
                <c:pt idx="2">
                  <c:v>92.9</c:v>
                </c:pt>
                <c:pt idx="3">
                  <c:v>78.599999999999994</c:v>
                </c:pt>
                <c:pt idx="4">
                  <c:v>92.9</c:v>
                </c:pt>
                <c:pt idx="5">
                  <c:v>85.7</c:v>
                </c:pt>
                <c:pt idx="6">
                  <c:v>64.3</c:v>
                </c:pt>
                <c:pt idx="7">
                  <c:v>61.5</c:v>
                </c:pt>
              </c:numCache>
            </c:numRef>
          </c:val>
        </c:ser>
        <c:ser>
          <c:idx val="1"/>
          <c:order val="1"/>
          <c:tx>
            <c:strRef>
              <c:f>Sheet2!$C$59</c:f>
              <c:strCache>
                <c:ptCount val="1"/>
                <c:pt idx="0">
                  <c:v>محايد </c:v>
                </c:pt>
              </c:strCache>
            </c:strRef>
          </c:tx>
          <c:spPr>
            <a:pattFill prst="wdDnDiag">
              <a:fgClr>
                <a:schemeClr val="tx1"/>
              </a:fgClr>
              <a:bgClr>
                <a:schemeClr val="bg1"/>
              </a:bgClr>
            </a:pattFill>
            <a:ln>
              <a:solidFill>
                <a:schemeClr val="tx1"/>
              </a:solidFill>
            </a:ln>
          </c:spPr>
          <c:invertIfNegative val="0"/>
          <c:dLbls>
            <c:dLbl>
              <c:idx val="0"/>
              <c:layout>
                <c:manualLayout>
                  <c:x val="3.9830633333501932E-3"/>
                  <c:y val="0"/>
                </c:manualLayout>
              </c:layout>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3.2664643590722196E-3"/>
                  <c:y val="0"/>
                </c:manualLayout>
              </c:layout>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3865945783060243E-2"/>
                  <c:y val="0"/>
                </c:manualLayout>
              </c:layout>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3.2664643590722196E-3"/>
                  <c:y val="0"/>
                </c:manualLayout>
              </c:layout>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Lst>
            </c:dLbl>
            <c:dLbl>
              <c:idx val="6"/>
              <c:layout>
                <c:manualLayout>
                  <c:x val="3.5053306838315449E-3"/>
                  <c:y val="0"/>
                </c:manualLayout>
              </c:layout>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b="1">
                    <a:latin typeface="Garamond"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Sheet2!$A$60:$A$67</c:f>
              <c:strCache>
                <c:ptCount val="8"/>
                <c:pt idx="0">
                  <c:v>إدارج بيانات للعلامات التجارية</c:v>
                </c:pt>
                <c:pt idx="1">
                  <c:v>فرض  ضرائب على المنتجات غير المستدامة </c:v>
                </c:pt>
                <c:pt idx="2">
                  <c:v>تنفيذ حملات إعلانية وإعلامية </c:v>
                </c:pt>
                <c:pt idx="3">
                  <c:v>تقديم إعانات وحوافز ضريبية وغير ضريبة </c:v>
                </c:pt>
                <c:pt idx="4">
                  <c:v>إبراز العلامات البيئية الصفات المميزة للمنتجات المستدامة</c:v>
                </c:pt>
                <c:pt idx="5">
                  <c:v>تضمين المناهج التعليمية قضايا الوعي البيئي </c:v>
                </c:pt>
                <c:pt idx="6">
                  <c:v>الدراسة والتحليل المستمر لسلوكيات وميول المستهلك </c:v>
                </c:pt>
                <c:pt idx="7">
                  <c:v>تطبيق مزيج من سياسات دعم وتحفيز الاستهلاك المستدام </c:v>
                </c:pt>
              </c:strCache>
            </c:strRef>
          </c:cat>
          <c:val>
            <c:numRef>
              <c:f>Sheet2!$C$60:$C$67</c:f>
              <c:numCache>
                <c:formatCode>General</c:formatCode>
                <c:ptCount val="8"/>
                <c:pt idx="0">
                  <c:v>7.1</c:v>
                </c:pt>
                <c:pt idx="1">
                  <c:v>15.4</c:v>
                </c:pt>
                <c:pt idx="2">
                  <c:v>7.1</c:v>
                </c:pt>
                <c:pt idx="3">
                  <c:v>14.3</c:v>
                </c:pt>
                <c:pt idx="4">
                  <c:v>7.1</c:v>
                </c:pt>
                <c:pt idx="5">
                  <c:v>14.3</c:v>
                </c:pt>
                <c:pt idx="6">
                  <c:v>35.700000000000003</c:v>
                </c:pt>
                <c:pt idx="7">
                  <c:v>23.1</c:v>
                </c:pt>
              </c:numCache>
            </c:numRef>
          </c:val>
        </c:ser>
        <c:ser>
          <c:idx val="2"/>
          <c:order val="2"/>
          <c:tx>
            <c:strRef>
              <c:f>Sheet2!$D$59</c:f>
              <c:strCache>
                <c:ptCount val="1"/>
                <c:pt idx="0">
                  <c:v>غير موافق</c:v>
                </c:pt>
              </c:strCache>
            </c:strRef>
          </c:tx>
          <c:spPr>
            <a:pattFill prst="pct5">
              <a:fgClr>
                <a:schemeClr val="tx1"/>
              </a:fgClr>
              <a:bgClr>
                <a:schemeClr val="bg1"/>
              </a:bgClr>
            </a:pattFill>
            <a:ln>
              <a:solidFill>
                <a:schemeClr val="tx1"/>
              </a:solidFill>
            </a:ln>
          </c:spPr>
          <c:invertIfNegative val="0"/>
          <c:dLbls>
            <c:dLbl>
              <c:idx val="1"/>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3.7441970085908779E-3"/>
                  <c:y val="0"/>
                </c:manualLayout>
              </c:layout>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7.0104982076051904E-3"/>
                  <c:y val="4.2237440264785518E-3"/>
                </c:manualLayout>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b="1">
                    <a:latin typeface="Garamond"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Sheet2!$A$60:$A$67</c:f>
              <c:strCache>
                <c:ptCount val="8"/>
                <c:pt idx="0">
                  <c:v>إدارج بيانات للعلامات التجارية</c:v>
                </c:pt>
                <c:pt idx="1">
                  <c:v>فرض  ضرائب على المنتجات غير المستدامة </c:v>
                </c:pt>
                <c:pt idx="2">
                  <c:v>تنفيذ حملات إعلانية وإعلامية </c:v>
                </c:pt>
                <c:pt idx="3">
                  <c:v>تقديم إعانات وحوافز ضريبية وغير ضريبة </c:v>
                </c:pt>
                <c:pt idx="4">
                  <c:v>إبراز العلامات البيئية الصفات المميزة للمنتجات المستدامة</c:v>
                </c:pt>
                <c:pt idx="5">
                  <c:v>تضمين المناهج التعليمية قضايا الوعي البيئي </c:v>
                </c:pt>
                <c:pt idx="6">
                  <c:v>الدراسة والتحليل المستمر لسلوكيات وميول المستهلك </c:v>
                </c:pt>
                <c:pt idx="7">
                  <c:v>تطبيق مزيج من سياسات دعم وتحفيز الاستهلاك المستدام </c:v>
                </c:pt>
              </c:strCache>
            </c:strRef>
          </c:cat>
          <c:val>
            <c:numRef>
              <c:f>Sheet2!$D$60:$D$67</c:f>
              <c:numCache>
                <c:formatCode>General</c:formatCode>
                <c:ptCount val="8"/>
                <c:pt idx="1">
                  <c:v>38.5</c:v>
                </c:pt>
                <c:pt idx="3">
                  <c:v>7.1</c:v>
                </c:pt>
                <c:pt idx="7">
                  <c:v>15.4</c:v>
                </c:pt>
              </c:numCache>
            </c:numRef>
          </c:val>
        </c:ser>
        <c:dLbls>
          <c:showLegendKey val="0"/>
          <c:showVal val="0"/>
          <c:showCatName val="0"/>
          <c:showSerName val="0"/>
          <c:showPercent val="0"/>
          <c:showBubbleSize val="0"/>
        </c:dLbls>
        <c:gapWidth val="114"/>
        <c:axId val="172072320"/>
        <c:axId val="172135552"/>
      </c:barChart>
      <c:catAx>
        <c:axId val="172072320"/>
        <c:scaling>
          <c:orientation val="minMax"/>
        </c:scaling>
        <c:delete val="0"/>
        <c:axPos val="b"/>
        <c:numFmt formatCode="General" sourceLinked="0"/>
        <c:majorTickMark val="none"/>
        <c:minorTickMark val="none"/>
        <c:tickLblPos val="nextTo"/>
        <c:txPr>
          <a:bodyPr/>
          <a:lstStyle/>
          <a:p>
            <a:pPr>
              <a:defRPr lang="en-US" b="1">
                <a:latin typeface="Traditional Arabic" pitchFamily="18" charset="-78"/>
                <a:cs typeface="Traditional Arabic" pitchFamily="18" charset="-78"/>
              </a:defRPr>
            </a:pPr>
            <a:endParaRPr lang="en-US"/>
          </a:p>
        </c:txPr>
        <c:crossAx val="172135552"/>
        <c:crosses val="autoZero"/>
        <c:auto val="1"/>
        <c:lblAlgn val="ctr"/>
        <c:lblOffset val="100"/>
        <c:noMultiLvlLbl val="0"/>
      </c:catAx>
      <c:valAx>
        <c:axId val="172135552"/>
        <c:scaling>
          <c:orientation val="minMax"/>
        </c:scaling>
        <c:delete val="0"/>
        <c:axPos val="l"/>
        <c:title>
          <c:tx>
            <c:rich>
              <a:bodyPr rot="0" vert="horz"/>
              <a:lstStyle/>
              <a:p>
                <a:pPr>
                  <a:defRPr/>
                </a:pPr>
                <a:r>
                  <a:rPr lang="ar-EG"/>
                  <a:t>(%)</a:t>
                </a:r>
                <a:endParaRPr lang="en-US"/>
              </a:p>
            </c:rich>
          </c:tx>
          <c:layout>
            <c:manualLayout>
              <c:xMode val="edge"/>
              <c:yMode val="edge"/>
              <c:x val="1.0413034121062597E-2"/>
              <c:y val="2.8420353606718701E-3"/>
            </c:manualLayout>
          </c:layout>
          <c:overlay val="0"/>
        </c:title>
        <c:numFmt formatCode="#,##0" sourceLinked="0"/>
        <c:majorTickMark val="out"/>
        <c:minorTickMark val="none"/>
        <c:tickLblPos val="nextTo"/>
        <c:txPr>
          <a:bodyPr/>
          <a:lstStyle/>
          <a:p>
            <a:pPr>
              <a:defRPr lang="en-US" b="1">
                <a:latin typeface="Traditional Arabic" pitchFamily="18" charset="-78"/>
                <a:cs typeface="Traditional Arabic" pitchFamily="18" charset="-78"/>
              </a:defRPr>
            </a:pPr>
            <a:endParaRPr lang="en-US"/>
          </a:p>
        </c:txPr>
        <c:crossAx val="172072320"/>
        <c:crosses val="autoZero"/>
        <c:crossBetween val="between"/>
        <c:majorUnit val="20"/>
      </c:valAx>
    </c:plotArea>
    <c:legend>
      <c:legendPos val="r"/>
      <c:layout>
        <c:manualLayout>
          <c:xMode val="edge"/>
          <c:yMode val="edge"/>
          <c:x val="0.27028725636398643"/>
          <c:y val="0.84664626179812563"/>
          <c:w val="0.43506175986018697"/>
          <c:h val="0.14929972295129851"/>
        </c:manualLayout>
      </c:layout>
      <c:overlay val="0"/>
      <c:txPr>
        <a:bodyPr/>
        <a:lstStyle/>
        <a:p>
          <a:pPr>
            <a:defRPr lang="en-US" b="1">
              <a:latin typeface="Traditional Arabic" pitchFamily="18" charset="-78"/>
              <a:cs typeface="Traditional Arabic" pitchFamily="18" charset="-78"/>
            </a:defRPr>
          </a:pPr>
          <a:endParaRPr lang="en-US"/>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16242072223613"/>
          <c:y val="0.15264757603649531"/>
          <c:w val="0.81594226881119847"/>
          <c:h val="0.43028368754121715"/>
        </c:manualLayout>
      </c:layout>
      <c:barChart>
        <c:barDir val="col"/>
        <c:grouping val="clustered"/>
        <c:varyColors val="0"/>
        <c:ser>
          <c:idx val="0"/>
          <c:order val="0"/>
          <c:tx>
            <c:strRef>
              <c:f>'أسلوب العلامات التجارية'!$K$3</c:f>
              <c:strCache>
                <c:ptCount val="1"/>
                <c:pt idx="0">
                  <c:v>موافق</c:v>
                </c:pt>
              </c:strCache>
            </c:strRef>
          </c:tx>
          <c:spPr>
            <a:solidFill>
              <a:schemeClr val="tx1"/>
            </a:solidFill>
            <a:ln>
              <a:solidFill>
                <a:schemeClr val="tx1"/>
              </a:solidFill>
            </a:ln>
          </c:spPr>
          <c:invertIfNegative val="0"/>
          <c:dLbls>
            <c:dLbl>
              <c:idx val="0"/>
              <c:tx>
                <c:rich>
                  <a:bodyPr/>
                  <a:lstStyle/>
                  <a:p>
                    <a:r>
                      <a:rPr lang="en-US" sz="800">
                        <a:latin typeface="Times New Roman" pitchFamily="18" charset="0"/>
                        <a:cs typeface="Times New Roman" pitchFamily="18" charset="0"/>
                      </a:rPr>
                      <a:t>81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800">
                        <a:latin typeface="Times New Roman" pitchFamily="18" charset="0"/>
                        <a:cs typeface="Times New Roman" pitchFamily="18" charset="0"/>
                      </a:rPr>
                      <a:t>67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800">
                        <a:latin typeface="Times New Roman" pitchFamily="18" charset="0"/>
                        <a:cs typeface="Times New Roman" pitchFamily="18" charset="0"/>
                      </a:rPr>
                      <a:t>62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800">
                        <a:latin typeface="Times New Roman" pitchFamily="18" charset="0"/>
                        <a:cs typeface="Times New Roman" pitchFamily="18" charset="0"/>
                      </a:rPr>
                      <a:t>54</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800">
                        <a:latin typeface="Times New Roman" pitchFamily="18" charset="0"/>
                        <a:cs typeface="Times New Roman" pitchFamily="18" charset="0"/>
                      </a:rPr>
                      <a:t>53</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'أسلوب العلامات التجارية'!$J$4:$J$8</c:f>
              <c:strCache>
                <c:ptCount val="5"/>
                <c:pt idx="0">
                  <c:v>توضح العلامات التجارية للمستهلك منافع المنتج</c:v>
                </c:pt>
                <c:pt idx="1">
                  <c:v>توضح  العلامات التجارية للمستهلك مدي صداقة الخامات التي استخدمت في المنتج للبيئة</c:v>
                </c:pt>
                <c:pt idx="2">
                  <c:v>توضح العلامات التجارية للمستهلك كيفية التخلص من مخلفات المنتج</c:v>
                </c:pt>
                <c:pt idx="3">
                  <c:v>الحكومة هي الجهة المسئولة عن وضع العلامات التجارية على المنتج صديق للبيئة</c:v>
                </c:pt>
                <c:pt idx="4">
                  <c:v>الشركات المنتجة هي الجهة المسئولة عن وضع العلامات التجارية على  المنتج صديق للبيئة</c:v>
                </c:pt>
              </c:strCache>
            </c:strRef>
          </c:cat>
          <c:val>
            <c:numRef>
              <c:f>'أسلوب العلامات التجارية'!$K$4:$K$8</c:f>
              <c:numCache>
                <c:formatCode>General</c:formatCode>
                <c:ptCount val="5"/>
                <c:pt idx="0">
                  <c:v>81.099999999999994</c:v>
                </c:pt>
                <c:pt idx="1">
                  <c:v>67.3</c:v>
                </c:pt>
                <c:pt idx="2">
                  <c:v>61.8</c:v>
                </c:pt>
                <c:pt idx="3">
                  <c:v>53.7</c:v>
                </c:pt>
                <c:pt idx="4">
                  <c:v>52.7</c:v>
                </c:pt>
              </c:numCache>
            </c:numRef>
          </c:val>
        </c:ser>
        <c:ser>
          <c:idx val="1"/>
          <c:order val="1"/>
          <c:tx>
            <c:strRef>
              <c:f>'أسلوب العلامات التجارية'!$L$3</c:f>
              <c:strCache>
                <c:ptCount val="1"/>
                <c:pt idx="0">
                  <c:v>محايد</c:v>
                </c:pt>
              </c:strCache>
            </c:strRef>
          </c:tx>
          <c:spPr>
            <a:pattFill prst="wdDnDiag">
              <a:fgClr>
                <a:schemeClr val="tx1"/>
              </a:fgClr>
              <a:bgClr>
                <a:schemeClr val="bg1"/>
              </a:bgClr>
            </a:pattFill>
            <a:ln>
              <a:solidFill>
                <a:schemeClr val="tx1"/>
              </a:solidFill>
            </a:ln>
          </c:spPr>
          <c:invertIfNegative val="0"/>
          <c:dLbls>
            <c:dLbl>
              <c:idx val="0"/>
              <c:tx>
                <c:rich>
                  <a:bodyPr/>
                  <a:lstStyle/>
                  <a:p>
                    <a:r>
                      <a:rPr lang="en-US" sz="800">
                        <a:latin typeface="Times New Roman" pitchFamily="18" charset="0"/>
                        <a:cs typeface="Times New Roman" pitchFamily="18" charset="0"/>
                      </a:rPr>
                      <a:t>11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8.0317522318072744E-3"/>
                  <c:y val="0"/>
                </c:manualLayout>
              </c:layout>
              <c:tx>
                <c:rich>
                  <a:bodyPr/>
                  <a:lstStyle/>
                  <a:p>
                    <a:r>
                      <a:rPr lang="en-US" sz="800">
                        <a:latin typeface="Times New Roman" pitchFamily="18" charset="0"/>
                        <a:cs typeface="Times New Roman" pitchFamily="18" charset="0"/>
                      </a:rPr>
                      <a:t>27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4.0144517096199015E-3"/>
                  <c:y val="0"/>
                </c:manualLayout>
              </c:layout>
              <c:tx>
                <c:rich>
                  <a:bodyPr/>
                  <a:lstStyle/>
                  <a:p>
                    <a:r>
                      <a:rPr lang="en-US" sz="800">
                        <a:latin typeface="Times New Roman" pitchFamily="18" charset="0"/>
                        <a:cs typeface="Times New Roman" pitchFamily="18" charset="0"/>
                      </a:rPr>
                      <a:t>29</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800">
                        <a:latin typeface="Times New Roman" pitchFamily="18" charset="0"/>
                        <a:cs typeface="Times New Roman" pitchFamily="18" charset="0"/>
                      </a:rPr>
                      <a:t>33</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'أسلوب العلامات التجارية'!$J$4:$J$8</c:f>
              <c:strCache>
                <c:ptCount val="5"/>
                <c:pt idx="0">
                  <c:v>توضح العلامات التجارية للمستهلك منافع المنتج</c:v>
                </c:pt>
                <c:pt idx="1">
                  <c:v>توضح  العلامات التجارية للمستهلك مدي صداقة الخامات التي استخدمت في المنتج للبيئة</c:v>
                </c:pt>
                <c:pt idx="2">
                  <c:v>توضح العلامات التجارية للمستهلك كيفية التخلص من مخلفات المنتج</c:v>
                </c:pt>
                <c:pt idx="3">
                  <c:v>الحكومة هي الجهة المسئولة عن وضع العلامات التجارية على المنتج صديق للبيئة</c:v>
                </c:pt>
                <c:pt idx="4">
                  <c:v>الشركات المنتجة هي الجهة المسئولة عن وضع العلامات التجارية على  المنتج صديق للبيئة</c:v>
                </c:pt>
              </c:strCache>
            </c:strRef>
          </c:cat>
          <c:val>
            <c:numRef>
              <c:f>'أسلوب العلامات التجارية'!$L$4:$L$8</c:f>
              <c:numCache>
                <c:formatCode>General</c:formatCode>
                <c:ptCount val="5"/>
                <c:pt idx="0">
                  <c:v>11.3</c:v>
                </c:pt>
                <c:pt idx="1">
                  <c:v>27.3</c:v>
                </c:pt>
                <c:pt idx="2">
                  <c:v>29.1</c:v>
                </c:pt>
                <c:pt idx="3">
                  <c:v>33.300000000000004</c:v>
                </c:pt>
                <c:pt idx="4">
                  <c:v>20</c:v>
                </c:pt>
              </c:numCache>
            </c:numRef>
          </c:val>
        </c:ser>
        <c:ser>
          <c:idx val="2"/>
          <c:order val="2"/>
          <c:tx>
            <c:strRef>
              <c:f>'أسلوب العلامات التجارية'!$M$3</c:f>
              <c:strCache>
                <c:ptCount val="1"/>
                <c:pt idx="0">
                  <c:v>غير موافق</c:v>
                </c:pt>
              </c:strCache>
            </c:strRef>
          </c:tx>
          <c:spPr>
            <a:pattFill prst="pct5">
              <a:fgClr>
                <a:schemeClr val="tx1"/>
              </a:fgClr>
              <a:bgClr>
                <a:schemeClr val="bg1"/>
              </a:bgClr>
            </a:pattFill>
            <a:ln>
              <a:solidFill>
                <a:schemeClr val="tx1"/>
              </a:solidFill>
            </a:ln>
          </c:spPr>
          <c:invertIfNegative val="0"/>
          <c:dLbls>
            <c:dLbl>
              <c:idx val="0"/>
              <c:layout>
                <c:manualLayout>
                  <c:x val="6.0217566981122898E-3"/>
                  <c:y val="0"/>
                </c:manualLayout>
              </c:layout>
              <c:tx>
                <c:rich>
                  <a:bodyPr/>
                  <a:lstStyle/>
                  <a:p>
                    <a:r>
                      <a:rPr lang="en-US" sz="800">
                        <a:latin typeface="Times New Roman" pitchFamily="18" charset="0"/>
                        <a:cs typeface="Times New Roman" pitchFamily="18" charset="0"/>
                      </a:rPr>
                      <a:t>8</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800">
                        <a:latin typeface="Times New Roman" pitchFamily="18" charset="0"/>
                        <a:cs typeface="Times New Roman" pitchFamily="18" charset="0"/>
                      </a:rPr>
                      <a:t>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800">
                        <a:latin typeface="Times New Roman" pitchFamily="18" charset="0"/>
                        <a:cs typeface="Times New Roman" pitchFamily="18" charset="0"/>
                      </a:rPr>
                      <a:t>9</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800">
                        <a:latin typeface="Times New Roman" pitchFamily="18" charset="0"/>
                        <a:cs typeface="Times New Roman" pitchFamily="18" charset="0"/>
                      </a:rPr>
                      <a:t>27</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'أسلوب العلامات التجارية'!$J$4:$J$8</c:f>
              <c:strCache>
                <c:ptCount val="5"/>
                <c:pt idx="0">
                  <c:v>توضح العلامات التجارية للمستهلك منافع المنتج</c:v>
                </c:pt>
                <c:pt idx="1">
                  <c:v>توضح  العلامات التجارية للمستهلك مدي صداقة الخامات التي استخدمت في المنتج للبيئة</c:v>
                </c:pt>
                <c:pt idx="2">
                  <c:v>توضح العلامات التجارية للمستهلك كيفية التخلص من مخلفات المنتج</c:v>
                </c:pt>
                <c:pt idx="3">
                  <c:v>الحكومة هي الجهة المسئولة عن وضع العلامات التجارية على المنتج صديق للبيئة</c:v>
                </c:pt>
                <c:pt idx="4">
                  <c:v>الشركات المنتجة هي الجهة المسئولة عن وضع العلامات التجارية على  المنتج صديق للبيئة</c:v>
                </c:pt>
              </c:strCache>
            </c:strRef>
          </c:cat>
          <c:val>
            <c:numRef>
              <c:f>'أسلوب العلامات التجارية'!$M$4:$M$8</c:f>
              <c:numCache>
                <c:formatCode>General</c:formatCode>
                <c:ptCount val="5"/>
                <c:pt idx="0">
                  <c:v>7.5</c:v>
                </c:pt>
                <c:pt idx="1">
                  <c:v>5.5</c:v>
                </c:pt>
                <c:pt idx="2">
                  <c:v>9.1</c:v>
                </c:pt>
                <c:pt idx="3">
                  <c:v>13</c:v>
                </c:pt>
                <c:pt idx="4">
                  <c:v>27.3</c:v>
                </c:pt>
              </c:numCache>
            </c:numRef>
          </c:val>
        </c:ser>
        <c:dLbls>
          <c:showLegendKey val="0"/>
          <c:showVal val="0"/>
          <c:showCatName val="0"/>
          <c:showSerName val="0"/>
          <c:showPercent val="0"/>
          <c:showBubbleSize val="0"/>
        </c:dLbls>
        <c:gapWidth val="292"/>
        <c:axId val="203268096"/>
        <c:axId val="203269632"/>
      </c:barChart>
      <c:catAx>
        <c:axId val="203268096"/>
        <c:scaling>
          <c:orientation val="minMax"/>
        </c:scaling>
        <c:delete val="0"/>
        <c:axPos val="b"/>
        <c:numFmt formatCode="General" sourceLinked="0"/>
        <c:majorTickMark val="out"/>
        <c:minorTickMark val="none"/>
        <c:tickLblPos val="nextTo"/>
        <c:txPr>
          <a:bodyPr/>
          <a:lstStyle/>
          <a:p>
            <a:pPr>
              <a:defRPr lang="en-US" sz="900" b="1">
                <a:latin typeface="Traditional Arabic" pitchFamily="18" charset="-78"/>
                <a:cs typeface="Traditional Arabic" pitchFamily="18" charset="-78"/>
              </a:defRPr>
            </a:pPr>
            <a:endParaRPr lang="en-US"/>
          </a:p>
        </c:txPr>
        <c:crossAx val="203269632"/>
        <c:crosses val="autoZero"/>
        <c:auto val="1"/>
        <c:lblAlgn val="ctr"/>
        <c:lblOffset val="100"/>
        <c:noMultiLvlLbl val="0"/>
      </c:catAx>
      <c:valAx>
        <c:axId val="203269632"/>
        <c:scaling>
          <c:orientation val="minMax"/>
          <c:max val="100"/>
        </c:scaling>
        <c:delete val="0"/>
        <c:axPos val="l"/>
        <c:title>
          <c:tx>
            <c:rich>
              <a:bodyPr rot="0" vert="horz"/>
              <a:lstStyle/>
              <a:p>
                <a:pPr>
                  <a:defRPr lang="en-US"/>
                </a:pPr>
                <a:r>
                  <a:rPr lang="ar-EG"/>
                  <a:t>(%)</a:t>
                </a:r>
                <a:endParaRPr lang="en-US"/>
              </a:p>
            </c:rich>
          </c:tx>
          <c:layout>
            <c:manualLayout>
              <c:xMode val="edge"/>
              <c:yMode val="edge"/>
              <c:x val="1.0754139149195438E-2"/>
              <c:y val="2.6885269994517052E-2"/>
            </c:manualLayout>
          </c:layout>
          <c:overlay val="0"/>
        </c:title>
        <c:numFmt formatCode="General" sourceLinked="1"/>
        <c:majorTickMark val="out"/>
        <c:minorTickMark val="none"/>
        <c:tickLblPos val="nextTo"/>
        <c:txPr>
          <a:bodyPr/>
          <a:lstStyle/>
          <a:p>
            <a:pPr>
              <a:defRPr lang="en-US"/>
            </a:pPr>
            <a:endParaRPr lang="en-US"/>
          </a:p>
        </c:txPr>
        <c:crossAx val="203268096"/>
        <c:crosses val="autoZero"/>
        <c:crossBetween val="between"/>
        <c:majorUnit val="20"/>
      </c:valAx>
    </c:plotArea>
    <c:legend>
      <c:legendPos val="b"/>
      <c:overlay val="0"/>
      <c:txPr>
        <a:bodyPr/>
        <a:lstStyle/>
        <a:p>
          <a:pPr>
            <a:defRPr lang="en-US" sz="1000" b="1">
              <a:latin typeface="Traditional Arabic" pitchFamily="18" charset="-78"/>
              <a:cs typeface="Traditional Arabic" pitchFamily="18" charset="-78"/>
            </a:defRPr>
          </a:pPr>
          <a:endParaRPr lang="en-US"/>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246696374047723E-2"/>
          <c:y val="0.12410569572963961"/>
          <c:w val="0.87211929133858268"/>
          <c:h val="0.501337661739651"/>
        </c:manualLayout>
      </c:layout>
      <c:barChart>
        <c:barDir val="col"/>
        <c:grouping val="clustered"/>
        <c:varyColors val="0"/>
        <c:ser>
          <c:idx val="0"/>
          <c:order val="0"/>
          <c:tx>
            <c:strRef>
              <c:f>'سياسة الاعانات والحوافز'!$K$3</c:f>
              <c:strCache>
                <c:ptCount val="1"/>
                <c:pt idx="0">
                  <c:v>موافق</c:v>
                </c:pt>
              </c:strCache>
            </c:strRef>
          </c:tx>
          <c:spPr>
            <a:solidFill>
              <a:schemeClr val="tx1"/>
            </a:solidFill>
          </c:spPr>
          <c:invertIfNegative val="0"/>
          <c:dLbls>
            <c:dLbl>
              <c:idx val="0"/>
              <c:tx>
                <c:rich>
                  <a:bodyPr/>
                  <a:lstStyle/>
                  <a:p>
                    <a:r>
                      <a:rPr lang="en-US" sz="800">
                        <a:latin typeface="Times New Roman" pitchFamily="18" charset="0"/>
                        <a:cs typeface="Times New Roman" pitchFamily="18" charset="0"/>
                      </a:rPr>
                      <a:t>78</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800">
                        <a:latin typeface="Times New Roman" pitchFamily="18" charset="0"/>
                        <a:cs typeface="Times New Roman" pitchFamily="18" charset="0"/>
                      </a:rPr>
                      <a:t>48</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800">
                        <a:latin typeface="Times New Roman" pitchFamily="18" charset="0"/>
                        <a:cs typeface="Times New Roman" pitchFamily="18" charset="0"/>
                      </a:rPr>
                      <a:t>67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800">
                        <a:latin typeface="Times New Roman" pitchFamily="18" charset="0"/>
                        <a:cs typeface="Times New Roman" pitchFamily="18" charset="0"/>
                      </a:rPr>
                      <a:t>56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800">
                        <a:latin typeface="Times New Roman" pitchFamily="18" charset="0"/>
                        <a:cs typeface="Times New Roman" pitchFamily="18" charset="0"/>
                      </a:rPr>
                      <a:t>57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sz="800">
                        <a:latin typeface="Times New Roman" pitchFamily="18" charset="0"/>
                        <a:cs typeface="Times New Roman" pitchFamily="18" charset="0"/>
                      </a:rPr>
                      <a:t>74</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'سياسة الاعانات والحوافز'!$J$4:$J$9</c:f>
              <c:strCache>
                <c:ptCount val="6"/>
                <c:pt idx="0">
                  <c:v>منح إعانات / حوافز للتأثير الإيجابي على سلوكيات واتجاهات المستهلك الفرد والأسرة</c:v>
                </c:pt>
                <c:pt idx="1">
                  <c:v>منح إعانات / حوافز للتأثير الإيجابي على نمط استهلاك القطاع الحكومي</c:v>
                </c:pt>
                <c:pt idx="2">
                  <c:v>منح إعانات / حوافز للتأثير الإيجابي على تكنولوجيا الإنتاج المستخدمة من قبل المنتجين</c:v>
                </c:pt>
                <c:pt idx="3">
                  <c:v>منح إعانات / حوافز للتأثير الإيجابي على نمط استهلاك الطاقة في القطاع العائلي</c:v>
                </c:pt>
                <c:pt idx="4">
                  <c:v>منح إعانات / حوافز للتأثير الإيجابي على نمط استهلاك الطاقة في قطاع الصناعة</c:v>
                </c:pt>
                <c:pt idx="5">
                  <c:v>منح إعانات / حوافز للتأثير الإيجابي على نمط استهلاك الطاقة في قطاع النقل</c:v>
                </c:pt>
              </c:strCache>
            </c:strRef>
          </c:cat>
          <c:val>
            <c:numRef>
              <c:f>'سياسة الاعانات والحوافز'!$K$4:$K$9</c:f>
              <c:numCache>
                <c:formatCode>General</c:formatCode>
                <c:ptCount val="6"/>
                <c:pt idx="0">
                  <c:v>77.8</c:v>
                </c:pt>
                <c:pt idx="1">
                  <c:v>48.1</c:v>
                </c:pt>
                <c:pt idx="2">
                  <c:v>66.7</c:v>
                </c:pt>
                <c:pt idx="3">
                  <c:v>55.6</c:v>
                </c:pt>
                <c:pt idx="4">
                  <c:v>57.4</c:v>
                </c:pt>
                <c:pt idx="5">
                  <c:v>74.099999999999994</c:v>
                </c:pt>
              </c:numCache>
            </c:numRef>
          </c:val>
        </c:ser>
        <c:ser>
          <c:idx val="1"/>
          <c:order val="1"/>
          <c:tx>
            <c:strRef>
              <c:f>'سياسة الاعانات والحوافز'!$L$3</c:f>
              <c:strCache>
                <c:ptCount val="1"/>
                <c:pt idx="0">
                  <c:v>محايد</c:v>
                </c:pt>
              </c:strCache>
            </c:strRef>
          </c:tx>
          <c:spPr>
            <a:pattFill prst="wdDnDiag">
              <a:fgClr>
                <a:schemeClr val="tx1"/>
              </a:fgClr>
              <a:bgClr>
                <a:schemeClr val="bg1"/>
              </a:bgClr>
            </a:pattFill>
            <a:ln>
              <a:solidFill>
                <a:schemeClr val="tx1"/>
              </a:solidFill>
            </a:ln>
          </c:spPr>
          <c:invertIfNegative val="0"/>
          <c:dLbls>
            <c:dLbl>
              <c:idx val="0"/>
              <c:tx>
                <c:rich>
                  <a:bodyPr/>
                  <a:lstStyle/>
                  <a:p>
                    <a:r>
                      <a:rPr lang="en-US" sz="800">
                        <a:latin typeface="Times New Roman" pitchFamily="18" charset="0"/>
                        <a:cs typeface="Times New Roman" pitchFamily="18" charset="0"/>
                      </a:rPr>
                      <a:t>22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800">
                        <a:latin typeface="Times New Roman" pitchFamily="18" charset="0"/>
                        <a:cs typeface="Times New Roman" pitchFamily="18" charset="0"/>
                      </a:rPr>
                      <a:t>48</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7.9119357937065746E-3"/>
                  <c:y val="0"/>
                </c:manualLayout>
              </c:layout>
              <c:tx>
                <c:rich>
                  <a:bodyPr/>
                  <a:lstStyle/>
                  <a:p>
                    <a:r>
                      <a:rPr lang="en-US" sz="800">
                        <a:latin typeface="Times New Roman" pitchFamily="18" charset="0"/>
                        <a:cs typeface="Times New Roman" pitchFamily="18" charset="0"/>
                      </a:rPr>
                      <a:t>32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3.9662202846683283E-3"/>
                  <c:y val="0"/>
                </c:manualLayout>
              </c:layout>
              <c:tx>
                <c:rich>
                  <a:bodyPr/>
                  <a:lstStyle/>
                  <a:p>
                    <a:r>
                      <a:rPr lang="en-US" sz="800">
                        <a:latin typeface="Times New Roman" pitchFamily="18" charset="0"/>
                        <a:cs typeface="Times New Roman" pitchFamily="18" charset="0"/>
                      </a:rPr>
                      <a:t>33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7.9164107208249505E-3"/>
                  <c:y val="0"/>
                </c:manualLayout>
              </c:layout>
              <c:tx>
                <c:rich>
                  <a:bodyPr/>
                  <a:lstStyle/>
                  <a:p>
                    <a:r>
                      <a:rPr lang="en-US" sz="800">
                        <a:latin typeface="Times New Roman" pitchFamily="18" charset="0"/>
                        <a:cs typeface="Times New Roman" pitchFamily="18" charset="0"/>
                      </a:rPr>
                      <a:t>24</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sz="800">
                        <a:latin typeface="Times New Roman" pitchFamily="18" charset="0"/>
                        <a:cs typeface="Times New Roman" pitchFamily="18" charset="0"/>
                      </a:rPr>
                      <a:t>24</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'سياسة الاعانات والحوافز'!$J$4:$J$9</c:f>
              <c:strCache>
                <c:ptCount val="6"/>
                <c:pt idx="0">
                  <c:v>منح إعانات / حوافز للتأثير الإيجابي على سلوكيات واتجاهات المستهلك الفرد والأسرة</c:v>
                </c:pt>
                <c:pt idx="1">
                  <c:v>منح إعانات / حوافز للتأثير الإيجابي على نمط استهلاك القطاع الحكومي</c:v>
                </c:pt>
                <c:pt idx="2">
                  <c:v>منح إعانات / حوافز للتأثير الإيجابي على تكنولوجيا الإنتاج المستخدمة من قبل المنتجين</c:v>
                </c:pt>
                <c:pt idx="3">
                  <c:v>منح إعانات / حوافز للتأثير الإيجابي على نمط استهلاك الطاقة في القطاع العائلي</c:v>
                </c:pt>
                <c:pt idx="4">
                  <c:v>منح إعانات / حوافز للتأثير الإيجابي على نمط استهلاك الطاقة في قطاع الصناعة</c:v>
                </c:pt>
                <c:pt idx="5">
                  <c:v>منح إعانات / حوافز للتأثير الإيجابي على نمط استهلاك الطاقة في قطاع النقل</c:v>
                </c:pt>
              </c:strCache>
            </c:strRef>
          </c:cat>
          <c:val>
            <c:numRef>
              <c:f>'سياسة الاعانات والحوافز'!$L$4:$L$9</c:f>
              <c:numCache>
                <c:formatCode>General</c:formatCode>
                <c:ptCount val="6"/>
                <c:pt idx="0">
                  <c:v>22.2</c:v>
                </c:pt>
                <c:pt idx="1">
                  <c:v>48.1</c:v>
                </c:pt>
                <c:pt idx="2">
                  <c:v>31.5</c:v>
                </c:pt>
                <c:pt idx="3">
                  <c:v>33.300000000000004</c:v>
                </c:pt>
                <c:pt idx="4">
                  <c:v>24.1</c:v>
                </c:pt>
                <c:pt idx="5">
                  <c:v>24.1</c:v>
                </c:pt>
              </c:numCache>
            </c:numRef>
          </c:val>
        </c:ser>
        <c:ser>
          <c:idx val="2"/>
          <c:order val="2"/>
          <c:tx>
            <c:strRef>
              <c:f>'سياسة الاعانات والحوافز'!$M$3</c:f>
              <c:strCache>
                <c:ptCount val="1"/>
                <c:pt idx="0">
                  <c:v>غير موافق</c:v>
                </c:pt>
              </c:strCache>
            </c:strRef>
          </c:tx>
          <c:spPr>
            <a:pattFill prst="pct5">
              <a:fgClr>
                <a:schemeClr val="tx1"/>
              </a:fgClr>
              <a:bgClr>
                <a:schemeClr val="bg1"/>
              </a:bgClr>
            </a:pattFill>
            <a:ln>
              <a:solidFill>
                <a:schemeClr val="tx1"/>
              </a:solidFill>
            </a:ln>
          </c:spPr>
          <c:invertIfNegative val="0"/>
          <c:dLbls>
            <c:dLbl>
              <c:idx val="0"/>
              <c:delete val="1"/>
              <c:extLst>
                <c:ext xmlns:c15="http://schemas.microsoft.com/office/drawing/2012/chart" uri="{CE6537A1-D6FC-4f65-9D91-7224C49458BB}"/>
              </c:extLst>
            </c:dLbl>
            <c:dLbl>
              <c:idx val="1"/>
              <c:tx>
                <c:rich>
                  <a:bodyPr/>
                  <a:lstStyle/>
                  <a:p>
                    <a:r>
                      <a:rPr lang="en-US" sz="800">
                        <a:latin typeface="Times New Roman" pitchFamily="18" charset="0"/>
                        <a:cs typeface="Times New Roman" pitchFamily="18" charset="0"/>
                      </a:rPr>
                      <a:t>4</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800">
                        <a:latin typeface="Times New Roman" pitchFamily="18" charset="0"/>
                        <a:cs typeface="Times New Roman"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800">
                        <a:latin typeface="Times New Roman" pitchFamily="18" charset="0"/>
                        <a:cs typeface="Times New Roman" pitchFamily="18" charset="0"/>
                      </a:rPr>
                      <a:t>11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5.9294876533593534E-3"/>
                  <c:y val="3.644601426961908E-3"/>
                </c:manualLayout>
              </c:layout>
              <c:tx>
                <c:rich>
                  <a:bodyPr/>
                  <a:lstStyle/>
                  <a:p>
                    <a:r>
                      <a:rPr lang="en-US" sz="800">
                        <a:latin typeface="Times New Roman" pitchFamily="18" charset="0"/>
                        <a:cs typeface="Times New Roman" pitchFamily="18" charset="0"/>
                      </a:rPr>
                      <a:t>19</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sz="800">
                        <a:latin typeface="Times New Roman" pitchFamily="18" charset="0"/>
                        <a:cs typeface="Times New Roman" pitchFamily="18" charset="0"/>
                      </a:rPr>
                      <a:t>2</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'سياسة الاعانات والحوافز'!$J$4:$J$9</c:f>
              <c:strCache>
                <c:ptCount val="6"/>
                <c:pt idx="0">
                  <c:v>منح إعانات / حوافز للتأثير الإيجابي على سلوكيات واتجاهات المستهلك الفرد والأسرة</c:v>
                </c:pt>
                <c:pt idx="1">
                  <c:v>منح إعانات / حوافز للتأثير الإيجابي على نمط استهلاك القطاع الحكومي</c:v>
                </c:pt>
                <c:pt idx="2">
                  <c:v>منح إعانات / حوافز للتأثير الإيجابي على تكنولوجيا الإنتاج المستخدمة من قبل المنتجين</c:v>
                </c:pt>
                <c:pt idx="3">
                  <c:v>منح إعانات / حوافز للتأثير الإيجابي على نمط استهلاك الطاقة في القطاع العائلي</c:v>
                </c:pt>
                <c:pt idx="4">
                  <c:v>منح إعانات / حوافز للتأثير الإيجابي على نمط استهلاك الطاقة في قطاع الصناعة</c:v>
                </c:pt>
                <c:pt idx="5">
                  <c:v>منح إعانات / حوافز للتأثير الإيجابي على نمط استهلاك الطاقة في قطاع النقل</c:v>
                </c:pt>
              </c:strCache>
            </c:strRef>
          </c:cat>
          <c:val>
            <c:numRef>
              <c:f>'سياسة الاعانات والحوافز'!$M$4:$M$9</c:f>
              <c:numCache>
                <c:formatCode>General</c:formatCode>
                <c:ptCount val="6"/>
                <c:pt idx="0">
                  <c:v>0</c:v>
                </c:pt>
                <c:pt idx="1">
                  <c:v>3.7</c:v>
                </c:pt>
                <c:pt idx="2">
                  <c:v>1.9000000000000001</c:v>
                </c:pt>
                <c:pt idx="3">
                  <c:v>11.1</c:v>
                </c:pt>
                <c:pt idx="4">
                  <c:v>18.5</c:v>
                </c:pt>
                <c:pt idx="5">
                  <c:v>1.9000000000000001</c:v>
                </c:pt>
              </c:numCache>
            </c:numRef>
          </c:val>
        </c:ser>
        <c:dLbls>
          <c:showLegendKey val="0"/>
          <c:showVal val="0"/>
          <c:showCatName val="0"/>
          <c:showSerName val="0"/>
          <c:showPercent val="0"/>
          <c:showBubbleSize val="0"/>
        </c:dLbls>
        <c:gapWidth val="179"/>
        <c:axId val="205320960"/>
        <c:axId val="205322496"/>
      </c:barChart>
      <c:catAx>
        <c:axId val="205320960"/>
        <c:scaling>
          <c:orientation val="minMax"/>
        </c:scaling>
        <c:delete val="0"/>
        <c:axPos val="b"/>
        <c:numFmt formatCode="General" sourceLinked="0"/>
        <c:majorTickMark val="out"/>
        <c:minorTickMark val="none"/>
        <c:tickLblPos val="nextTo"/>
        <c:txPr>
          <a:bodyPr/>
          <a:lstStyle/>
          <a:p>
            <a:pPr>
              <a:defRPr lang="en-US" sz="900" b="1">
                <a:latin typeface="Traditional Arabic" pitchFamily="18" charset="-78"/>
                <a:cs typeface="Traditional Arabic" pitchFamily="18" charset="-78"/>
              </a:defRPr>
            </a:pPr>
            <a:endParaRPr lang="en-US"/>
          </a:p>
        </c:txPr>
        <c:crossAx val="205322496"/>
        <c:crosses val="autoZero"/>
        <c:auto val="1"/>
        <c:lblAlgn val="ctr"/>
        <c:lblOffset val="100"/>
        <c:noMultiLvlLbl val="0"/>
      </c:catAx>
      <c:valAx>
        <c:axId val="205322496"/>
        <c:scaling>
          <c:orientation val="minMax"/>
          <c:max val="100"/>
        </c:scaling>
        <c:delete val="0"/>
        <c:axPos val="l"/>
        <c:title>
          <c:tx>
            <c:rich>
              <a:bodyPr rot="0" vert="horz"/>
              <a:lstStyle/>
              <a:p>
                <a:pPr>
                  <a:defRPr lang="en-US"/>
                </a:pPr>
                <a:r>
                  <a:rPr lang="en-US"/>
                  <a:t>(%)</a:t>
                </a:r>
              </a:p>
            </c:rich>
          </c:tx>
          <c:layout>
            <c:manualLayout>
              <c:xMode val="edge"/>
              <c:yMode val="edge"/>
              <c:x val="1.4909315411858945E-3"/>
              <c:y val="3.1011552388068291E-2"/>
            </c:manualLayout>
          </c:layout>
          <c:overlay val="0"/>
        </c:title>
        <c:numFmt formatCode="General" sourceLinked="1"/>
        <c:majorTickMark val="out"/>
        <c:minorTickMark val="none"/>
        <c:tickLblPos val="nextTo"/>
        <c:txPr>
          <a:bodyPr/>
          <a:lstStyle/>
          <a:p>
            <a:pPr>
              <a:defRPr lang="en-US"/>
            </a:pPr>
            <a:endParaRPr lang="en-US"/>
          </a:p>
        </c:txPr>
        <c:crossAx val="205320960"/>
        <c:crosses val="autoZero"/>
        <c:crossBetween val="between"/>
        <c:majorUnit val="20"/>
      </c:valAx>
    </c:plotArea>
    <c:legend>
      <c:legendPos val="b"/>
      <c:layout>
        <c:manualLayout>
          <c:xMode val="edge"/>
          <c:yMode val="edge"/>
          <c:x val="0.33502947688190965"/>
          <c:y val="0.93882617082503239"/>
          <c:w val="0.2844847610422982"/>
          <c:h val="6.1173784659539092E-2"/>
        </c:manualLayout>
      </c:layout>
      <c:overlay val="0"/>
      <c:txPr>
        <a:bodyPr/>
        <a:lstStyle/>
        <a:p>
          <a:pPr>
            <a:defRPr lang="en-US" sz="1000" b="0">
              <a:latin typeface="Traditional Arabic" pitchFamily="18" charset="-78"/>
              <a:cs typeface="Traditional Arabic" pitchFamily="18" charset="-78"/>
            </a:defRPr>
          </a:pPr>
          <a:endParaRPr lang="en-US"/>
        </a:p>
      </c:txPr>
    </c:legend>
    <c:plotVisOnly val="1"/>
    <c:dispBlanksAs val="gap"/>
    <c:showDLblsOverMax val="0"/>
  </c:chart>
  <c:txPr>
    <a:bodyPr/>
    <a:lstStyle/>
    <a:p>
      <a:pPr>
        <a:defRPr sz="890" baseline="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12151200133216"/>
          <c:y val="0.12748549354872357"/>
          <c:w val="0.75932012947769734"/>
          <c:h val="0.56513040269651649"/>
        </c:manualLayout>
      </c:layout>
      <c:barChart>
        <c:barDir val="col"/>
        <c:grouping val="clustered"/>
        <c:varyColors val="0"/>
        <c:ser>
          <c:idx val="0"/>
          <c:order val="0"/>
          <c:tx>
            <c:strRef>
              <c:f>Sheet4!$C$3</c:f>
              <c:strCache>
                <c:ptCount val="1"/>
                <c:pt idx="0">
                  <c:v>الحكومة </c:v>
                </c:pt>
              </c:strCache>
            </c:strRef>
          </c:tx>
          <c:spPr>
            <a:solidFill>
              <a:schemeClr val="tx1"/>
            </a:solidFill>
          </c:spPr>
          <c:invertIfNegative val="0"/>
          <c:dLbls>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Sheet4!$D$2:$E$2</c:f>
              <c:strCache>
                <c:ptCount val="2"/>
                <c:pt idx="0">
                  <c:v>وضع  العلامات التجارية علي المنتجات الغذائية صديقة البيئة</c:v>
                </c:pt>
                <c:pt idx="1">
                  <c:v>وضع العلامات التجارية علي السلع الكهربائية الموفرة للطاقة</c:v>
                </c:pt>
              </c:strCache>
            </c:strRef>
          </c:cat>
          <c:val>
            <c:numRef>
              <c:f>Sheet4!$D$3:$E$3</c:f>
              <c:numCache>
                <c:formatCode>General</c:formatCode>
                <c:ptCount val="2"/>
                <c:pt idx="0">
                  <c:v>21</c:v>
                </c:pt>
                <c:pt idx="1">
                  <c:v>21</c:v>
                </c:pt>
              </c:numCache>
            </c:numRef>
          </c:val>
        </c:ser>
        <c:ser>
          <c:idx val="1"/>
          <c:order val="1"/>
          <c:tx>
            <c:strRef>
              <c:f>Sheet4!$C$4</c:f>
              <c:strCache>
                <c:ptCount val="1"/>
                <c:pt idx="0">
                  <c:v>الشركات المنتجة</c:v>
                </c:pt>
              </c:strCache>
            </c:strRef>
          </c:tx>
          <c:spPr>
            <a:pattFill prst="wdDnDiag">
              <a:fgClr>
                <a:schemeClr val="tx1"/>
              </a:fgClr>
              <a:bgClr>
                <a:schemeClr val="bg1"/>
              </a:bgClr>
            </a:pattFill>
            <a:ln>
              <a:solidFill>
                <a:schemeClr val="tx1"/>
              </a:solidFill>
            </a:ln>
          </c:spPr>
          <c:invertIfNegative val="0"/>
          <c:dLbls>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Sheet4!$D$2:$E$2</c:f>
              <c:strCache>
                <c:ptCount val="2"/>
                <c:pt idx="0">
                  <c:v>وضع  العلامات التجارية علي المنتجات الغذائية صديقة البيئة</c:v>
                </c:pt>
                <c:pt idx="1">
                  <c:v>وضع العلامات التجارية علي السلع الكهربائية الموفرة للطاقة</c:v>
                </c:pt>
              </c:strCache>
            </c:strRef>
          </c:cat>
          <c:val>
            <c:numRef>
              <c:f>Sheet4!$D$4:$E$4</c:f>
              <c:numCache>
                <c:formatCode>General</c:formatCode>
                <c:ptCount val="2"/>
                <c:pt idx="0">
                  <c:v>36</c:v>
                </c:pt>
                <c:pt idx="1">
                  <c:v>43</c:v>
                </c:pt>
              </c:numCache>
            </c:numRef>
          </c:val>
        </c:ser>
        <c:ser>
          <c:idx val="2"/>
          <c:order val="2"/>
          <c:tx>
            <c:strRef>
              <c:f>Sheet4!$C$5</c:f>
              <c:strCache>
                <c:ptCount val="1"/>
                <c:pt idx="0">
                  <c:v>التنظيمات المهنية والغرف التجارية</c:v>
                </c:pt>
              </c:strCache>
            </c:strRef>
          </c:tx>
          <c:spPr>
            <a:pattFill prst="pct5">
              <a:fgClr>
                <a:schemeClr val="tx1"/>
              </a:fgClr>
              <a:bgClr>
                <a:schemeClr val="bg1"/>
              </a:bgClr>
            </a:pattFill>
            <a:ln>
              <a:solidFill>
                <a:schemeClr val="tx1"/>
              </a:solidFill>
            </a:ln>
          </c:spPr>
          <c:invertIfNegative val="0"/>
          <c:dLbls>
            <c:spPr>
              <a:noFill/>
              <a:ln>
                <a:noFill/>
              </a:ln>
              <a:effectLst/>
            </c:spPr>
            <c:txPr>
              <a:bodyPr/>
              <a:lstStyle/>
              <a:p>
                <a:pPr>
                  <a:defRPr lang="en-US"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Sheet4!$D$2:$E$2</c:f>
              <c:strCache>
                <c:ptCount val="2"/>
                <c:pt idx="0">
                  <c:v>وضع  العلامات التجارية علي المنتجات الغذائية صديقة البيئة</c:v>
                </c:pt>
                <c:pt idx="1">
                  <c:v>وضع العلامات التجارية علي السلع الكهربائية الموفرة للطاقة</c:v>
                </c:pt>
              </c:strCache>
            </c:strRef>
          </c:cat>
          <c:val>
            <c:numRef>
              <c:f>Sheet4!$D$5:$E$5</c:f>
              <c:numCache>
                <c:formatCode>General</c:formatCode>
                <c:ptCount val="2"/>
                <c:pt idx="0">
                  <c:v>43</c:v>
                </c:pt>
                <c:pt idx="1">
                  <c:v>36</c:v>
                </c:pt>
              </c:numCache>
            </c:numRef>
          </c:val>
        </c:ser>
        <c:dLbls>
          <c:showLegendKey val="0"/>
          <c:showVal val="0"/>
          <c:showCatName val="0"/>
          <c:showSerName val="0"/>
          <c:showPercent val="0"/>
          <c:showBubbleSize val="0"/>
        </c:dLbls>
        <c:gapWidth val="500"/>
        <c:overlap val="-1"/>
        <c:axId val="123364480"/>
        <c:axId val="123366016"/>
      </c:barChart>
      <c:catAx>
        <c:axId val="123364480"/>
        <c:scaling>
          <c:orientation val="minMax"/>
        </c:scaling>
        <c:delete val="0"/>
        <c:axPos val="b"/>
        <c:numFmt formatCode="General" sourceLinked="0"/>
        <c:majorTickMark val="out"/>
        <c:minorTickMark val="none"/>
        <c:tickLblPos val="nextTo"/>
        <c:txPr>
          <a:bodyPr/>
          <a:lstStyle/>
          <a:p>
            <a:pPr>
              <a:defRPr lang="en-US" b="1"/>
            </a:pPr>
            <a:endParaRPr lang="en-US"/>
          </a:p>
        </c:txPr>
        <c:crossAx val="123366016"/>
        <c:crosses val="autoZero"/>
        <c:auto val="1"/>
        <c:lblAlgn val="ctr"/>
        <c:lblOffset val="100"/>
        <c:noMultiLvlLbl val="0"/>
      </c:catAx>
      <c:valAx>
        <c:axId val="123366016"/>
        <c:scaling>
          <c:orientation val="minMax"/>
          <c:max val="100"/>
          <c:min val="0"/>
        </c:scaling>
        <c:delete val="0"/>
        <c:axPos val="l"/>
        <c:title>
          <c:tx>
            <c:rich>
              <a:bodyPr rot="0" vert="horz"/>
              <a:lstStyle/>
              <a:p>
                <a:pPr>
                  <a:defRPr lang="en-US"/>
                </a:pPr>
                <a:r>
                  <a:rPr lang="ar-EG" sz="1200" b="1" i="0" baseline="0">
                    <a:effectLst/>
                  </a:rPr>
                  <a:t>(%) </a:t>
                </a:r>
                <a:endParaRPr lang="en-US" sz="700">
                  <a:effectLst/>
                </a:endParaRPr>
              </a:p>
            </c:rich>
          </c:tx>
          <c:layout>
            <c:manualLayout>
              <c:xMode val="edge"/>
              <c:yMode val="edge"/>
              <c:x val="1.7748135053996961E-3"/>
              <c:y val="2.8632784538296339E-3"/>
            </c:manualLayout>
          </c:layout>
          <c:overlay val="0"/>
        </c:title>
        <c:numFmt formatCode="General" sourceLinked="1"/>
        <c:majorTickMark val="out"/>
        <c:minorTickMark val="none"/>
        <c:tickLblPos val="nextTo"/>
        <c:txPr>
          <a:bodyPr/>
          <a:lstStyle/>
          <a:p>
            <a:pPr>
              <a:defRPr lang="en-US" b="1" baseline="0"/>
            </a:pPr>
            <a:endParaRPr lang="en-US"/>
          </a:p>
        </c:txPr>
        <c:crossAx val="123364480"/>
        <c:crosses val="autoZero"/>
        <c:crossBetween val="between"/>
        <c:majorUnit val="20"/>
      </c:valAx>
    </c:plotArea>
    <c:legend>
      <c:legendPos val="b"/>
      <c:layout>
        <c:manualLayout>
          <c:xMode val="edge"/>
          <c:yMode val="edge"/>
          <c:x val="9.3571162822485413E-2"/>
          <c:y val="0.8949699355762345"/>
          <c:w val="0.81648600932669857"/>
          <c:h val="7.7163537930825157E-2"/>
        </c:manualLayout>
      </c:layout>
      <c:overlay val="0"/>
      <c:txPr>
        <a:bodyPr/>
        <a:lstStyle/>
        <a:p>
          <a:pPr>
            <a:defRPr lang="en-US" sz="1000" b="1">
              <a:latin typeface="Traditional Arabic" pitchFamily="18" charset="-78"/>
              <a:cs typeface="Traditional Arabic" pitchFamily="18" charset="-78"/>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Sheet1!$C$1</c:f>
              <c:strCache>
                <c:ptCount val="1"/>
                <c:pt idx="0">
                  <c:v>التوزيع النسبي لمعدل الإقبال </c:v>
                </c:pt>
              </c:strCache>
            </c:strRef>
          </c:tx>
          <c:dPt>
            <c:idx val="0"/>
            <c:bubble3D val="0"/>
            <c:spPr>
              <a:pattFill prst="wdDnDiag">
                <a:fgClr>
                  <a:schemeClr val="tx1"/>
                </a:fgClr>
                <a:bgClr>
                  <a:schemeClr val="bg1"/>
                </a:bgClr>
              </a:patt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924-4B53-820D-1A6D88BB6C06}"/>
              </c:ext>
            </c:extLst>
          </c:dPt>
          <c:dPt>
            <c:idx val="1"/>
            <c:bubble3D val="0"/>
            <c:spPr>
              <a:pattFill prst="pct5">
                <a:fgClr>
                  <a:schemeClr val="tx1"/>
                </a:fgClr>
                <a:bgClr>
                  <a:schemeClr val="bg1"/>
                </a:bgClr>
              </a:patt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924-4B53-820D-1A6D88BB6C06}"/>
              </c:ext>
            </c:extLst>
          </c:dPt>
          <c:dPt>
            <c:idx val="2"/>
            <c:bubble3D val="0"/>
            <c:spPr>
              <a:solidFill>
                <a:schemeClr val="tx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924-4B53-820D-1A6D88BB6C06}"/>
              </c:ext>
            </c:extLst>
          </c:dPt>
          <c:dLbls>
            <c:dLbl>
              <c:idx val="0"/>
              <c:layout>
                <c:manualLayout>
                  <c:x val="-5.3007321453239532E-2"/>
                  <c:y val="-0.11039140794965659"/>
                </c:manualLayout>
              </c:layout>
              <c:tx>
                <c:rich>
                  <a:bodyPr rot="0" spcFirstLastPara="1" vertOverflow="ellipsis" vert="horz" wrap="square" lIns="38100" tIns="19050" rIns="38100" bIns="19050" anchor="ctr" anchorCtr="1">
                    <a:spAutoFit/>
                  </a:bodyPr>
                  <a:lstStyle/>
                  <a:p>
                    <a:pPr>
                      <a:defRPr lang="en-US" sz="800" b="1" i="0" u="none" strike="noStrike" kern="1200" baseline="0">
                        <a:solidFill>
                          <a:sysClr val="windowText" lastClr="000000"/>
                        </a:solidFill>
                        <a:latin typeface="Garamond" pitchFamily="18" charset="0"/>
                        <a:ea typeface="+mn-ea"/>
                        <a:cs typeface="+mj-cs"/>
                      </a:defRPr>
                    </a:pPr>
                    <a:r>
                      <a:rPr lang="en-US" sz="800">
                        <a:cs typeface="+mj-cs"/>
                      </a:rPr>
                      <a:t>%45</a:t>
                    </a:r>
                  </a:p>
                </c:rich>
              </c:tx>
              <c:numFmt formatCode="#,##0" sourceLinked="0"/>
              <c:spPr>
                <a:noFill/>
                <a:ln>
                  <a:noFill/>
                </a:ln>
                <a:effectLst/>
              </c:sp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924-4B53-820D-1A6D88BB6C06}"/>
                </c:ext>
                <c:ext xmlns:c15="http://schemas.microsoft.com/office/drawing/2012/chart" uri="{CE6537A1-D6FC-4f65-9D91-7224C49458BB}"/>
              </c:extLst>
            </c:dLbl>
            <c:dLbl>
              <c:idx val="1"/>
              <c:layout>
                <c:manualLayout>
                  <c:x val="-7.734493714601505E-2"/>
                  <c:y val="-0.19161218044633857"/>
                </c:manualLayout>
              </c:layout>
              <c:tx>
                <c:rich>
                  <a:bodyPr rot="0" spcFirstLastPara="1" vertOverflow="ellipsis" vert="horz" wrap="square" lIns="38100" tIns="19050" rIns="38100" bIns="19050" anchor="ctr" anchorCtr="1">
                    <a:spAutoFit/>
                  </a:bodyPr>
                  <a:lstStyle/>
                  <a:p>
                    <a:pPr>
                      <a:defRPr lang="en-US" sz="800" b="1" i="0" u="none" strike="noStrike" kern="1200" baseline="0">
                        <a:solidFill>
                          <a:sysClr val="windowText" lastClr="000000"/>
                        </a:solidFill>
                        <a:latin typeface="Garamond" pitchFamily="18" charset="0"/>
                        <a:ea typeface="+mn-ea"/>
                        <a:cs typeface="+mj-cs"/>
                      </a:defRPr>
                    </a:pPr>
                    <a:r>
                      <a:rPr lang="en-US" sz="800">
                        <a:cs typeface="+mj-cs"/>
                      </a:rPr>
                      <a:t>%36</a:t>
                    </a:r>
                  </a:p>
                </c:rich>
              </c:tx>
              <c:numFmt formatCode="#,##0" sourceLinked="0"/>
              <c:spPr>
                <a:noFill/>
                <a:ln>
                  <a:noFill/>
                </a:ln>
                <a:effectLst/>
              </c:sp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924-4B53-820D-1A6D88BB6C06}"/>
                </c:ext>
                <c:ext xmlns:c15="http://schemas.microsoft.com/office/drawing/2012/chart" uri="{CE6537A1-D6FC-4f65-9D91-7224C49458BB}"/>
              </c:extLst>
            </c:dLbl>
            <c:dLbl>
              <c:idx val="2"/>
              <c:layout>
                <c:manualLayout>
                  <c:x val="5.8711915396540512E-2"/>
                  <c:y val="-4.8053010273006173E-2"/>
                </c:manualLayout>
              </c:layout>
              <c:tx>
                <c:rich>
                  <a:bodyPr rot="0" spcFirstLastPara="1" vertOverflow="ellipsis" vert="horz" wrap="square" lIns="38100" tIns="19050" rIns="38100" bIns="19050" anchor="ctr" anchorCtr="1">
                    <a:spAutoFit/>
                  </a:bodyPr>
                  <a:lstStyle/>
                  <a:p>
                    <a:pPr>
                      <a:defRPr lang="en-US" sz="800" b="1" i="0" u="none" strike="noStrike" kern="1200" baseline="0">
                        <a:solidFill>
                          <a:sysClr val="windowText" lastClr="000000"/>
                        </a:solidFill>
                        <a:latin typeface="Garamond" pitchFamily="18" charset="0"/>
                        <a:ea typeface="+mn-ea"/>
                        <a:cs typeface="+mj-cs"/>
                      </a:defRPr>
                    </a:pPr>
                    <a:r>
                      <a:rPr lang="en-US" sz="800">
                        <a:cs typeface="+mj-cs"/>
                      </a:rPr>
                      <a:t>%20</a:t>
                    </a:r>
                  </a:p>
                </c:rich>
              </c:tx>
              <c:numFmt formatCode="#,##0" sourceLinked="0"/>
              <c:spPr>
                <a:noFill/>
                <a:ln>
                  <a:noFill/>
                </a:ln>
                <a:effectLst/>
              </c:sp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924-4B53-820D-1A6D88BB6C06}"/>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ysClr val="windowText" lastClr="000000"/>
                    </a:solidFill>
                    <a:latin typeface="Garamond" pitchFamily="18" charset="0"/>
                    <a:ea typeface="+mn-ea"/>
                    <a:cs typeface="+mn-cs"/>
                  </a:defRPr>
                </a:pPr>
                <a:endParaRPr lang="en-US"/>
              </a:p>
            </c:tx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Sheet1!$A$2:$A$4</c:f>
              <c:strCache>
                <c:ptCount val="3"/>
                <c:pt idx="0">
                  <c:v>معدل إقبال متوسط </c:v>
                </c:pt>
                <c:pt idx="1">
                  <c:v>معدل إقبال ضعيف </c:v>
                </c:pt>
                <c:pt idx="2">
                  <c:v>معدل إقبال كبير</c:v>
                </c:pt>
              </c:strCache>
            </c:strRef>
          </c:cat>
          <c:val>
            <c:numRef>
              <c:f>Sheet1!$C$2:$C$4</c:f>
              <c:numCache>
                <c:formatCode>0.00%</c:formatCode>
                <c:ptCount val="3"/>
                <c:pt idx="0">
                  <c:v>0.44600000000000006</c:v>
                </c:pt>
                <c:pt idx="1">
                  <c:v>0.35500000000000032</c:v>
                </c:pt>
                <c:pt idx="2">
                  <c:v>0.19800000000000004</c:v>
                </c:pt>
              </c:numCache>
            </c:numRef>
          </c:val>
          <c:extLst xmlns:c16r2="http://schemas.microsoft.com/office/drawing/2015/06/chart">
            <c:ext xmlns:c16="http://schemas.microsoft.com/office/drawing/2014/chart" uri="{C3380CC4-5D6E-409C-BE32-E72D297353CC}">
              <c16:uniqueId val="{00000000-4633-48E7-ACCE-77F1F77A5DE4}"/>
            </c:ext>
          </c:extLst>
        </c:ser>
        <c:dLbls>
          <c:showLegendKey val="0"/>
          <c:showVal val="1"/>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0" i="0" u="none" strike="noStrike" kern="1200" baseline="0">
              <a:solidFill>
                <a:sysClr val="windowText" lastClr="000000"/>
              </a:solidFill>
              <a:latin typeface="Traditional Arabic" pitchFamily="18" charset="-78"/>
              <a:ea typeface="+mn-ea"/>
              <a:cs typeface="Traditional Arabic" pitchFamily="18" charset="-78"/>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ar-EG" sz="1400" b="1" i="0" baseline="0"/>
              <a:t>  </a:t>
            </a:r>
            <a:endParaRPr lang="en-US" sz="1400"/>
          </a:p>
          <a:p>
            <a:pPr marL="0" marR="0" indent="0" algn="ctr"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endParaRPr lang="ar-EG"/>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0164055696377415"/>
          <c:y val="4.4382108804998266E-2"/>
          <c:w val="0.77577394487120943"/>
          <c:h val="0.84241727601270688"/>
        </c:manualLayout>
      </c:layout>
      <c:pie3DChart>
        <c:varyColors val="1"/>
        <c:ser>
          <c:idx val="0"/>
          <c:order val="0"/>
          <c:tx>
            <c:strRef>
              <c:f>Sheet1!$G$23</c:f>
              <c:strCache>
                <c:ptCount val="1"/>
                <c:pt idx="0">
                  <c:v>النسبة </c:v>
                </c:pt>
              </c:strCache>
            </c:strRef>
          </c:tx>
          <c:spPr>
            <a:solidFill>
              <a:schemeClr val="tx1"/>
            </a:solidFill>
          </c:spPr>
          <c:dPt>
            <c:idx val="1"/>
            <c:bubble3D val="0"/>
            <c:spPr>
              <a:pattFill prst="wdDnDiag">
                <a:fgClr>
                  <a:schemeClr val="tx1"/>
                </a:fgClr>
                <a:bgClr>
                  <a:schemeClr val="bg1"/>
                </a:bgClr>
              </a:pattFill>
            </c:spPr>
          </c:dPt>
          <c:dPt>
            <c:idx val="2"/>
            <c:bubble3D val="0"/>
            <c:spPr>
              <a:pattFill prst="pct5">
                <a:fgClr>
                  <a:schemeClr val="tx1"/>
                </a:fgClr>
                <a:bgClr>
                  <a:schemeClr val="bg1"/>
                </a:bgClr>
              </a:pattFill>
            </c:spPr>
          </c:dPt>
          <c:dLbls>
            <c:dLbl>
              <c:idx val="0"/>
              <c:tx>
                <c:rich>
                  <a:bodyPr/>
                  <a:lstStyle/>
                  <a:p>
                    <a:pPr rtl="1">
                      <a:defRPr lang="en-US" sz="800" b="1">
                        <a:latin typeface="Garamond" pitchFamily="18" charset="0"/>
                        <a:cs typeface="+mj-cs"/>
                      </a:defRPr>
                    </a:pPr>
                    <a:r>
                      <a:rPr lang="ar-EG" sz="800" b="1">
                        <a:latin typeface="Garamond" pitchFamily="18" charset="0"/>
                        <a:cs typeface="+mj-cs"/>
                      </a:rPr>
                      <a:t>14%</a:t>
                    </a:r>
                  </a:p>
                </c:rich>
              </c:tx>
              <c:spPr/>
              <c:dLblPos val="outEnd"/>
              <c:showLegendKey val="0"/>
              <c:showVal val="0"/>
              <c:showCatName val="0"/>
              <c:showSerName val="0"/>
              <c:showPercent val="1"/>
              <c:showBubbleSize val="0"/>
              <c:extLst>
                <c:ext xmlns:c15="http://schemas.microsoft.com/office/drawing/2012/chart" uri="{CE6537A1-D6FC-4f65-9D91-7224C49458BB}"/>
              </c:extLst>
            </c:dLbl>
            <c:dLbl>
              <c:idx val="1"/>
              <c:tx>
                <c:rich>
                  <a:bodyPr/>
                  <a:lstStyle/>
                  <a:p>
                    <a:pPr rtl="1">
                      <a:defRPr lang="en-US" sz="800" b="1">
                        <a:latin typeface="Garamond" pitchFamily="18" charset="0"/>
                        <a:cs typeface="+mj-cs"/>
                      </a:defRPr>
                    </a:pPr>
                    <a:r>
                      <a:rPr lang="ar-EG" sz="800" b="1">
                        <a:latin typeface="Garamond" pitchFamily="18" charset="0"/>
                        <a:cs typeface="+mj-cs"/>
                      </a:rPr>
                      <a:t>64%</a:t>
                    </a:r>
                  </a:p>
                </c:rich>
              </c:tx>
              <c:spPr/>
              <c:dLblPos val="outEnd"/>
              <c:showLegendKey val="0"/>
              <c:showVal val="0"/>
              <c:showCatName val="0"/>
              <c:showSerName val="0"/>
              <c:showPercent val="1"/>
              <c:showBubbleSize val="0"/>
              <c:extLst>
                <c:ext xmlns:c15="http://schemas.microsoft.com/office/drawing/2012/chart" uri="{CE6537A1-D6FC-4f65-9D91-7224C49458BB}"/>
              </c:extLst>
            </c:dLbl>
            <c:dLbl>
              <c:idx val="2"/>
              <c:tx>
                <c:rich>
                  <a:bodyPr/>
                  <a:lstStyle/>
                  <a:p>
                    <a:pPr rtl="1">
                      <a:defRPr lang="en-US" sz="800" b="1">
                        <a:latin typeface="Garamond" pitchFamily="18" charset="0"/>
                        <a:cs typeface="+mj-cs"/>
                      </a:defRPr>
                    </a:pPr>
                    <a:r>
                      <a:rPr lang="ar-EG" sz="800" b="1">
                        <a:latin typeface="Garamond" pitchFamily="18" charset="0"/>
                        <a:cs typeface="+mj-cs"/>
                      </a:rPr>
                      <a:t>21%</a:t>
                    </a:r>
                  </a:p>
                </c:rich>
              </c:tx>
              <c:spPr/>
              <c:dLblPos val="out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rtl="1">
                  <a:defRPr lang="en-US" b="1">
                    <a:latin typeface="Garamond" pitchFamily="18" charset="0"/>
                  </a:defRPr>
                </a:pPr>
                <a:endParaRPr lang="en-US"/>
              </a:p>
            </c:tx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Sheet1!$F$24:$F$26</c:f>
              <c:strCache>
                <c:ptCount val="3"/>
                <c:pt idx="0">
                  <c:v>معدل إقبال كبير </c:v>
                </c:pt>
                <c:pt idx="1">
                  <c:v>معدل إقبال متوسط</c:v>
                </c:pt>
                <c:pt idx="2">
                  <c:v>معدل إقبال ضعيف </c:v>
                </c:pt>
              </c:strCache>
            </c:strRef>
          </c:cat>
          <c:val>
            <c:numRef>
              <c:f>Sheet1!$G$24:$G$26</c:f>
              <c:numCache>
                <c:formatCode>0.00%</c:formatCode>
                <c:ptCount val="3"/>
                <c:pt idx="0">
                  <c:v>0.14300000000000004</c:v>
                </c:pt>
                <c:pt idx="1">
                  <c:v>0.6430000000000049</c:v>
                </c:pt>
                <c:pt idx="2" formatCode="0%">
                  <c:v>0.21400000000000041</c:v>
                </c:pt>
              </c:numCache>
            </c:numRef>
          </c:val>
        </c:ser>
        <c:dLbls>
          <c:showLegendKey val="0"/>
          <c:showVal val="0"/>
          <c:showCatName val="0"/>
          <c:showSerName val="0"/>
          <c:showPercent val="1"/>
          <c:showBubbleSize val="0"/>
          <c:showLeaderLines val="1"/>
        </c:dLbls>
      </c:pie3DChart>
    </c:plotArea>
    <c:legend>
      <c:legendPos val="b"/>
      <c:layout>
        <c:manualLayout>
          <c:xMode val="edge"/>
          <c:yMode val="edge"/>
          <c:x val="4.9999897912167912E-2"/>
          <c:y val="0.87489329951170525"/>
          <c:w val="0.89999986388289333"/>
          <c:h val="0.12510670048829864"/>
        </c:manualLayout>
      </c:layout>
      <c:overlay val="0"/>
      <c:txPr>
        <a:bodyPr/>
        <a:lstStyle/>
        <a:p>
          <a:pPr>
            <a:defRPr lang="en-US" b="1">
              <a:latin typeface="Traditional Arabic" pitchFamily="18" charset="-78"/>
              <a:cs typeface="Traditional Arabic" pitchFamily="18" charset="-78"/>
            </a:defRPr>
          </a:pPr>
          <a:endParaRPr lang="en-US"/>
        </a:p>
      </c:txPr>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315665319992"/>
          <c:y val="5.2486458786773417E-2"/>
          <c:w val="0.80704999306780645"/>
          <c:h val="0.56455544858855311"/>
        </c:manualLayout>
      </c:layout>
      <c:barChart>
        <c:barDir val="col"/>
        <c:grouping val="clustered"/>
        <c:varyColors val="0"/>
        <c:ser>
          <c:idx val="0"/>
          <c:order val="0"/>
          <c:tx>
            <c:strRef>
              <c:f>'[ملف تصايح البيانات.xlsx]Sheet1'!$B$158</c:f>
              <c:strCache>
                <c:ptCount val="1"/>
                <c:pt idx="0">
                  <c:v>موافق</c:v>
                </c:pt>
              </c:strCache>
            </c:strRef>
          </c:tx>
          <c:spPr>
            <a:solidFill>
              <a:schemeClr val="tx1"/>
            </a:solidFill>
          </c:spPr>
          <c:invertIfNegative val="0"/>
          <c:dLbls>
            <c:numFmt formatCode="#,##0" sourceLinked="0"/>
            <c:spPr>
              <a:noFill/>
              <a:ln>
                <a:noFill/>
              </a:ln>
              <a:effectLst/>
            </c:spPr>
            <c:txPr>
              <a:bodyPr/>
              <a:lstStyle/>
              <a:p>
                <a:pPr>
                  <a:defRPr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'[ملف تصايح البيانات.xlsx]Sheet1'!$A$159:$A$165</c:f>
              <c:strCache>
                <c:ptCount val="7"/>
                <c:pt idx="0">
                  <c:v>ارتفاع أسعارها </c:v>
                </c:pt>
                <c:pt idx="1">
                  <c:v>عدم توافر معلومات عنها </c:v>
                </c:pt>
                <c:pt idx="2">
                  <c:v>توافرها في نوعية متاجر محددة ومحدودة </c:v>
                </c:pt>
                <c:pt idx="3">
                  <c:v>عدم الاقتناع باهيمتها </c:v>
                </c:pt>
                <c:pt idx="4">
                  <c:v>عدم موازاة المنافع البيئة لما يدفع في مقابلها </c:v>
                </c:pt>
                <c:pt idx="5">
                  <c:v>العادات الاستهلاكية غير الرشيدة </c:v>
                </c:pt>
                <c:pt idx="6">
                  <c:v>عدم تنوعها بما يلبي احتياجات المستهلك </c:v>
                </c:pt>
              </c:strCache>
            </c:strRef>
          </c:cat>
          <c:val>
            <c:numRef>
              <c:f>'[ملف تصايح البيانات.xlsx]Sheet1'!$B$159:$B$165</c:f>
              <c:numCache>
                <c:formatCode>General</c:formatCode>
                <c:ptCount val="7"/>
                <c:pt idx="0">
                  <c:v>70.3</c:v>
                </c:pt>
                <c:pt idx="1">
                  <c:v>80.2</c:v>
                </c:pt>
                <c:pt idx="2">
                  <c:v>77.5</c:v>
                </c:pt>
                <c:pt idx="3">
                  <c:v>33.6</c:v>
                </c:pt>
                <c:pt idx="4">
                  <c:v>41.7</c:v>
                </c:pt>
                <c:pt idx="5">
                  <c:v>60.699999999999996</c:v>
                </c:pt>
                <c:pt idx="6">
                  <c:v>76.3</c:v>
                </c:pt>
              </c:numCache>
            </c:numRef>
          </c:val>
        </c:ser>
        <c:ser>
          <c:idx val="1"/>
          <c:order val="1"/>
          <c:tx>
            <c:strRef>
              <c:f>'[ملف تصايح البيانات.xlsx]Sheet1'!$C$158</c:f>
              <c:strCache>
                <c:ptCount val="1"/>
                <c:pt idx="0">
                  <c:v>محايد </c:v>
                </c:pt>
              </c:strCache>
            </c:strRef>
          </c:tx>
          <c:spPr>
            <a:pattFill prst="wdUpDiag">
              <a:fgClr>
                <a:schemeClr val="tx1"/>
              </a:fgClr>
              <a:bgClr>
                <a:schemeClr val="bg1"/>
              </a:bgClr>
            </a:pattFill>
            <a:ln>
              <a:solidFill>
                <a:schemeClr val="accent1"/>
              </a:solidFill>
            </a:ln>
          </c:spPr>
          <c:invertIfNegative val="0"/>
          <c:dLbls>
            <c:numFmt formatCode="#,##0" sourceLinked="0"/>
            <c:spPr>
              <a:noFill/>
              <a:ln>
                <a:noFill/>
              </a:ln>
              <a:effectLst/>
            </c:spPr>
            <c:txPr>
              <a:bodyPr/>
              <a:lstStyle/>
              <a:p>
                <a:pPr>
                  <a:defRPr sz="7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'[ملف تصايح البيانات.xlsx]Sheet1'!$A$159:$A$165</c:f>
              <c:strCache>
                <c:ptCount val="7"/>
                <c:pt idx="0">
                  <c:v>ارتفاع أسعارها </c:v>
                </c:pt>
                <c:pt idx="1">
                  <c:v>عدم توافر معلومات عنها </c:v>
                </c:pt>
                <c:pt idx="2">
                  <c:v>توافرها في نوعية متاجر محددة ومحدودة </c:v>
                </c:pt>
                <c:pt idx="3">
                  <c:v>عدم الاقتناع باهيمتها </c:v>
                </c:pt>
                <c:pt idx="4">
                  <c:v>عدم موازاة المنافع البيئة لما يدفع في مقابلها </c:v>
                </c:pt>
                <c:pt idx="5">
                  <c:v>العادات الاستهلاكية غير الرشيدة </c:v>
                </c:pt>
                <c:pt idx="6">
                  <c:v>عدم تنوعها بما يلبي احتياجات المستهلك </c:v>
                </c:pt>
              </c:strCache>
            </c:strRef>
          </c:cat>
          <c:val>
            <c:numRef>
              <c:f>'[ملف تصايح البيانات.xlsx]Sheet1'!$C$159:$C$165</c:f>
              <c:numCache>
                <c:formatCode>General</c:formatCode>
                <c:ptCount val="7"/>
                <c:pt idx="0">
                  <c:v>21.2</c:v>
                </c:pt>
                <c:pt idx="1">
                  <c:v>13.2</c:v>
                </c:pt>
                <c:pt idx="2">
                  <c:v>15</c:v>
                </c:pt>
                <c:pt idx="3">
                  <c:v>24.1</c:v>
                </c:pt>
                <c:pt idx="4">
                  <c:v>23.5</c:v>
                </c:pt>
                <c:pt idx="5">
                  <c:v>23.9</c:v>
                </c:pt>
                <c:pt idx="6">
                  <c:v>12.3</c:v>
                </c:pt>
              </c:numCache>
            </c:numRef>
          </c:val>
        </c:ser>
        <c:ser>
          <c:idx val="2"/>
          <c:order val="2"/>
          <c:tx>
            <c:strRef>
              <c:f>'[ملف تصايح البيانات.xlsx]Sheet1'!$D$158</c:f>
              <c:strCache>
                <c:ptCount val="1"/>
                <c:pt idx="0">
                  <c:v>غير موافق</c:v>
                </c:pt>
              </c:strCache>
            </c:strRef>
          </c:tx>
          <c:spPr>
            <a:pattFill prst="pct5">
              <a:fgClr>
                <a:schemeClr val="accent5">
                  <a:lumMod val="75000"/>
                </a:schemeClr>
              </a:fgClr>
              <a:bgClr>
                <a:schemeClr val="bg1"/>
              </a:bgClr>
            </a:pattFill>
            <a:ln>
              <a:solidFill>
                <a:schemeClr val="tx1"/>
              </a:solidFill>
            </a:ln>
          </c:spPr>
          <c:invertIfNegative val="0"/>
          <c:dLbls>
            <c:numFmt formatCode="#,##0" sourceLinked="0"/>
            <c:spPr>
              <a:noFill/>
              <a:ln>
                <a:noFill/>
              </a:ln>
              <a:effectLst/>
            </c:spPr>
            <c:txPr>
              <a:bodyPr/>
              <a:lstStyle/>
              <a:p>
                <a:pPr>
                  <a:defRPr sz="8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'[ملف تصايح البيانات.xlsx]Sheet1'!$A$159:$A$165</c:f>
              <c:strCache>
                <c:ptCount val="7"/>
                <c:pt idx="0">
                  <c:v>ارتفاع أسعارها </c:v>
                </c:pt>
                <c:pt idx="1">
                  <c:v>عدم توافر معلومات عنها </c:v>
                </c:pt>
                <c:pt idx="2">
                  <c:v>توافرها في نوعية متاجر محددة ومحدودة </c:v>
                </c:pt>
                <c:pt idx="3">
                  <c:v>عدم الاقتناع باهيمتها </c:v>
                </c:pt>
                <c:pt idx="4">
                  <c:v>عدم موازاة المنافع البيئة لما يدفع في مقابلها </c:v>
                </c:pt>
                <c:pt idx="5">
                  <c:v>العادات الاستهلاكية غير الرشيدة </c:v>
                </c:pt>
                <c:pt idx="6">
                  <c:v>عدم تنوعها بما يلبي احتياجات المستهلك </c:v>
                </c:pt>
              </c:strCache>
            </c:strRef>
          </c:cat>
          <c:val>
            <c:numRef>
              <c:f>'[ملف تصايح البيانات.xlsx]Sheet1'!$D$159:$D$165</c:f>
              <c:numCache>
                <c:formatCode>General</c:formatCode>
                <c:ptCount val="7"/>
                <c:pt idx="0">
                  <c:v>8.5</c:v>
                </c:pt>
                <c:pt idx="1">
                  <c:v>6.6</c:v>
                </c:pt>
                <c:pt idx="2">
                  <c:v>7.5</c:v>
                </c:pt>
                <c:pt idx="3">
                  <c:v>42.2</c:v>
                </c:pt>
                <c:pt idx="4">
                  <c:v>34.799999999999997</c:v>
                </c:pt>
                <c:pt idx="5">
                  <c:v>15.4</c:v>
                </c:pt>
                <c:pt idx="6">
                  <c:v>11.4</c:v>
                </c:pt>
              </c:numCache>
            </c:numRef>
          </c:val>
        </c:ser>
        <c:dLbls>
          <c:showLegendKey val="0"/>
          <c:showVal val="0"/>
          <c:showCatName val="0"/>
          <c:showSerName val="0"/>
          <c:showPercent val="0"/>
          <c:showBubbleSize val="0"/>
        </c:dLbls>
        <c:gapWidth val="150"/>
        <c:axId val="130082304"/>
        <c:axId val="130083840"/>
      </c:barChart>
      <c:catAx>
        <c:axId val="130082304"/>
        <c:scaling>
          <c:orientation val="minMax"/>
        </c:scaling>
        <c:delete val="0"/>
        <c:axPos val="b"/>
        <c:numFmt formatCode="General" sourceLinked="0"/>
        <c:majorTickMark val="none"/>
        <c:minorTickMark val="none"/>
        <c:tickLblPos val="nextTo"/>
        <c:txPr>
          <a:bodyPr/>
          <a:lstStyle/>
          <a:p>
            <a:pPr>
              <a:defRPr b="1">
                <a:latin typeface="Traditional Arabic" pitchFamily="18" charset="-78"/>
                <a:cs typeface="Traditional Arabic" pitchFamily="18" charset="-78"/>
              </a:defRPr>
            </a:pPr>
            <a:endParaRPr lang="en-US"/>
          </a:p>
        </c:txPr>
        <c:crossAx val="130083840"/>
        <c:crosses val="autoZero"/>
        <c:auto val="1"/>
        <c:lblAlgn val="ctr"/>
        <c:lblOffset val="100"/>
        <c:noMultiLvlLbl val="0"/>
      </c:catAx>
      <c:valAx>
        <c:axId val="130083840"/>
        <c:scaling>
          <c:orientation val="minMax"/>
          <c:max val="100"/>
        </c:scaling>
        <c:delete val="0"/>
        <c:axPos val="l"/>
        <c:title>
          <c:tx>
            <c:rich>
              <a:bodyPr rot="0" vert="horz"/>
              <a:lstStyle/>
              <a:p>
                <a:pPr>
                  <a:defRPr sz="1000"/>
                </a:pPr>
                <a:r>
                  <a:rPr lang="en-US" sz="1000">
                    <a:latin typeface="Traditional Arabic" pitchFamily="18" charset="-78"/>
                    <a:cs typeface="Traditional Arabic" pitchFamily="18" charset="-78"/>
                  </a:rPr>
                  <a:t>(%)</a:t>
                </a:r>
              </a:p>
            </c:rich>
          </c:tx>
          <c:layout>
            <c:manualLayout>
              <c:xMode val="edge"/>
              <c:yMode val="edge"/>
              <c:x val="0"/>
              <c:y val="1.7036399346754146E-3"/>
            </c:manualLayout>
          </c:layout>
          <c:overlay val="0"/>
        </c:title>
        <c:numFmt formatCode="General" sourceLinked="1"/>
        <c:majorTickMark val="out"/>
        <c:minorTickMark val="none"/>
        <c:tickLblPos val="nextTo"/>
        <c:txPr>
          <a:bodyPr/>
          <a:lstStyle/>
          <a:p>
            <a:pPr>
              <a:defRPr sz="900" b="1">
                <a:latin typeface="Traditional Arabic" pitchFamily="18" charset="-78"/>
                <a:cs typeface="Traditional Arabic" pitchFamily="18" charset="-78"/>
              </a:defRPr>
            </a:pPr>
            <a:endParaRPr lang="en-US"/>
          </a:p>
        </c:txPr>
        <c:crossAx val="130082304"/>
        <c:crosses val="autoZero"/>
        <c:crossBetween val="between"/>
        <c:majorUnit val="20"/>
        <c:minorUnit val="2"/>
      </c:valAx>
    </c:plotArea>
    <c:legend>
      <c:legendPos val="r"/>
      <c:layout>
        <c:manualLayout>
          <c:xMode val="edge"/>
          <c:yMode val="edge"/>
          <c:x val="0.10143284429355283"/>
          <c:y val="0.84039998502814117"/>
          <c:w val="0.72023642844961333"/>
          <c:h val="0.15450560977157701"/>
        </c:manualLayout>
      </c:layout>
      <c:overlay val="0"/>
      <c:txPr>
        <a:bodyPr/>
        <a:lstStyle/>
        <a:p>
          <a:pPr>
            <a:defRPr b="1">
              <a:latin typeface="Traditional Arabic" pitchFamily="18" charset="-78"/>
              <a:cs typeface="Traditional Arabic" pitchFamily="18" charset="-78"/>
            </a:defRPr>
          </a:pPr>
          <a:endParaRPr lang="en-US"/>
        </a:p>
      </c:txPr>
    </c:legend>
    <c:plotVisOnly val="1"/>
    <c:dispBlanksAs val="gap"/>
    <c:showDLblsOverMax val="0"/>
  </c:chart>
  <c:externalData r:id="rId1">
    <c:autoUpdate val="0"/>
  </c:externalData>
</c:chartSpace>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10BF6-2967-43B7-B042-E2513BE17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187</Pages>
  <Words>53827</Words>
  <Characters>306816</Characters>
  <Application>Microsoft Office Word</Application>
  <DocSecurity>4</DocSecurity>
  <Lines>2556</Lines>
  <Paragraphs>719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pc</cp:lastModifiedBy>
  <cp:revision>2</cp:revision>
  <cp:lastPrinted>2017-08-16T11:18:00Z</cp:lastPrinted>
  <dcterms:created xsi:type="dcterms:W3CDTF">2019-10-23T08:30:00Z</dcterms:created>
  <dcterms:modified xsi:type="dcterms:W3CDTF">2019-10-23T08:30:00Z</dcterms:modified>
</cp:coreProperties>
</file>