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plified Arabic Fixed">
    <w:panose1 w:val="02070309020205020404"/>
    <w:charset w:val="B2"/>
    <w:family w:val="modern"/>
    <w:pitch w:val="fixed"/>
    <w:sig w:usb0="00002001" w:usb1="00000000" w:usb2="00000000" w:usb3="00000000" w:csb0="00000040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A12"/>
    <w:multiLevelType w:val="hybridMultilevel"/>
    <w:tmpl w:val="6A827B80"/>
    <w:lvl w:ilvl="0" w:tplc="9B06BD0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1D27F5"/>
    <w:multiLevelType w:val="hybridMultilevel"/>
    <w:tmpl w:val="4C0A9F4A"/>
    <w:lvl w:ilvl="0" w:tplc="040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2">
    <w:nsid w:val="037264DE"/>
    <w:multiLevelType w:val="hybridMultilevel"/>
    <w:tmpl w:val="D99A7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DF051A"/>
    <w:multiLevelType w:val="hybridMultilevel"/>
    <w:tmpl w:val="75825698"/>
    <w:lvl w:ilvl="0" w:tplc="317857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EB7547"/>
    <w:multiLevelType w:val="hybridMultilevel"/>
    <w:tmpl w:val="97541EF8"/>
    <w:lvl w:ilvl="0" w:tplc="BF0008F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F57C8D"/>
    <w:multiLevelType w:val="hybridMultilevel"/>
    <w:tmpl w:val="63346236"/>
    <w:lvl w:ilvl="0" w:tplc="B71AEEF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530049"/>
    <w:multiLevelType w:val="hybridMultilevel"/>
    <w:tmpl w:val="E6F85426"/>
    <w:lvl w:ilvl="0" w:tplc="FFCCC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AF3B17"/>
    <w:multiLevelType w:val="hybridMultilevel"/>
    <w:tmpl w:val="39D4E0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0539F7"/>
    <w:multiLevelType w:val="hybridMultilevel"/>
    <w:tmpl w:val="FF366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D32DAA"/>
    <w:multiLevelType w:val="hybridMultilevel"/>
    <w:tmpl w:val="0FCE99EA"/>
    <w:lvl w:ilvl="0" w:tplc="2A1865B4">
      <w:start w:val="1"/>
      <w:numFmt w:val="decimal"/>
      <w:lvlText w:val="%1-"/>
      <w:lvlJc w:val="left"/>
      <w:pPr>
        <w:ind w:left="3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4" w:hanging="360"/>
      </w:pPr>
    </w:lvl>
    <w:lvl w:ilvl="2" w:tplc="0409001B" w:tentative="1">
      <w:start w:val="1"/>
      <w:numFmt w:val="lowerRoman"/>
      <w:lvlText w:val="%3."/>
      <w:lvlJc w:val="right"/>
      <w:pPr>
        <w:ind w:left="1794" w:hanging="180"/>
      </w:pPr>
    </w:lvl>
    <w:lvl w:ilvl="3" w:tplc="0409000F" w:tentative="1">
      <w:start w:val="1"/>
      <w:numFmt w:val="decimal"/>
      <w:lvlText w:val="%4."/>
      <w:lvlJc w:val="left"/>
      <w:pPr>
        <w:ind w:left="2514" w:hanging="360"/>
      </w:pPr>
    </w:lvl>
    <w:lvl w:ilvl="4" w:tplc="04090019" w:tentative="1">
      <w:start w:val="1"/>
      <w:numFmt w:val="lowerLetter"/>
      <w:lvlText w:val="%5."/>
      <w:lvlJc w:val="left"/>
      <w:pPr>
        <w:ind w:left="3234" w:hanging="360"/>
      </w:pPr>
    </w:lvl>
    <w:lvl w:ilvl="5" w:tplc="0409001B" w:tentative="1">
      <w:start w:val="1"/>
      <w:numFmt w:val="lowerRoman"/>
      <w:lvlText w:val="%6."/>
      <w:lvlJc w:val="right"/>
      <w:pPr>
        <w:ind w:left="3954" w:hanging="180"/>
      </w:pPr>
    </w:lvl>
    <w:lvl w:ilvl="6" w:tplc="0409000F" w:tentative="1">
      <w:start w:val="1"/>
      <w:numFmt w:val="decimal"/>
      <w:lvlText w:val="%7."/>
      <w:lvlJc w:val="left"/>
      <w:pPr>
        <w:ind w:left="4674" w:hanging="360"/>
      </w:pPr>
    </w:lvl>
    <w:lvl w:ilvl="7" w:tplc="04090019" w:tentative="1">
      <w:start w:val="1"/>
      <w:numFmt w:val="lowerLetter"/>
      <w:lvlText w:val="%8."/>
      <w:lvlJc w:val="left"/>
      <w:pPr>
        <w:ind w:left="5394" w:hanging="360"/>
      </w:pPr>
    </w:lvl>
    <w:lvl w:ilvl="8" w:tplc="040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0">
    <w:nsid w:val="11A51728"/>
    <w:multiLevelType w:val="hybridMultilevel"/>
    <w:tmpl w:val="36748498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7F3FE6"/>
    <w:multiLevelType w:val="hybridMultilevel"/>
    <w:tmpl w:val="1B2A6024"/>
    <w:lvl w:ilvl="0" w:tplc="6F8A8044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C472D5"/>
    <w:multiLevelType w:val="hybridMultilevel"/>
    <w:tmpl w:val="B00EAEF0"/>
    <w:lvl w:ilvl="0" w:tplc="AC688CC8">
      <w:start w:val="1"/>
      <w:numFmt w:val="decimal"/>
      <w:lvlText w:val="(%1)"/>
      <w:lvlJc w:val="left"/>
      <w:pPr>
        <w:ind w:left="1080" w:hanging="720"/>
      </w:pPr>
      <w:rPr>
        <w:rFonts w:hint="default"/>
        <w:b/>
        <w:u w:val="none"/>
      </w:rPr>
    </w:lvl>
    <w:lvl w:ilvl="1" w:tplc="B1D244FA">
      <w:start w:val="1"/>
      <w:numFmt w:val="decimal"/>
      <w:lvlText w:val="%2-"/>
      <w:lvlJc w:val="left"/>
      <w:pPr>
        <w:ind w:left="1485" w:hanging="405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655A15"/>
    <w:multiLevelType w:val="hybridMultilevel"/>
    <w:tmpl w:val="30465CC2"/>
    <w:lvl w:ilvl="0" w:tplc="203275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FD5E78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0076B0C"/>
    <w:multiLevelType w:val="hybridMultilevel"/>
    <w:tmpl w:val="E26A93AC"/>
    <w:lvl w:ilvl="0" w:tplc="3BB630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2E2DFD"/>
    <w:multiLevelType w:val="hybridMultilevel"/>
    <w:tmpl w:val="F63ACC8A"/>
    <w:lvl w:ilvl="0" w:tplc="4C14FC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CC512E"/>
    <w:multiLevelType w:val="hybridMultilevel"/>
    <w:tmpl w:val="5F8C1124"/>
    <w:lvl w:ilvl="0" w:tplc="9AD2FC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136D51"/>
    <w:multiLevelType w:val="hybridMultilevel"/>
    <w:tmpl w:val="0068E92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>
    <w:nsid w:val="266F3450"/>
    <w:multiLevelType w:val="hybridMultilevel"/>
    <w:tmpl w:val="CF6029F2"/>
    <w:lvl w:ilvl="0" w:tplc="55F88FE6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272B66CF"/>
    <w:multiLevelType w:val="hybridMultilevel"/>
    <w:tmpl w:val="E3B2A9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2A1B98"/>
    <w:multiLevelType w:val="hybridMultilevel"/>
    <w:tmpl w:val="E3860DC2"/>
    <w:lvl w:ilvl="0" w:tplc="B314B6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9444DD0"/>
    <w:multiLevelType w:val="hybridMultilevel"/>
    <w:tmpl w:val="72FCA0A8"/>
    <w:lvl w:ilvl="0" w:tplc="5EA6778A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3">
    <w:nsid w:val="2B837E02"/>
    <w:multiLevelType w:val="hybridMultilevel"/>
    <w:tmpl w:val="76A63B42"/>
    <w:lvl w:ilvl="0" w:tplc="CE6ECD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CF03F2F"/>
    <w:multiLevelType w:val="hybridMultilevel"/>
    <w:tmpl w:val="C9CC0FD8"/>
    <w:lvl w:ilvl="0" w:tplc="5044B5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E70001"/>
    <w:multiLevelType w:val="hybridMultilevel"/>
    <w:tmpl w:val="9A3A4A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07F2EC5"/>
    <w:multiLevelType w:val="hybridMultilevel"/>
    <w:tmpl w:val="16BEC24C"/>
    <w:lvl w:ilvl="0" w:tplc="C8C6CB98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0DA528A"/>
    <w:multiLevelType w:val="hybridMultilevel"/>
    <w:tmpl w:val="E2884132"/>
    <w:lvl w:ilvl="0" w:tplc="EC3AF17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13633E2"/>
    <w:multiLevelType w:val="hybridMultilevel"/>
    <w:tmpl w:val="6BAAB0DE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9">
    <w:nsid w:val="324B15DE"/>
    <w:multiLevelType w:val="hybridMultilevel"/>
    <w:tmpl w:val="5938348C"/>
    <w:lvl w:ilvl="0" w:tplc="2A1865B4">
      <w:start w:val="1"/>
      <w:numFmt w:val="decimal"/>
      <w:lvlText w:val="%1-"/>
      <w:lvlJc w:val="left"/>
      <w:pPr>
        <w:ind w:left="3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66D4069"/>
    <w:multiLevelType w:val="hybridMultilevel"/>
    <w:tmpl w:val="25F2291E"/>
    <w:lvl w:ilvl="0" w:tplc="785E3964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381C4B64"/>
    <w:multiLevelType w:val="hybridMultilevel"/>
    <w:tmpl w:val="F8F67D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39CD2C78"/>
    <w:multiLevelType w:val="hybridMultilevel"/>
    <w:tmpl w:val="3AA8903E"/>
    <w:lvl w:ilvl="0" w:tplc="9ABCBF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BB71CAE"/>
    <w:multiLevelType w:val="hybridMultilevel"/>
    <w:tmpl w:val="678CC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CF128D1"/>
    <w:multiLevelType w:val="hybridMultilevel"/>
    <w:tmpl w:val="1486C1CA"/>
    <w:lvl w:ilvl="0" w:tplc="576C3784">
      <w:start w:val="3"/>
      <w:numFmt w:val="decimal"/>
      <w:lvlText w:val="(%1)"/>
      <w:lvlJc w:val="left"/>
      <w:pPr>
        <w:ind w:left="645" w:hanging="375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5">
    <w:nsid w:val="3E0D2FEA"/>
    <w:multiLevelType w:val="hybridMultilevel"/>
    <w:tmpl w:val="B84E145A"/>
    <w:lvl w:ilvl="0" w:tplc="317857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F420E68"/>
    <w:multiLevelType w:val="hybridMultilevel"/>
    <w:tmpl w:val="CB586D70"/>
    <w:lvl w:ilvl="0" w:tplc="E0B41C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7">
    <w:nsid w:val="43321FD0"/>
    <w:multiLevelType w:val="hybridMultilevel"/>
    <w:tmpl w:val="6D3C2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3D15FC3"/>
    <w:multiLevelType w:val="hybridMultilevel"/>
    <w:tmpl w:val="9BFED02A"/>
    <w:lvl w:ilvl="0" w:tplc="CED8EA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45A7753"/>
    <w:multiLevelType w:val="hybridMultilevel"/>
    <w:tmpl w:val="09BCE7AA"/>
    <w:lvl w:ilvl="0" w:tplc="84C276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5DD7F02"/>
    <w:multiLevelType w:val="hybridMultilevel"/>
    <w:tmpl w:val="4BD6D48A"/>
    <w:lvl w:ilvl="0" w:tplc="823837F0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61C629A"/>
    <w:multiLevelType w:val="hybridMultilevel"/>
    <w:tmpl w:val="D43EED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75F4D24"/>
    <w:multiLevelType w:val="hybridMultilevel"/>
    <w:tmpl w:val="8578B36E"/>
    <w:lvl w:ilvl="0" w:tplc="C2F26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1ABDDC">
      <w:start w:val="1"/>
      <w:numFmt w:val="arabicAbjad"/>
      <w:lvlText w:val="%2."/>
      <w:lvlJc w:val="left"/>
      <w:pPr>
        <w:ind w:left="1440" w:hanging="360"/>
      </w:pPr>
      <w:rPr>
        <w:rFonts w:hint="default"/>
      </w:rPr>
    </w:lvl>
    <w:lvl w:ilvl="2" w:tplc="339EBEA8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7C233D9"/>
    <w:multiLevelType w:val="hybridMultilevel"/>
    <w:tmpl w:val="639274B2"/>
    <w:lvl w:ilvl="0" w:tplc="653C094E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4">
    <w:nsid w:val="48AB0BCD"/>
    <w:multiLevelType w:val="hybridMultilevel"/>
    <w:tmpl w:val="211A64D2"/>
    <w:lvl w:ilvl="0" w:tplc="AF70FF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C2C7A63"/>
    <w:multiLevelType w:val="hybridMultilevel"/>
    <w:tmpl w:val="F05A4FA6"/>
    <w:lvl w:ilvl="0" w:tplc="317857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D9D49F4"/>
    <w:multiLevelType w:val="hybridMultilevel"/>
    <w:tmpl w:val="9A6E0118"/>
    <w:lvl w:ilvl="0" w:tplc="44FE2DE0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FAF39A7"/>
    <w:multiLevelType w:val="hybridMultilevel"/>
    <w:tmpl w:val="50460FC2"/>
    <w:lvl w:ilvl="0" w:tplc="31ACF2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FE66FCD"/>
    <w:multiLevelType w:val="hybridMultilevel"/>
    <w:tmpl w:val="C960FD1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>
    <w:nsid w:val="53D43703"/>
    <w:multiLevelType w:val="hybridMultilevel"/>
    <w:tmpl w:val="79149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4197EC2"/>
    <w:multiLevelType w:val="hybridMultilevel"/>
    <w:tmpl w:val="403CD1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4A46D5E"/>
    <w:multiLevelType w:val="hybridMultilevel"/>
    <w:tmpl w:val="77601216"/>
    <w:lvl w:ilvl="0" w:tplc="ABC2D664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2">
    <w:nsid w:val="55586509"/>
    <w:multiLevelType w:val="hybridMultilevel"/>
    <w:tmpl w:val="C1A8B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6B95014"/>
    <w:multiLevelType w:val="hybridMultilevel"/>
    <w:tmpl w:val="CAC21C04"/>
    <w:lvl w:ilvl="0" w:tplc="9ABCBF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51ABDDC">
      <w:start w:val="1"/>
      <w:numFmt w:val="arabicAbjad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A536748"/>
    <w:multiLevelType w:val="hybridMultilevel"/>
    <w:tmpl w:val="EE665A22"/>
    <w:lvl w:ilvl="0" w:tplc="C2F26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BC1469D"/>
    <w:multiLevelType w:val="hybridMultilevel"/>
    <w:tmpl w:val="7D140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C1B4175"/>
    <w:multiLevelType w:val="hybridMultilevel"/>
    <w:tmpl w:val="488A408A"/>
    <w:lvl w:ilvl="0" w:tplc="408CBC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51ABDDC">
      <w:start w:val="1"/>
      <w:numFmt w:val="arabicAbjad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D64096B"/>
    <w:multiLevelType w:val="hybridMultilevel"/>
    <w:tmpl w:val="F4504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02E0679"/>
    <w:multiLevelType w:val="hybridMultilevel"/>
    <w:tmpl w:val="C40ED486"/>
    <w:lvl w:ilvl="0" w:tplc="E6BA2E4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15B3395"/>
    <w:multiLevelType w:val="hybridMultilevel"/>
    <w:tmpl w:val="04A0D19C"/>
    <w:lvl w:ilvl="0" w:tplc="B13AAE22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0">
    <w:nsid w:val="626A56AE"/>
    <w:multiLevelType w:val="hybridMultilevel"/>
    <w:tmpl w:val="C344B736"/>
    <w:lvl w:ilvl="0" w:tplc="CC4AB680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1">
    <w:nsid w:val="62E94990"/>
    <w:multiLevelType w:val="hybridMultilevel"/>
    <w:tmpl w:val="A8626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3F90F98"/>
    <w:multiLevelType w:val="hybridMultilevel"/>
    <w:tmpl w:val="C70CC9AC"/>
    <w:lvl w:ilvl="0" w:tplc="B6600B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4EB5A7B"/>
    <w:multiLevelType w:val="hybridMultilevel"/>
    <w:tmpl w:val="8514C4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6D831E2"/>
    <w:multiLevelType w:val="hybridMultilevel"/>
    <w:tmpl w:val="CF20B5AA"/>
    <w:lvl w:ilvl="0" w:tplc="E4842C6E">
      <w:start w:val="5"/>
      <w:numFmt w:val="arabicAlpha"/>
      <w:lvlText w:val="%1-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71B3B9C"/>
    <w:multiLevelType w:val="hybridMultilevel"/>
    <w:tmpl w:val="083C21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8F66800"/>
    <w:multiLevelType w:val="hybridMultilevel"/>
    <w:tmpl w:val="370AE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BA7444D"/>
    <w:multiLevelType w:val="hybridMultilevel"/>
    <w:tmpl w:val="F9D02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D3C52B5"/>
    <w:multiLevelType w:val="hybridMultilevel"/>
    <w:tmpl w:val="59ACA70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9">
    <w:nsid w:val="6E550B4C"/>
    <w:multiLevelType w:val="hybridMultilevel"/>
    <w:tmpl w:val="06BA84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>
    <w:nsid w:val="703D24B2"/>
    <w:multiLevelType w:val="hybridMultilevel"/>
    <w:tmpl w:val="3A7AE7CE"/>
    <w:lvl w:ilvl="0" w:tplc="69369AC0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0A81C68"/>
    <w:multiLevelType w:val="hybridMultilevel"/>
    <w:tmpl w:val="8D928B36"/>
    <w:lvl w:ilvl="0" w:tplc="EF6496D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1675D46"/>
    <w:multiLevelType w:val="hybridMultilevel"/>
    <w:tmpl w:val="1DCED07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3">
    <w:nsid w:val="729502F4"/>
    <w:multiLevelType w:val="hybridMultilevel"/>
    <w:tmpl w:val="007E4484"/>
    <w:lvl w:ilvl="0" w:tplc="3F80717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2D23AEC"/>
    <w:multiLevelType w:val="hybridMultilevel"/>
    <w:tmpl w:val="460CBCC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5">
    <w:nsid w:val="73530189"/>
    <w:multiLevelType w:val="hybridMultilevel"/>
    <w:tmpl w:val="A1967680"/>
    <w:lvl w:ilvl="0" w:tplc="F4A87B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3BD5CB2"/>
    <w:multiLevelType w:val="hybridMultilevel"/>
    <w:tmpl w:val="70A046F6"/>
    <w:lvl w:ilvl="0" w:tplc="7A28BE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47927B3"/>
    <w:multiLevelType w:val="hybridMultilevel"/>
    <w:tmpl w:val="4B42B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50A50EF"/>
    <w:multiLevelType w:val="hybridMultilevel"/>
    <w:tmpl w:val="397E0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64E5DF2"/>
    <w:multiLevelType w:val="hybridMultilevel"/>
    <w:tmpl w:val="7834D076"/>
    <w:lvl w:ilvl="0" w:tplc="8B409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6850CC5"/>
    <w:multiLevelType w:val="hybridMultilevel"/>
    <w:tmpl w:val="9678E290"/>
    <w:lvl w:ilvl="0" w:tplc="89225496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1">
    <w:nsid w:val="778927D5"/>
    <w:multiLevelType w:val="hybridMultilevel"/>
    <w:tmpl w:val="CDBA0C48"/>
    <w:lvl w:ilvl="0" w:tplc="90069BC8">
      <w:start w:val="5"/>
      <w:numFmt w:val="arabicAlpha"/>
      <w:lvlText w:val="%1-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81B69CF"/>
    <w:multiLevelType w:val="hybridMultilevel"/>
    <w:tmpl w:val="EBBAC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BEA09E7"/>
    <w:multiLevelType w:val="hybridMultilevel"/>
    <w:tmpl w:val="A87AF648"/>
    <w:lvl w:ilvl="0" w:tplc="6CA443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E293043"/>
    <w:multiLevelType w:val="hybridMultilevel"/>
    <w:tmpl w:val="96BE931C"/>
    <w:lvl w:ilvl="0" w:tplc="4704FC1E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E6542D8"/>
    <w:multiLevelType w:val="hybridMultilevel"/>
    <w:tmpl w:val="57443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EAF533C"/>
    <w:multiLevelType w:val="hybridMultilevel"/>
    <w:tmpl w:val="9170DD68"/>
    <w:lvl w:ilvl="0" w:tplc="7F80E31E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7">
    <w:nsid w:val="7ECB75E8"/>
    <w:multiLevelType w:val="hybridMultilevel"/>
    <w:tmpl w:val="7C401552"/>
    <w:lvl w:ilvl="0" w:tplc="70341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F0F2FE8"/>
    <w:multiLevelType w:val="hybridMultilevel"/>
    <w:tmpl w:val="0AB2BF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>
    <w:nsid w:val="7F775041"/>
    <w:multiLevelType w:val="hybridMultilevel"/>
    <w:tmpl w:val="1D8A8928"/>
    <w:lvl w:ilvl="0" w:tplc="23B08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1"/>
  </w:num>
  <w:num w:numId="3">
    <w:abstractNumId w:val="10"/>
  </w:num>
  <w:num w:numId="4">
    <w:abstractNumId w:val="23"/>
  </w:num>
  <w:num w:numId="5">
    <w:abstractNumId w:val="8"/>
  </w:num>
  <w:num w:numId="6">
    <w:abstractNumId w:val="77"/>
  </w:num>
  <w:num w:numId="7">
    <w:abstractNumId w:val="12"/>
  </w:num>
  <w:num w:numId="8">
    <w:abstractNumId w:val="5"/>
  </w:num>
  <w:num w:numId="9">
    <w:abstractNumId w:val="55"/>
  </w:num>
  <w:num w:numId="10">
    <w:abstractNumId w:val="2"/>
  </w:num>
  <w:num w:numId="11">
    <w:abstractNumId w:val="66"/>
  </w:num>
  <w:num w:numId="12">
    <w:abstractNumId w:val="48"/>
  </w:num>
  <w:num w:numId="13">
    <w:abstractNumId w:val="85"/>
  </w:num>
  <w:num w:numId="14">
    <w:abstractNumId w:val="57"/>
  </w:num>
  <w:num w:numId="15">
    <w:abstractNumId w:val="49"/>
  </w:num>
  <w:num w:numId="16">
    <w:abstractNumId w:val="73"/>
  </w:num>
  <w:num w:numId="17">
    <w:abstractNumId w:val="3"/>
  </w:num>
  <w:num w:numId="18">
    <w:abstractNumId w:val="27"/>
  </w:num>
  <w:num w:numId="19">
    <w:abstractNumId w:val="78"/>
  </w:num>
  <w:num w:numId="20">
    <w:abstractNumId w:val="52"/>
  </w:num>
  <w:num w:numId="21">
    <w:abstractNumId w:val="35"/>
  </w:num>
  <w:num w:numId="22">
    <w:abstractNumId w:val="4"/>
  </w:num>
  <w:num w:numId="23">
    <w:abstractNumId w:val="45"/>
  </w:num>
  <w:num w:numId="24">
    <w:abstractNumId w:val="62"/>
  </w:num>
  <w:num w:numId="25">
    <w:abstractNumId w:val="81"/>
  </w:num>
  <w:num w:numId="26">
    <w:abstractNumId w:val="64"/>
  </w:num>
  <w:num w:numId="27">
    <w:abstractNumId w:val="34"/>
  </w:num>
  <w:num w:numId="28">
    <w:abstractNumId w:val="15"/>
  </w:num>
  <w:num w:numId="29">
    <w:abstractNumId w:val="24"/>
  </w:num>
  <w:num w:numId="30">
    <w:abstractNumId w:val="47"/>
  </w:num>
  <w:num w:numId="31">
    <w:abstractNumId w:val="69"/>
  </w:num>
  <w:num w:numId="32">
    <w:abstractNumId w:val="44"/>
  </w:num>
  <w:num w:numId="33">
    <w:abstractNumId w:val="71"/>
  </w:num>
  <w:num w:numId="34">
    <w:abstractNumId w:val="70"/>
  </w:num>
  <w:num w:numId="35">
    <w:abstractNumId w:val="67"/>
  </w:num>
  <w:num w:numId="36">
    <w:abstractNumId w:val="9"/>
  </w:num>
  <w:num w:numId="37">
    <w:abstractNumId w:val="20"/>
  </w:num>
  <w:num w:numId="38">
    <w:abstractNumId w:val="58"/>
  </w:num>
  <w:num w:numId="39">
    <w:abstractNumId w:val="63"/>
  </w:num>
  <w:num w:numId="40">
    <w:abstractNumId w:val="29"/>
  </w:num>
  <w:num w:numId="41">
    <w:abstractNumId w:val="68"/>
  </w:num>
  <w:num w:numId="42">
    <w:abstractNumId w:val="82"/>
  </w:num>
  <w:num w:numId="43">
    <w:abstractNumId w:val="61"/>
  </w:num>
  <w:num w:numId="44">
    <w:abstractNumId w:val="79"/>
  </w:num>
  <w:num w:numId="45">
    <w:abstractNumId w:val="54"/>
  </w:num>
  <w:num w:numId="46">
    <w:abstractNumId w:val="42"/>
  </w:num>
  <w:num w:numId="47">
    <w:abstractNumId w:val="74"/>
  </w:num>
  <w:num w:numId="48">
    <w:abstractNumId w:val="88"/>
  </w:num>
  <w:num w:numId="49">
    <w:abstractNumId w:val="26"/>
  </w:num>
  <w:num w:numId="50">
    <w:abstractNumId w:val="18"/>
  </w:num>
  <w:num w:numId="51">
    <w:abstractNumId w:val="31"/>
  </w:num>
  <w:num w:numId="52">
    <w:abstractNumId w:val="56"/>
  </w:num>
  <w:num w:numId="53">
    <w:abstractNumId w:val="40"/>
  </w:num>
  <w:num w:numId="54">
    <w:abstractNumId w:val="11"/>
  </w:num>
  <w:num w:numId="55">
    <w:abstractNumId w:val="7"/>
  </w:num>
  <w:num w:numId="56">
    <w:abstractNumId w:val="13"/>
  </w:num>
  <w:num w:numId="57">
    <w:abstractNumId w:val="38"/>
  </w:num>
  <w:num w:numId="58">
    <w:abstractNumId w:val="16"/>
  </w:num>
  <w:num w:numId="59">
    <w:abstractNumId w:val="17"/>
  </w:num>
  <w:num w:numId="60">
    <w:abstractNumId w:val="39"/>
  </w:num>
  <w:num w:numId="61">
    <w:abstractNumId w:val="83"/>
  </w:num>
  <w:num w:numId="62">
    <w:abstractNumId w:val="84"/>
  </w:num>
  <w:num w:numId="63">
    <w:abstractNumId w:val="89"/>
  </w:num>
  <w:num w:numId="64">
    <w:abstractNumId w:val="36"/>
  </w:num>
  <w:num w:numId="65">
    <w:abstractNumId w:val="50"/>
  </w:num>
  <w:num w:numId="66">
    <w:abstractNumId w:val="72"/>
  </w:num>
  <w:num w:numId="67">
    <w:abstractNumId w:val="33"/>
  </w:num>
  <w:num w:numId="68">
    <w:abstractNumId w:val="37"/>
  </w:num>
  <w:num w:numId="69">
    <w:abstractNumId w:val="1"/>
  </w:num>
  <w:num w:numId="70">
    <w:abstractNumId w:val="65"/>
  </w:num>
  <w:num w:numId="71">
    <w:abstractNumId w:val="21"/>
  </w:num>
  <w:num w:numId="72">
    <w:abstractNumId w:val="87"/>
  </w:num>
  <w:num w:numId="73">
    <w:abstractNumId w:val="32"/>
  </w:num>
  <w:num w:numId="74">
    <w:abstractNumId w:val="53"/>
  </w:num>
  <w:num w:numId="75">
    <w:abstractNumId w:val="28"/>
  </w:num>
  <w:num w:numId="76">
    <w:abstractNumId w:val="6"/>
  </w:num>
  <w:num w:numId="77">
    <w:abstractNumId w:val="19"/>
  </w:num>
  <w:num w:numId="78">
    <w:abstractNumId w:val="86"/>
  </w:num>
  <w:num w:numId="79">
    <w:abstractNumId w:val="59"/>
  </w:num>
  <w:num w:numId="80">
    <w:abstractNumId w:val="60"/>
  </w:num>
  <w:num w:numId="81">
    <w:abstractNumId w:val="80"/>
  </w:num>
  <w:num w:numId="82">
    <w:abstractNumId w:val="30"/>
  </w:num>
  <w:num w:numId="83">
    <w:abstractNumId w:val="43"/>
  </w:num>
  <w:num w:numId="84">
    <w:abstractNumId w:val="51"/>
  </w:num>
  <w:num w:numId="85">
    <w:abstractNumId w:val="75"/>
  </w:num>
  <w:num w:numId="86">
    <w:abstractNumId w:val="76"/>
  </w:num>
  <w:num w:numId="87">
    <w:abstractNumId w:val="0"/>
  </w:num>
  <w:num w:numId="88">
    <w:abstractNumId w:val="46"/>
  </w:num>
  <w:num w:numId="89">
    <w:abstractNumId w:val="25"/>
  </w:num>
  <w:num w:numId="90">
    <w:abstractNumId w:val="22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hideGrammaticalErrors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D90"/>
    <w:rsid w:val="00023DFB"/>
    <w:rsid w:val="00051D90"/>
    <w:rsid w:val="000727C5"/>
    <w:rsid w:val="00093D34"/>
    <w:rsid w:val="000A7200"/>
    <w:rsid w:val="000B0094"/>
    <w:rsid w:val="000D440E"/>
    <w:rsid w:val="000D5615"/>
    <w:rsid w:val="000D7647"/>
    <w:rsid w:val="000F2E74"/>
    <w:rsid w:val="001755BB"/>
    <w:rsid w:val="00193D1D"/>
    <w:rsid w:val="0019774E"/>
    <w:rsid w:val="001C157B"/>
    <w:rsid w:val="001F69CA"/>
    <w:rsid w:val="00206AB9"/>
    <w:rsid w:val="00214085"/>
    <w:rsid w:val="002312F3"/>
    <w:rsid w:val="00245247"/>
    <w:rsid w:val="00263867"/>
    <w:rsid w:val="002A1CA4"/>
    <w:rsid w:val="002D2BF3"/>
    <w:rsid w:val="0031471E"/>
    <w:rsid w:val="00314959"/>
    <w:rsid w:val="0032300E"/>
    <w:rsid w:val="00324E8D"/>
    <w:rsid w:val="00346FFA"/>
    <w:rsid w:val="00385D62"/>
    <w:rsid w:val="003B3118"/>
    <w:rsid w:val="003B315C"/>
    <w:rsid w:val="004058C5"/>
    <w:rsid w:val="00436A5D"/>
    <w:rsid w:val="00444BD2"/>
    <w:rsid w:val="004461B2"/>
    <w:rsid w:val="00462A4B"/>
    <w:rsid w:val="00486AC4"/>
    <w:rsid w:val="004D1EE2"/>
    <w:rsid w:val="004F59C1"/>
    <w:rsid w:val="00531E62"/>
    <w:rsid w:val="005465F2"/>
    <w:rsid w:val="00562342"/>
    <w:rsid w:val="00594B9E"/>
    <w:rsid w:val="005A6508"/>
    <w:rsid w:val="005B7469"/>
    <w:rsid w:val="005E774F"/>
    <w:rsid w:val="006005FC"/>
    <w:rsid w:val="00636F71"/>
    <w:rsid w:val="006401B2"/>
    <w:rsid w:val="006459BD"/>
    <w:rsid w:val="00683524"/>
    <w:rsid w:val="00692FCE"/>
    <w:rsid w:val="006A2A42"/>
    <w:rsid w:val="006A5B95"/>
    <w:rsid w:val="006C049D"/>
    <w:rsid w:val="006C5920"/>
    <w:rsid w:val="006D06C5"/>
    <w:rsid w:val="006E47A9"/>
    <w:rsid w:val="007007F9"/>
    <w:rsid w:val="007218F9"/>
    <w:rsid w:val="00723133"/>
    <w:rsid w:val="00736A2F"/>
    <w:rsid w:val="00741514"/>
    <w:rsid w:val="007C291A"/>
    <w:rsid w:val="007E548D"/>
    <w:rsid w:val="007F431B"/>
    <w:rsid w:val="00824B16"/>
    <w:rsid w:val="00850751"/>
    <w:rsid w:val="00862EA9"/>
    <w:rsid w:val="00864BF5"/>
    <w:rsid w:val="00865558"/>
    <w:rsid w:val="00870591"/>
    <w:rsid w:val="008774F8"/>
    <w:rsid w:val="008E1AA8"/>
    <w:rsid w:val="0091426F"/>
    <w:rsid w:val="00920FB8"/>
    <w:rsid w:val="00926820"/>
    <w:rsid w:val="00950054"/>
    <w:rsid w:val="009755DC"/>
    <w:rsid w:val="009A7ED4"/>
    <w:rsid w:val="009B56B4"/>
    <w:rsid w:val="009D0EA0"/>
    <w:rsid w:val="009D21DE"/>
    <w:rsid w:val="009E1FB0"/>
    <w:rsid w:val="00A04C26"/>
    <w:rsid w:val="00B30CCF"/>
    <w:rsid w:val="00B33ACB"/>
    <w:rsid w:val="00B3545F"/>
    <w:rsid w:val="00B45E50"/>
    <w:rsid w:val="00B503F0"/>
    <w:rsid w:val="00B7434D"/>
    <w:rsid w:val="00B77795"/>
    <w:rsid w:val="00B95A97"/>
    <w:rsid w:val="00B96991"/>
    <w:rsid w:val="00BA168D"/>
    <w:rsid w:val="00BA42CB"/>
    <w:rsid w:val="00BB5F47"/>
    <w:rsid w:val="00BD5C0F"/>
    <w:rsid w:val="00C16B9A"/>
    <w:rsid w:val="00C23FA8"/>
    <w:rsid w:val="00C30EFC"/>
    <w:rsid w:val="00C33D68"/>
    <w:rsid w:val="00C567FD"/>
    <w:rsid w:val="00C867C4"/>
    <w:rsid w:val="00C92616"/>
    <w:rsid w:val="00C94AB3"/>
    <w:rsid w:val="00CB40FF"/>
    <w:rsid w:val="00CB4D16"/>
    <w:rsid w:val="00CB52AB"/>
    <w:rsid w:val="00CC501E"/>
    <w:rsid w:val="00CD5165"/>
    <w:rsid w:val="00CF39A6"/>
    <w:rsid w:val="00D40548"/>
    <w:rsid w:val="00D4615E"/>
    <w:rsid w:val="00D70BB4"/>
    <w:rsid w:val="00D938EA"/>
    <w:rsid w:val="00DB784C"/>
    <w:rsid w:val="00DF082D"/>
    <w:rsid w:val="00E16137"/>
    <w:rsid w:val="00E245B9"/>
    <w:rsid w:val="00E42A9D"/>
    <w:rsid w:val="00E535B9"/>
    <w:rsid w:val="00E75330"/>
    <w:rsid w:val="00E811F4"/>
    <w:rsid w:val="00EC4486"/>
    <w:rsid w:val="00EC74BF"/>
    <w:rsid w:val="00F172D0"/>
    <w:rsid w:val="00F52BF8"/>
    <w:rsid w:val="00F72A06"/>
    <w:rsid w:val="00F7660F"/>
    <w:rsid w:val="00F83908"/>
    <w:rsid w:val="00FF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implified Arabic" w:eastAsiaTheme="minorHAnsi" w:hAnsi="Simplified Arabic" w:cs="Simplified Arabic"/>
        <w:sz w:val="32"/>
        <w:szCs w:val="32"/>
        <w:lang w:val="en-US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D90"/>
    <w:pPr>
      <w:bidi/>
      <w:spacing w:before="0" w:after="0"/>
    </w:pPr>
    <w:rPr>
      <w:rFonts w:ascii="Times New Roman" w:eastAsia="Calibri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C33D68"/>
    <w:pPr>
      <w:numPr>
        <w:numId w:val="1"/>
      </w:numPr>
    </w:pPr>
  </w:style>
  <w:style w:type="paragraph" w:styleId="FootnoteText">
    <w:name w:val="footnote text"/>
    <w:basedOn w:val="Normal"/>
    <w:link w:val="FootnoteTextChar"/>
    <w:uiPriority w:val="99"/>
    <w:unhideWhenUsed/>
    <w:rsid w:val="00051D90"/>
    <w:rPr>
      <w:rFonts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51D90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FootnoteReference">
    <w:name w:val="footnote reference"/>
    <w:uiPriority w:val="99"/>
    <w:semiHidden/>
    <w:unhideWhenUsed/>
    <w:rsid w:val="00051D90"/>
    <w:rPr>
      <w:vertAlign w:val="superscript"/>
    </w:rPr>
  </w:style>
  <w:style w:type="character" w:styleId="Hyperlink">
    <w:name w:val="Hyperlink"/>
    <w:uiPriority w:val="99"/>
    <w:unhideWhenUsed/>
    <w:rsid w:val="00051D9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51D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1D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D90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054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0548"/>
    <w:rPr>
      <w:rFonts w:ascii="Times New Roman" w:eastAsia="Calibri" w:hAnsi="Times New Roman"/>
    </w:rPr>
  </w:style>
  <w:style w:type="paragraph" w:styleId="Footer">
    <w:name w:val="footer"/>
    <w:basedOn w:val="Normal"/>
    <w:link w:val="FooterChar"/>
    <w:uiPriority w:val="99"/>
    <w:unhideWhenUsed/>
    <w:rsid w:val="00D4054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0548"/>
    <w:rPr>
      <w:rFonts w:ascii="Times New Roman" w:eastAsia="Calibri" w:hAnsi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6C049D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452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52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5247"/>
    <w:rPr>
      <w:rFonts w:ascii="Times New Roman" w:eastAsia="Calibri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52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5247"/>
    <w:rPr>
      <w:rFonts w:ascii="Times New Roman" w:eastAsia="Calibri" w:hAnsi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093D34"/>
    <w:pPr>
      <w:spacing w:before="0" w:after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Figures">
    <w:name w:val="table of figures"/>
    <w:basedOn w:val="Normal"/>
    <w:next w:val="Normal"/>
    <w:uiPriority w:val="99"/>
    <w:unhideWhenUsed/>
    <w:rsid w:val="00193D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implified Arabic" w:eastAsiaTheme="minorHAnsi" w:hAnsi="Simplified Arabic" w:cs="Simplified Arabic"/>
        <w:sz w:val="32"/>
        <w:szCs w:val="32"/>
        <w:lang w:val="en-US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D90"/>
    <w:pPr>
      <w:bidi/>
      <w:spacing w:before="0" w:after="0"/>
    </w:pPr>
    <w:rPr>
      <w:rFonts w:ascii="Times New Roman" w:eastAsia="Calibri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C33D68"/>
    <w:pPr>
      <w:numPr>
        <w:numId w:val="1"/>
      </w:numPr>
    </w:pPr>
  </w:style>
  <w:style w:type="paragraph" w:styleId="FootnoteText">
    <w:name w:val="footnote text"/>
    <w:basedOn w:val="Normal"/>
    <w:link w:val="FootnoteTextChar"/>
    <w:uiPriority w:val="99"/>
    <w:unhideWhenUsed/>
    <w:rsid w:val="00051D90"/>
    <w:rPr>
      <w:rFonts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51D90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FootnoteReference">
    <w:name w:val="footnote reference"/>
    <w:uiPriority w:val="99"/>
    <w:semiHidden/>
    <w:unhideWhenUsed/>
    <w:rsid w:val="00051D90"/>
    <w:rPr>
      <w:vertAlign w:val="superscript"/>
    </w:rPr>
  </w:style>
  <w:style w:type="character" w:styleId="Hyperlink">
    <w:name w:val="Hyperlink"/>
    <w:uiPriority w:val="99"/>
    <w:unhideWhenUsed/>
    <w:rsid w:val="00051D9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51D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1D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D90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054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0548"/>
    <w:rPr>
      <w:rFonts w:ascii="Times New Roman" w:eastAsia="Calibri" w:hAnsi="Times New Roman"/>
    </w:rPr>
  </w:style>
  <w:style w:type="paragraph" w:styleId="Footer">
    <w:name w:val="footer"/>
    <w:basedOn w:val="Normal"/>
    <w:link w:val="FooterChar"/>
    <w:uiPriority w:val="99"/>
    <w:unhideWhenUsed/>
    <w:rsid w:val="00D4054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0548"/>
    <w:rPr>
      <w:rFonts w:ascii="Times New Roman" w:eastAsia="Calibri" w:hAnsi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6C049D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452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52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5247"/>
    <w:rPr>
      <w:rFonts w:ascii="Times New Roman" w:eastAsia="Calibri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52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5247"/>
    <w:rPr>
      <w:rFonts w:ascii="Times New Roman" w:eastAsia="Calibri" w:hAnsi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093D34"/>
    <w:pPr>
      <w:spacing w:before="0" w:after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Figures">
    <w:name w:val="table of figures"/>
    <w:basedOn w:val="Normal"/>
    <w:next w:val="Normal"/>
    <w:uiPriority w:val="99"/>
    <w:unhideWhenUsed/>
    <w:rsid w:val="00193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4.xlsx"/><Relationship Id="rId1" Type="http://schemas.openxmlformats.org/officeDocument/2006/relationships/themeOverride" Target="../theme/themeOverride14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5674591156874628E-2"/>
          <c:y val="6.0308851479771927E-2"/>
          <c:w val="0.57787515142337975"/>
          <c:h val="0.69544212145895556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عدد المنشات (قطاع عام)</c:v>
                </c:pt>
              </c:strCache>
            </c:strRef>
          </c:tx>
          <c:marker>
            <c:symbol val="none"/>
          </c:marker>
          <c:cat>
            <c:strRef>
              <c:f>Sheet1!$A$2:$A$11</c:f>
              <c:strCache>
                <c:ptCount val="10"/>
                <c:pt idx="0">
                  <c:v>2002/2003</c:v>
                </c:pt>
                <c:pt idx="1">
                  <c:v>2003/2004</c:v>
                </c:pt>
                <c:pt idx="2">
                  <c:v>2004/2005</c:v>
                </c:pt>
                <c:pt idx="3">
                  <c:v>2005/2006</c:v>
                </c:pt>
                <c:pt idx="4">
                  <c:v>2006/2007</c:v>
                </c:pt>
                <c:pt idx="5">
                  <c:v>2007/2008</c:v>
                </c:pt>
                <c:pt idx="6">
                  <c:v>2008/2009</c:v>
                </c:pt>
                <c:pt idx="7">
                  <c:v>2009/2010</c:v>
                </c:pt>
                <c:pt idx="8">
                  <c:v>2010/2011</c:v>
                </c:pt>
                <c:pt idx="9">
                  <c:v>2011/2012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0</c:v>
                </c:pt>
                <c:pt idx="1">
                  <c:v>44</c:v>
                </c:pt>
                <c:pt idx="2">
                  <c:v>42</c:v>
                </c:pt>
                <c:pt idx="3">
                  <c:v>38</c:v>
                </c:pt>
                <c:pt idx="4">
                  <c:v>29</c:v>
                </c:pt>
                <c:pt idx="5">
                  <c:v>27</c:v>
                </c:pt>
                <c:pt idx="6">
                  <c:v>26</c:v>
                </c:pt>
                <c:pt idx="7">
                  <c:v>25</c:v>
                </c:pt>
                <c:pt idx="8">
                  <c:v>24</c:v>
                </c:pt>
                <c:pt idx="9">
                  <c:v>23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عدد المنشات (قطاع خاص)</c:v>
                </c:pt>
              </c:strCache>
            </c:strRef>
          </c:tx>
          <c:marker>
            <c:symbol val="none"/>
          </c:marker>
          <c:cat>
            <c:strRef>
              <c:f>Sheet1!$A$2:$A$11</c:f>
              <c:strCache>
                <c:ptCount val="10"/>
                <c:pt idx="0">
                  <c:v>2002/2003</c:v>
                </c:pt>
                <c:pt idx="1">
                  <c:v>2003/2004</c:v>
                </c:pt>
                <c:pt idx="2">
                  <c:v>2004/2005</c:v>
                </c:pt>
                <c:pt idx="3">
                  <c:v>2005/2006</c:v>
                </c:pt>
                <c:pt idx="4">
                  <c:v>2006/2007</c:v>
                </c:pt>
                <c:pt idx="5">
                  <c:v>2007/2008</c:v>
                </c:pt>
                <c:pt idx="6">
                  <c:v>2008/2009</c:v>
                </c:pt>
                <c:pt idx="7">
                  <c:v>2009/2010</c:v>
                </c:pt>
                <c:pt idx="8">
                  <c:v>2010/2011</c:v>
                </c:pt>
                <c:pt idx="9">
                  <c:v>2011/2012</c:v>
                </c:pt>
              </c:strCache>
            </c:strRef>
          </c:cat>
          <c:val>
            <c:numRef>
              <c:f>Sheet1!$C$2:$C$11</c:f>
              <c:numCache>
                <c:formatCode>General</c:formatCode>
                <c:ptCount val="10"/>
                <c:pt idx="0">
                  <c:v>0</c:v>
                </c:pt>
                <c:pt idx="1">
                  <c:v>804</c:v>
                </c:pt>
                <c:pt idx="2">
                  <c:v>819</c:v>
                </c:pt>
                <c:pt idx="3">
                  <c:v>762</c:v>
                </c:pt>
                <c:pt idx="4">
                  <c:v>800</c:v>
                </c:pt>
                <c:pt idx="5">
                  <c:v>901</c:v>
                </c:pt>
                <c:pt idx="6">
                  <c:v>898</c:v>
                </c:pt>
                <c:pt idx="7">
                  <c:v>935</c:v>
                </c:pt>
                <c:pt idx="8">
                  <c:v>849</c:v>
                </c:pt>
                <c:pt idx="9">
                  <c:v>743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اجمالى عدد منشات صناعه البلاستيك</c:v>
                </c:pt>
              </c:strCache>
            </c:strRef>
          </c:tx>
          <c:marker>
            <c:symbol val="none"/>
          </c:marker>
          <c:cat>
            <c:strRef>
              <c:f>Sheet1!$A$2:$A$11</c:f>
              <c:strCache>
                <c:ptCount val="10"/>
                <c:pt idx="0">
                  <c:v>2002/2003</c:v>
                </c:pt>
                <c:pt idx="1">
                  <c:v>2003/2004</c:v>
                </c:pt>
                <c:pt idx="2">
                  <c:v>2004/2005</c:v>
                </c:pt>
                <c:pt idx="3">
                  <c:v>2005/2006</c:v>
                </c:pt>
                <c:pt idx="4">
                  <c:v>2006/2007</c:v>
                </c:pt>
                <c:pt idx="5">
                  <c:v>2007/2008</c:v>
                </c:pt>
                <c:pt idx="6">
                  <c:v>2008/2009</c:v>
                </c:pt>
                <c:pt idx="7">
                  <c:v>2009/2010</c:v>
                </c:pt>
                <c:pt idx="8">
                  <c:v>2010/2011</c:v>
                </c:pt>
                <c:pt idx="9">
                  <c:v>2011/2012</c:v>
                </c:pt>
              </c:strCache>
            </c:strRef>
          </c:cat>
          <c:val>
            <c:numRef>
              <c:f>Sheet1!$D$2:$D$11</c:f>
              <c:numCache>
                <c:formatCode>General</c:formatCode>
                <c:ptCount val="10"/>
                <c:pt idx="0">
                  <c:v>0</c:v>
                </c:pt>
                <c:pt idx="1">
                  <c:v>848</c:v>
                </c:pt>
                <c:pt idx="2">
                  <c:v>860</c:v>
                </c:pt>
                <c:pt idx="3">
                  <c:v>800</c:v>
                </c:pt>
                <c:pt idx="4">
                  <c:v>829</c:v>
                </c:pt>
                <c:pt idx="5">
                  <c:v>928</c:v>
                </c:pt>
                <c:pt idx="6">
                  <c:v>924</c:v>
                </c:pt>
                <c:pt idx="7">
                  <c:v>960</c:v>
                </c:pt>
                <c:pt idx="8">
                  <c:v>873</c:v>
                </c:pt>
                <c:pt idx="9">
                  <c:v>766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8135808"/>
        <c:axId val="193638336"/>
      </c:lineChart>
      <c:catAx>
        <c:axId val="238135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ar-EG"/>
          </a:p>
        </c:txPr>
        <c:crossAx val="193638336"/>
        <c:crosses val="autoZero"/>
        <c:auto val="1"/>
        <c:lblAlgn val="ctr"/>
        <c:lblOffset val="100"/>
        <c:noMultiLvlLbl val="0"/>
      </c:catAx>
      <c:valAx>
        <c:axId val="193638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ar-EG"/>
          </a:p>
        </c:txPr>
        <c:crossAx val="23813580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/>
          </a:pPr>
          <a:endParaRPr lang="ar-EG"/>
        </a:p>
      </c:txPr>
    </c:legend>
    <c:plotVisOnly val="1"/>
    <c:dispBlanksAs val="gap"/>
    <c:showDLblsOverMax val="0"/>
  </c:chart>
  <c:txPr>
    <a:bodyPr/>
    <a:lstStyle/>
    <a:p>
      <a:pPr>
        <a:defRPr sz="1799"/>
      </a:pPr>
      <a:endParaRPr lang="ar-EG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انتاجية العامل صناعة البلاستيك (جنيه)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57532</c:v>
                </c:pt>
                <c:pt idx="1">
                  <c:v>57594</c:v>
                </c:pt>
                <c:pt idx="2">
                  <c:v>75248</c:v>
                </c:pt>
                <c:pt idx="3">
                  <c:v>84468</c:v>
                </c:pt>
                <c:pt idx="4">
                  <c:v>91143</c:v>
                </c:pt>
                <c:pt idx="5">
                  <c:v>130968</c:v>
                </c:pt>
                <c:pt idx="6">
                  <c:v>98942</c:v>
                </c:pt>
                <c:pt idx="7">
                  <c:v>141480</c:v>
                </c:pt>
                <c:pt idx="8">
                  <c:v>172741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إنتاجية العامل الصناعات التحويلية (جنيه)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Sheet1!$C$2:$C$10</c:f>
              <c:numCache>
                <c:formatCode>General</c:formatCode>
                <c:ptCount val="9"/>
                <c:pt idx="0">
                  <c:v>26809</c:v>
                </c:pt>
                <c:pt idx="1">
                  <c:v>24862</c:v>
                </c:pt>
                <c:pt idx="2">
                  <c:v>59233</c:v>
                </c:pt>
                <c:pt idx="3">
                  <c:v>67159</c:v>
                </c:pt>
                <c:pt idx="4">
                  <c:v>81529</c:v>
                </c:pt>
                <c:pt idx="5">
                  <c:v>98659</c:v>
                </c:pt>
                <c:pt idx="6">
                  <c:v>104690</c:v>
                </c:pt>
                <c:pt idx="7">
                  <c:v>131939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متوسط أجر العامل صناعة البلاستيك (جنيه)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Sheet1!$D$2:$D$10</c:f>
              <c:numCache>
                <c:formatCode>General</c:formatCode>
                <c:ptCount val="9"/>
                <c:pt idx="0">
                  <c:v>14011</c:v>
                </c:pt>
                <c:pt idx="1">
                  <c:v>15882</c:v>
                </c:pt>
                <c:pt idx="2">
                  <c:v>16986</c:v>
                </c:pt>
                <c:pt idx="3">
                  <c:v>19048</c:v>
                </c:pt>
                <c:pt idx="4">
                  <c:v>16894</c:v>
                </c:pt>
                <c:pt idx="5">
                  <c:v>22365</c:v>
                </c:pt>
                <c:pt idx="6">
                  <c:v>30250</c:v>
                </c:pt>
                <c:pt idx="7">
                  <c:v>30888</c:v>
                </c:pt>
                <c:pt idx="8">
                  <c:v>37993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متوسط أجر العامل الصناعات التحويلية (جنيه)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Sheet1!$E$2:$E$10</c:f>
              <c:numCache>
                <c:formatCode>General</c:formatCode>
                <c:ptCount val="9"/>
                <c:pt idx="0">
                  <c:v>11663</c:v>
                </c:pt>
                <c:pt idx="1">
                  <c:v>13281</c:v>
                </c:pt>
                <c:pt idx="2">
                  <c:v>13418</c:v>
                </c:pt>
                <c:pt idx="3">
                  <c:v>15192</c:v>
                </c:pt>
                <c:pt idx="4">
                  <c:v>16399</c:v>
                </c:pt>
                <c:pt idx="5">
                  <c:v>18848</c:v>
                </c:pt>
                <c:pt idx="6">
                  <c:v>20938</c:v>
                </c:pt>
                <c:pt idx="7">
                  <c:v>25678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نسبة أجر العامل الى انتاجية صناعة البلاستيك %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Sheet1!$F$2:$F$10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17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نسبة أجر العامل ال انتاجية الصناعات التحويلية %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Sheet1!$G$2:$G$10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20</c:v>
                </c:pt>
                <c:pt idx="7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1209344"/>
        <c:axId val="199084864"/>
      </c:lineChart>
      <c:catAx>
        <c:axId val="1612093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99084864"/>
        <c:crosses val="autoZero"/>
        <c:auto val="1"/>
        <c:lblAlgn val="ctr"/>
        <c:lblOffset val="100"/>
        <c:noMultiLvlLbl val="0"/>
      </c:catAx>
      <c:valAx>
        <c:axId val="1990848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12093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000"/>
      </a:pPr>
      <a:endParaRPr lang="ar-EG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صادرات البلاستيك</c:v>
                </c:pt>
              </c:strCache>
            </c:strRef>
          </c:tx>
          <c:marker>
            <c:symbol val="none"/>
          </c:marker>
          <c:cat>
            <c:numRef>
              <c:f>Sheet1!$A$2:$A$9</c:f>
              <c:numCache>
                <c:formatCode>General</c:formatCode>
                <c:ptCount val="8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</c:numCache>
            </c:numRef>
          </c:cat>
          <c:val>
            <c:numRef>
              <c:f>Sheet1!$B$2:$B$9</c:f>
              <c:numCache>
                <c:formatCode>General</c:formatCode>
                <c:ptCount val="8"/>
                <c:pt idx="0">
                  <c:v>90942</c:v>
                </c:pt>
                <c:pt idx="1">
                  <c:v>110811</c:v>
                </c:pt>
                <c:pt idx="2">
                  <c:v>172048</c:v>
                </c:pt>
                <c:pt idx="3">
                  <c:v>219477</c:v>
                </c:pt>
                <c:pt idx="4">
                  <c:v>317164</c:v>
                </c:pt>
                <c:pt idx="5">
                  <c:v>461014</c:v>
                </c:pt>
                <c:pt idx="6">
                  <c:v>462323</c:v>
                </c:pt>
                <c:pt idx="7">
                  <c:v>155000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واردات البلاستيك </c:v>
                </c:pt>
              </c:strCache>
            </c:strRef>
          </c:tx>
          <c:marker>
            <c:symbol val="none"/>
          </c:marker>
          <c:cat>
            <c:numRef>
              <c:f>Sheet1!$A$2:$A$9</c:f>
              <c:numCache>
                <c:formatCode>General</c:formatCode>
                <c:ptCount val="8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</c:numCache>
            </c:numRef>
          </c:cat>
          <c:val>
            <c:numRef>
              <c:f>Sheet1!$C$2:$C$9</c:f>
              <c:numCache>
                <c:formatCode>General</c:formatCode>
                <c:ptCount val="8"/>
                <c:pt idx="0">
                  <c:v>860358</c:v>
                </c:pt>
                <c:pt idx="1">
                  <c:v>508314</c:v>
                </c:pt>
                <c:pt idx="2">
                  <c:v>623011</c:v>
                </c:pt>
                <c:pt idx="3">
                  <c:v>780934</c:v>
                </c:pt>
                <c:pt idx="4">
                  <c:v>1120104</c:v>
                </c:pt>
                <c:pt idx="5">
                  <c:v>1220873</c:v>
                </c:pt>
                <c:pt idx="6">
                  <c:v>1694571</c:v>
                </c:pt>
                <c:pt idx="7">
                  <c:v>1400000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نسبة الصادرات إلى الواردات %</c:v>
                </c:pt>
              </c:strCache>
            </c:strRef>
          </c:tx>
          <c:marker>
            <c:symbol val="none"/>
          </c:marker>
          <c:cat>
            <c:numRef>
              <c:f>Sheet1!$A$2:$A$9</c:f>
              <c:numCache>
                <c:formatCode>General</c:formatCode>
                <c:ptCount val="8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</c:numCache>
            </c:numRef>
          </c:cat>
          <c:val>
            <c:numRef>
              <c:f>Sheet1!$D$2:$D$9</c:f>
              <c:numCache>
                <c:formatCode>General</c:formatCode>
                <c:ptCount val="8"/>
                <c:pt idx="0">
                  <c:v>10.57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1702912"/>
        <c:axId val="199083712"/>
      </c:lineChart>
      <c:catAx>
        <c:axId val="1617029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99083712"/>
        <c:crosses val="autoZero"/>
        <c:auto val="1"/>
        <c:lblAlgn val="ctr"/>
        <c:lblOffset val="100"/>
        <c:noMultiLvlLbl val="0"/>
      </c:catAx>
      <c:valAx>
        <c:axId val="199083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17029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100"/>
      </a:pPr>
      <a:endParaRPr lang="ar-EG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التصدير   قطاع عام</c:v>
                </c:pt>
              </c:strCache>
            </c:strRef>
          </c:tx>
          <c:marker>
            <c:symbol val="none"/>
          </c:marker>
          <c:cat>
            <c:strRef>
              <c:f>Sheet1!$A$2:$A$11</c:f>
              <c:strCache>
                <c:ptCount val="10"/>
                <c:pt idx="0">
                  <c:v>2002/2003</c:v>
                </c:pt>
                <c:pt idx="1">
                  <c:v>2003/2004</c:v>
                </c:pt>
                <c:pt idx="2">
                  <c:v>2004/2005</c:v>
                </c:pt>
                <c:pt idx="3">
                  <c:v>200/5/2006</c:v>
                </c:pt>
                <c:pt idx="4">
                  <c:v>2006/2007</c:v>
                </c:pt>
                <c:pt idx="5">
                  <c:v>2007/2008</c:v>
                </c:pt>
                <c:pt idx="6">
                  <c:v>2008/2009</c:v>
                </c:pt>
                <c:pt idx="7">
                  <c:v>2009/2010</c:v>
                </c:pt>
                <c:pt idx="8">
                  <c:v>2010/2011</c:v>
                </c:pt>
                <c:pt idx="9">
                  <c:v>2011/2012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301</c:v>
                </c:pt>
                <c:pt idx="1">
                  <c:v>428</c:v>
                </c:pt>
                <c:pt idx="2">
                  <c:v>406</c:v>
                </c:pt>
                <c:pt idx="3">
                  <c:v>430</c:v>
                </c:pt>
                <c:pt idx="4">
                  <c:v>375</c:v>
                </c:pt>
                <c:pt idx="5">
                  <c:v>225</c:v>
                </c:pt>
                <c:pt idx="6">
                  <c:v>254</c:v>
                </c:pt>
                <c:pt idx="7">
                  <c:v>330</c:v>
                </c:pt>
                <c:pt idx="8">
                  <c:v>488</c:v>
                </c:pt>
                <c:pt idx="9">
                  <c:v>404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التصدير   قطاع خاص</c:v>
                </c:pt>
              </c:strCache>
            </c:strRef>
          </c:tx>
          <c:marker>
            <c:symbol val="none"/>
          </c:marker>
          <c:cat>
            <c:strRef>
              <c:f>Sheet1!$A$2:$A$11</c:f>
              <c:strCache>
                <c:ptCount val="10"/>
                <c:pt idx="0">
                  <c:v>2002/2003</c:v>
                </c:pt>
                <c:pt idx="1">
                  <c:v>2003/2004</c:v>
                </c:pt>
                <c:pt idx="2">
                  <c:v>2004/2005</c:v>
                </c:pt>
                <c:pt idx="3">
                  <c:v>200/5/2006</c:v>
                </c:pt>
                <c:pt idx="4">
                  <c:v>2006/2007</c:v>
                </c:pt>
                <c:pt idx="5">
                  <c:v>2007/2008</c:v>
                </c:pt>
                <c:pt idx="6">
                  <c:v>2008/2009</c:v>
                </c:pt>
                <c:pt idx="7">
                  <c:v>2009/2010</c:v>
                </c:pt>
                <c:pt idx="8">
                  <c:v>2010/2011</c:v>
                </c:pt>
                <c:pt idx="9">
                  <c:v>2011/2012</c:v>
                </c:pt>
              </c:strCache>
            </c:strRef>
          </c:cat>
          <c:val>
            <c:numRef>
              <c:f>Sheet1!$C$2:$C$11</c:f>
              <c:numCache>
                <c:formatCode>General</c:formatCode>
                <c:ptCount val="10"/>
                <c:pt idx="0">
                  <c:v>1065</c:v>
                </c:pt>
                <c:pt idx="1">
                  <c:v>1703</c:v>
                </c:pt>
                <c:pt idx="2">
                  <c:v>2136</c:v>
                </c:pt>
                <c:pt idx="3">
                  <c:v>2939</c:v>
                </c:pt>
                <c:pt idx="4">
                  <c:v>3732</c:v>
                </c:pt>
                <c:pt idx="5">
                  <c:v>4605</c:v>
                </c:pt>
                <c:pt idx="6">
                  <c:v>5597</c:v>
                </c:pt>
                <c:pt idx="7">
                  <c:v>5513</c:v>
                </c:pt>
                <c:pt idx="8">
                  <c:v>7454</c:v>
                </c:pt>
                <c:pt idx="9">
                  <c:v>7700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إجمالي التصدير في صناعة البلاستيك</c:v>
                </c:pt>
              </c:strCache>
            </c:strRef>
          </c:tx>
          <c:marker>
            <c:symbol val="none"/>
          </c:marker>
          <c:cat>
            <c:strRef>
              <c:f>Sheet1!$A$2:$A$11</c:f>
              <c:strCache>
                <c:ptCount val="10"/>
                <c:pt idx="0">
                  <c:v>2002/2003</c:v>
                </c:pt>
                <c:pt idx="1">
                  <c:v>2003/2004</c:v>
                </c:pt>
                <c:pt idx="2">
                  <c:v>2004/2005</c:v>
                </c:pt>
                <c:pt idx="3">
                  <c:v>200/5/2006</c:v>
                </c:pt>
                <c:pt idx="4">
                  <c:v>2006/2007</c:v>
                </c:pt>
                <c:pt idx="5">
                  <c:v>2007/2008</c:v>
                </c:pt>
                <c:pt idx="6">
                  <c:v>2008/2009</c:v>
                </c:pt>
                <c:pt idx="7">
                  <c:v>2009/2010</c:v>
                </c:pt>
                <c:pt idx="8">
                  <c:v>2010/2011</c:v>
                </c:pt>
                <c:pt idx="9">
                  <c:v>2011/2012</c:v>
                </c:pt>
              </c:strCache>
            </c:strRef>
          </c:cat>
          <c:val>
            <c:numRef>
              <c:f>Sheet1!$D$2:$D$11</c:f>
              <c:numCache>
                <c:formatCode>General</c:formatCode>
                <c:ptCount val="10"/>
                <c:pt idx="0">
                  <c:v>1366</c:v>
                </c:pt>
                <c:pt idx="1">
                  <c:v>2131</c:v>
                </c:pt>
                <c:pt idx="2">
                  <c:v>2542</c:v>
                </c:pt>
                <c:pt idx="3">
                  <c:v>3369</c:v>
                </c:pt>
                <c:pt idx="4">
                  <c:v>4107</c:v>
                </c:pt>
                <c:pt idx="5">
                  <c:v>4830</c:v>
                </c:pt>
                <c:pt idx="6">
                  <c:v>5851</c:v>
                </c:pt>
                <c:pt idx="7">
                  <c:v>5843</c:v>
                </c:pt>
                <c:pt idx="8">
                  <c:v>7942</c:v>
                </c:pt>
                <c:pt idx="9">
                  <c:v>8104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التصدير في الصناعات التحويلية</c:v>
                </c:pt>
              </c:strCache>
            </c:strRef>
          </c:tx>
          <c:marker>
            <c:symbol val="none"/>
          </c:marker>
          <c:cat>
            <c:strRef>
              <c:f>Sheet1!$A$2:$A$11</c:f>
              <c:strCache>
                <c:ptCount val="10"/>
                <c:pt idx="0">
                  <c:v>2002/2003</c:v>
                </c:pt>
                <c:pt idx="1">
                  <c:v>2003/2004</c:v>
                </c:pt>
                <c:pt idx="2">
                  <c:v>2004/2005</c:v>
                </c:pt>
                <c:pt idx="3">
                  <c:v>200/5/2006</c:v>
                </c:pt>
                <c:pt idx="4">
                  <c:v>2006/2007</c:v>
                </c:pt>
                <c:pt idx="5">
                  <c:v>2007/2008</c:v>
                </c:pt>
                <c:pt idx="6">
                  <c:v>2008/2009</c:v>
                </c:pt>
                <c:pt idx="7">
                  <c:v>2009/2010</c:v>
                </c:pt>
                <c:pt idx="8">
                  <c:v>2010/2011</c:v>
                </c:pt>
                <c:pt idx="9">
                  <c:v>2011/2012</c:v>
                </c:pt>
              </c:strCache>
            </c:strRef>
          </c:cat>
          <c:val>
            <c:numRef>
              <c:f>Sheet1!$E$2:$E$11</c:f>
              <c:numCache>
                <c:formatCode>General</c:formatCode>
                <c:ptCount val="10"/>
                <c:pt idx="0">
                  <c:v>11755</c:v>
                </c:pt>
                <c:pt idx="1">
                  <c:v>20879</c:v>
                </c:pt>
                <c:pt idx="2">
                  <c:v>22583</c:v>
                </c:pt>
                <c:pt idx="3">
                  <c:v>23746</c:v>
                </c:pt>
                <c:pt idx="4">
                  <c:v>28798</c:v>
                </c:pt>
                <c:pt idx="5">
                  <c:v>30363</c:v>
                </c:pt>
                <c:pt idx="6">
                  <c:v>29862</c:v>
                </c:pt>
                <c:pt idx="7">
                  <c:v>35904</c:v>
                </c:pt>
                <c:pt idx="8">
                  <c:v>38632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1704960"/>
        <c:axId val="199086016"/>
      </c:lineChart>
      <c:catAx>
        <c:axId val="161704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99086016"/>
        <c:crosses val="autoZero"/>
        <c:auto val="1"/>
        <c:lblAlgn val="ctr"/>
        <c:lblOffset val="100"/>
        <c:noMultiLvlLbl val="0"/>
      </c:catAx>
      <c:valAx>
        <c:axId val="1990860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17049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000"/>
      </a:pPr>
      <a:endParaRPr lang="ar-EG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عدد المشتغلين في صناعة البلاستيك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123966</c:v>
                </c:pt>
                <c:pt idx="1">
                  <c:v>127566</c:v>
                </c:pt>
                <c:pt idx="2">
                  <c:v>123220</c:v>
                </c:pt>
                <c:pt idx="3">
                  <c:v>115500</c:v>
                </c:pt>
                <c:pt idx="4">
                  <c:v>98911</c:v>
                </c:pt>
                <c:pt idx="5">
                  <c:v>94657</c:v>
                </c:pt>
                <c:pt idx="6">
                  <c:v>100332</c:v>
                </c:pt>
                <c:pt idx="7">
                  <c:v>95540</c:v>
                </c:pt>
                <c:pt idx="8">
                  <c:v>87779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عدد المشتغلين في الصناعات التحويلية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Sheet1!$C$2:$C$10</c:f>
              <c:numCache>
                <c:formatCode>General</c:formatCode>
                <c:ptCount val="9"/>
                <c:pt idx="0">
                  <c:v>961983</c:v>
                </c:pt>
                <c:pt idx="1">
                  <c:v>956107</c:v>
                </c:pt>
                <c:pt idx="2">
                  <c:v>943728</c:v>
                </c:pt>
                <c:pt idx="3">
                  <c:v>978428</c:v>
                </c:pt>
                <c:pt idx="4">
                  <c:v>1049290</c:v>
                </c:pt>
                <c:pt idx="5">
                  <c:v>1055112</c:v>
                </c:pt>
                <c:pt idx="6">
                  <c:v>1033742</c:v>
                </c:pt>
                <c:pt idx="7">
                  <c:v>1003136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1920000"/>
        <c:axId val="199237632"/>
      </c:lineChart>
      <c:catAx>
        <c:axId val="161920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99237632"/>
        <c:crosses val="autoZero"/>
        <c:auto val="1"/>
        <c:lblAlgn val="ctr"/>
        <c:lblOffset val="100"/>
        <c:noMultiLvlLbl val="0"/>
      </c:catAx>
      <c:valAx>
        <c:axId val="1992376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19200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000"/>
      </a:pPr>
      <a:endParaRPr lang="ar-EG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انتاجية العامل صناعة البلاستيك (جنيه)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57532</c:v>
                </c:pt>
                <c:pt idx="1">
                  <c:v>57594</c:v>
                </c:pt>
                <c:pt idx="2">
                  <c:v>75248</c:v>
                </c:pt>
                <c:pt idx="3">
                  <c:v>84468</c:v>
                </c:pt>
                <c:pt idx="4">
                  <c:v>91143</c:v>
                </c:pt>
                <c:pt idx="5">
                  <c:v>130968</c:v>
                </c:pt>
                <c:pt idx="6">
                  <c:v>98942</c:v>
                </c:pt>
                <c:pt idx="7">
                  <c:v>141480</c:v>
                </c:pt>
                <c:pt idx="8">
                  <c:v>172741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إنتاجية العامل الصناعات التحويلية (جنيه)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Sheet1!$C$2:$C$10</c:f>
              <c:numCache>
                <c:formatCode>General</c:formatCode>
                <c:ptCount val="9"/>
                <c:pt idx="0">
                  <c:v>26809</c:v>
                </c:pt>
                <c:pt idx="1">
                  <c:v>24862</c:v>
                </c:pt>
                <c:pt idx="2">
                  <c:v>59233</c:v>
                </c:pt>
                <c:pt idx="3">
                  <c:v>67159</c:v>
                </c:pt>
                <c:pt idx="4">
                  <c:v>81529</c:v>
                </c:pt>
                <c:pt idx="5">
                  <c:v>98659</c:v>
                </c:pt>
                <c:pt idx="6">
                  <c:v>104690</c:v>
                </c:pt>
                <c:pt idx="7">
                  <c:v>131939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متوسط أجر العامل صناعة البلاستيك (جنيه)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Sheet1!$D$2:$D$10</c:f>
              <c:numCache>
                <c:formatCode>General</c:formatCode>
                <c:ptCount val="9"/>
                <c:pt idx="0">
                  <c:v>14011</c:v>
                </c:pt>
                <c:pt idx="1">
                  <c:v>15882</c:v>
                </c:pt>
                <c:pt idx="2">
                  <c:v>16986</c:v>
                </c:pt>
                <c:pt idx="3">
                  <c:v>19048</c:v>
                </c:pt>
                <c:pt idx="4">
                  <c:v>16894</c:v>
                </c:pt>
                <c:pt idx="5">
                  <c:v>22365</c:v>
                </c:pt>
                <c:pt idx="6">
                  <c:v>30250</c:v>
                </c:pt>
                <c:pt idx="7">
                  <c:v>30888</c:v>
                </c:pt>
                <c:pt idx="8">
                  <c:v>37993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متوسط أجر العامل الصناعات التحويلية (جنيه)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Sheet1!$E$2:$E$10</c:f>
              <c:numCache>
                <c:formatCode>General</c:formatCode>
                <c:ptCount val="9"/>
                <c:pt idx="0">
                  <c:v>11663</c:v>
                </c:pt>
                <c:pt idx="1">
                  <c:v>13281</c:v>
                </c:pt>
                <c:pt idx="2">
                  <c:v>13418</c:v>
                </c:pt>
                <c:pt idx="3">
                  <c:v>15192</c:v>
                </c:pt>
                <c:pt idx="4">
                  <c:v>16399</c:v>
                </c:pt>
                <c:pt idx="5">
                  <c:v>18848</c:v>
                </c:pt>
                <c:pt idx="6">
                  <c:v>20938</c:v>
                </c:pt>
                <c:pt idx="7">
                  <c:v>25678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نسبة أجر العامل الى انتاجية صناعة البلاستيك %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Sheet1!$F$2:$F$10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17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نسبة أجر العامل ال انتاجية الصناعات التحويلية %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Sheet1!$G$2:$G$10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20</c:v>
                </c:pt>
                <c:pt idx="7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1921024"/>
        <c:axId val="199239360"/>
      </c:lineChart>
      <c:catAx>
        <c:axId val="161921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99239360"/>
        <c:crosses val="autoZero"/>
        <c:auto val="1"/>
        <c:lblAlgn val="ctr"/>
        <c:lblOffset val="100"/>
        <c:noMultiLvlLbl val="0"/>
      </c:catAx>
      <c:valAx>
        <c:axId val="199239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19210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000"/>
      </a:pPr>
      <a:endParaRPr lang="ar-EG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عدد المشتغلين(قطاع عام)</c:v>
                </c:pt>
              </c:strCache>
            </c:strRef>
          </c:tx>
          <c:marker>
            <c:symbol val="none"/>
          </c:marker>
          <c:cat>
            <c:strRef>
              <c:f>Sheet1!$A$2:$A$11</c:f>
              <c:strCache>
                <c:ptCount val="10"/>
                <c:pt idx="0">
                  <c:v>2002/2003</c:v>
                </c:pt>
                <c:pt idx="1">
                  <c:v>2003/2004</c:v>
                </c:pt>
                <c:pt idx="2">
                  <c:v>2004/2005</c:v>
                </c:pt>
                <c:pt idx="3">
                  <c:v>2005/2006</c:v>
                </c:pt>
                <c:pt idx="4">
                  <c:v>2006/2007</c:v>
                </c:pt>
                <c:pt idx="5">
                  <c:v>2007/2008</c:v>
                </c:pt>
                <c:pt idx="6">
                  <c:v>2008/2009</c:v>
                </c:pt>
                <c:pt idx="7">
                  <c:v>2009/2010</c:v>
                </c:pt>
                <c:pt idx="8">
                  <c:v>2010/2011</c:v>
                </c:pt>
                <c:pt idx="9">
                  <c:v>2011/2012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0</c:v>
                </c:pt>
                <c:pt idx="1">
                  <c:v>44876</c:v>
                </c:pt>
                <c:pt idx="2">
                  <c:v>42354</c:v>
                </c:pt>
                <c:pt idx="3">
                  <c:v>41562</c:v>
                </c:pt>
                <c:pt idx="4">
                  <c:v>22165</c:v>
                </c:pt>
                <c:pt idx="5">
                  <c:v>23524</c:v>
                </c:pt>
                <c:pt idx="6">
                  <c:v>19063</c:v>
                </c:pt>
                <c:pt idx="7">
                  <c:v>18512</c:v>
                </c:pt>
                <c:pt idx="8">
                  <c:v>19153</c:v>
                </c:pt>
                <c:pt idx="9">
                  <c:v>17987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عدد المشتغلين(قطاع خاص)</c:v>
                </c:pt>
              </c:strCache>
            </c:strRef>
          </c:tx>
          <c:marker>
            <c:symbol val="none"/>
          </c:marker>
          <c:cat>
            <c:strRef>
              <c:f>Sheet1!$A$2:$A$11</c:f>
              <c:strCache>
                <c:ptCount val="10"/>
                <c:pt idx="0">
                  <c:v>2002/2003</c:v>
                </c:pt>
                <c:pt idx="1">
                  <c:v>2003/2004</c:v>
                </c:pt>
                <c:pt idx="2">
                  <c:v>2004/2005</c:v>
                </c:pt>
                <c:pt idx="3">
                  <c:v>2005/2006</c:v>
                </c:pt>
                <c:pt idx="4">
                  <c:v>2006/2007</c:v>
                </c:pt>
                <c:pt idx="5">
                  <c:v>2007/2008</c:v>
                </c:pt>
                <c:pt idx="6">
                  <c:v>2008/2009</c:v>
                </c:pt>
                <c:pt idx="7">
                  <c:v>2009/2010</c:v>
                </c:pt>
                <c:pt idx="8">
                  <c:v>2010/2011</c:v>
                </c:pt>
                <c:pt idx="9">
                  <c:v>2011/2012</c:v>
                </c:pt>
              </c:strCache>
            </c:strRef>
          </c:cat>
          <c:val>
            <c:numRef>
              <c:f>Sheet1!$C$2:$C$11</c:f>
              <c:numCache>
                <c:formatCode>General</c:formatCode>
                <c:ptCount val="10"/>
                <c:pt idx="0">
                  <c:v>0</c:v>
                </c:pt>
                <c:pt idx="1">
                  <c:v>79090</c:v>
                </c:pt>
                <c:pt idx="2">
                  <c:v>85212</c:v>
                </c:pt>
                <c:pt idx="3">
                  <c:v>81658</c:v>
                </c:pt>
                <c:pt idx="4">
                  <c:v>93335</c:v>
                </c:pt>
                <c:pt idx="5">
                  <c:v>75378</c:v>
                </c:pt>
                <c:pt idx="6">
                  <c:v>75594</c:v>
                </c:pt>
                <c:pt idx="7">
                  <c:v>81750</c:v>
                </c:pt>
                <c:pt idx="8">
                  <c:v>76387</c:v>
                </c:pt>
                <c:pt idx="9">
                  <c:v>69192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اجمالى عدد المشتغلين صناعه البلاستيك</c:v>
                </c:pt>
              </c:strCache>
            </c:strRef>
          </c:tx>
          <c:marker>
            <c:symbol val="none"/>
          </c:marker>
          <c:cat>
            <c:strRef>
              <c:f>Sheet1!$A$2:$A$11</c:f>
              <c:strCache>
                <c:ptCount val="10"/>
                <c:pt idx="0">
                  <c:v>2002/2003</c:v>
                </c:pt>
                <c:pt idx="1">
                  <c:v>2003/2004</c:v>
                </c:pt>
                <c:pt idx="2">
                  <c:v>2004/2005</c:v>
                </c:pt>
                <c:pt idx="3">
                  <c:v>2005/2006</c:v>
                </c:pt>
                <c:pt idx="4">
                  <c:v>2006/2007</c:v>
                </c:pt>
                <c:pt idx="5">
                  <c:v>2007/2008</c:v>
                </c:pt>
                <c:pt idx="6">
                  <c:v>2008/2009</c:v>
                </c:pt>
                <c:pt idx="7">
                  <c:v>2009/2010</c:v>
                </c:pt>
                <c:pt idx="8">
                  <c:v>2010/2011</c:v>
                </c:pt>
                <c:pt idx="9">
                  <c:v>2011/2012</c:v>
                </c:pt>
              </c:strCache>
            </c:strRef>
          </c:cat>
          <c:val>
            <c:numRef>
              <c:f>Sheet1!$D$2:$D$11</c:f>
              <c:numCache>
                <c:formatCode>General</c:formatCode>
                <c:ptCount val="10"/>
                <c:pt idx="0">
                  <c:v>0</c:v>
                </c:pt>
                <c:pt idx="1">
                  <c:v>123966</c:v>
                </c:pt>
                <c:pt idx="2">
                  <c:v>127566</c:v>
                </c:pt>
                <c:pt idx="3">
                  <c:v>123220</c:v>
                </c:pt>
                <c:pt idx="4">
                  <c:v>115500</c:v>
                </c:pt>
                <c:pt idx="5">
                  <c:v>98911</c:v>
                </c:pt>
                <c:pt idx="6">
                  <c:v>94657</c:v>
                </c:pt>
                <c:pt idx="7">
                  <c:v>100332</c:v>
                </c:pt>
                <c:pt idx="8">
                  <c:v>95540</c:v>
                </c:pt>
                <c:pt idx="9">
                  <c:v>87779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5669504"/>
        <c:axId val="193639488"/>
      </c:lineChart>
      <c:catAx>
        <c:axId val="1556695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ar-EG"/>
          </a:p>
        </c:txPr>
        <c:crossAx val="193639488"/>
        <c:crosses val="autoZero"/>
        <c:auto val="1"/>
        <c:lblAlgn val="ctr"/>
        <c:lblOffset val="100"/>
        <c:noMultiLvlLbl val="0"/>
      </c:catAx>
      <c:valAx>
        <c:axId val="193639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ar-EG"/>
          </a:p>
        </c:txPr>
        <c:crossAx val="15566950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100"/>
          </a:pPr>
          <a:endParaRPr lang="ar-EG"/>
        </a:p>
      </c:txPr>
    </c:legend>
    <c:plotVisOnly val="1"/>
    <c:dispBlanksAs val="zero"/>
    <c:showDLblsOverMax val="0"/>
  </c:chart>
  <c:txPr>
    <a:bodyPr/>
    <a:lstStyle/>
    <a:p>
      <a:pPr>
        <a:defRPr sz="1799"/>
      </a:pPr>
      <a:endParaRPr lang="ar-EG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القيمة المضافة الصافية قطاع عام</c:v>
                </c:pt>
              </c:strCache>
            </c:strRef>
          </c:tx>
          <c:marker>
            <c:symbol val="none"/>
          </c:marker>
          <c:cat>
            <c:strRef>
              <c:f>Sheet1!$A$2:$A$12</c:f>
              <c:strCache>
                <c:ptCount val="11"/>
                <c:pt idx="1">
                  <c:v>2002/2003</c:v>
                </c:pt>
                <c:pt idx="2">
                  <c:v>2003/2004</c:v>
                </c:pt>
                <c:pt idx="3">
                  <c:v>2004/2005</c:v>
                </c:pt>
                <c:pt idx="4">
                  <c:v>2005/2006</c:v>
                </c:pt>
                <c:pt idx="5">
                  <c:v>2006/2007</c:v>
                </c:pt>
                <c:pt idx="6">
                  <c:v>2007/2008</c:v>
                </c:pt>
                <c:pt idx="7">
                  <c:v>2008/2009</c:v>
                </c:pt>
                <c:pt idx="8">
                  <c:v>2009/2010</c:v>
                </c:pt>
                <c:pt idx="9">
                  <c:v>2010/2011</c:v>
                </c:pt>
                <c:pt idx="10">
                  <c:v>2011/2012</c:v>
                </c:pt>
              </c:strCache>
            </c:str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0</c:v>
                </c:pt>
                <c:pt idx="2">
                  <c:v>1194</c:v>
                </c:pt>
                <c:pt idx="3">
                  <c:v>1165</c:v>
                </c:pt>
                <c:pt idx="4">
                  <c:v>1343</c:v>
                </c:pt>
                <c:pt idx="5">
                  <c:v>791</c:v>
                </c:pt>
                <c:pt idx="6">
                  <c:v>907</c:v>
                </c:pt>
                <c:pt idx="7">
                  <c:v>1023</c:v>
                </c:pt>
                <c:pt idx="8">
                  <c:v>994</c:v>
                </c:pt>
                <c:pt idx="9">
                  <c:v>1204</c:v>
                </c:pt>
                <c:pt idx="10">
                  <c:v>1482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القيمة المضافة الصافية قطاع خاص</c:v>
                </c:pt>
              </c:strCache>
            </c:strRef>
          </c:tx>
          <c:marker>
            <c:symbol val="none"/>
          </c:marker>
          <c:cat>
            <c:strRef>
              <c:f>Sheet1!$A$2:$A$12</c:f>
              <c:strCache>
                <c:ptCount val="11"/>
                <c:pt idx="1">
                  <c:v>2002/2003</c:v>
                </c:pt>
                <c:pt idx="2">
                  <c:v>2003/2004</c:v>
                </c:pt>
                <c:pt idx="3">
                  <c:v>2004/2005</c:v>
                </c:pt>
                <c:pt idx="4">
                  <c:v>2005/2006</c:v>
                </c:pt>
                <c:pt idx="5">
                  <c:v>2006/2007</c:v>
                </c:pt>
                <c:pt idx="6">
                  <c:v>2007/2008</c:v>
                </c:pt>
                <c:pt idx="7">
                  <c:v>2008/2009</c:v>
                </c:pt>
                <c:pt idx="8">
                  <c:v>2009/2010</c:v>
                </c:pt>
                <c:pt idx="9">
                  <c:v>2010/2011</c:v>
                </c:pt>
                <c:pt idx="10">
                  <c:v>2011/2012</c:v>
                </c:pt>
              </c:strCache>
            </c:strRef>
          </c:cat>
          <c:val>
            <c:numRef>
              <c:f>Sheet1!$C$2:$C$12</c:f>
              <c:numCache>
                <c:formatCode>General</c:formatCode>
                <c:ptCount val="11"/>
                <c:pt idx="0">
                  <c:v>0</c:v>
                </c:pt>
                <c:pt idx="2">
                  <c:v>5938</c:v>
                </c:pt>
                <c:pt idx="3">
                  <c:v>6182</c:v>
                </c:pt>
                <c:pt idx="4">
                  <c:v>7929</c:v>
                </c:pt>
                <c:pt idx="5">
                  <c:v>8965</c:v>
                </c:pt>
                <c:pt idx="6">
                  <c:v>8108</c:v>
                </c:pt>
                <c:pt idx="7">
                  <c:v>11374</c:v>
                </c:pt>
                <c:pt idx="8">
                  <c:v>8933</c:v>
                </c:pt>
                <c:pt idx="9">
                  <c:v>12313</c:v>
                </c:pt>
                <c:pt idx="10">
                  <c:v>13681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عدد المشتغلين (قطاع عام)</c:v>
                </c:pt>
              </c:strCache>
            </c:strRef>
          </c:tx>
          <c:marker>
            <c:symbol val="none"/>
          </c:marker>
          <c:cat>
            <c:strRef>
              <c:f>Sheet1!$A$2:$A$12</c:f>
              <c:strCache>
                <c:ptCount val="11"/>
                <c:pt idx="1">
                  <c:v>2002/2003</c:v>
                </c:pt>
                <c:pt idx="2">
                  <c:v>2003/2004</c:v>
                </c:pt>
                <c:pt idx="3">
                  <c:v>2004/2005</c:v>
                </c:pt>
                <c:pt idx="4">
                  <c:v>2005/2006</c:v>
                </c:pt>
                <c:pt idx="5">
                  <c:v>2006/2007</c:v>
                </c:pt>
                <c:pt idx="6">
                  <c:v>2007/2008</c:v>
                </c:pt>
                <c:pt idx="7">
                  <c:v>2008/2009</c:v>
                </c:pt>
                <c:pt idx="8">
                  <c:v>2009/2010</c:v>
                </c:pt>
                <c:pt idx="9">
                  <c:v>2010/2011</c:v>
                </c:pt>
                <c:pt idx="10">
                  <c:v>2011/2012</c:v>
                </c:pt>
              </c:strCache>
            </c:strRef>
          </c:cat>
          <c:val>
            <c:numRef>
              <c:f>Sheet1!$D$2:$D$12</c:f>
              <c:numCache>
                <c:formatCode>General</c:formatCode>
                <c:ptCount val="11"/>
                <c:pt idx="2">
                  <c:v>44876</c:v>
                </c:pt>
                <c:pt idx="3">
                  <c:v>42354</c:v>
                </c:pt>
                <c:pt idx="4">
                  <c:v>41562</c:v>
                </c:pt>
                <c:pt idx="5">
                  <c:v>22165</c:v>
                </c:pt>
                <c:pt idx="6">
                  <c:v>23524</c:v>
                </c:pt>
                <c:pt idx="7">
                  <c:v>19063</c:v>
                </c:pt>
                <c:pt idx="8">
                  <c:v>18582</c:v>
                </c:pt>
                <c:pt idx="9">
                  <c:v>19153</c:v>
                </c:pt>
                <c:pt idx="10">
                  <c:v>17987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عدد المشتغلين (قطاع خاص)</c:v>
                </c:pt>
              </c:strCache>
            </c:strRef>
          </c:tx>
          <c:marker>
            <c:symbol val="none"/>
          </c:marker>
          <c:cat>
            <c:strRef>
              <c:f>Sheet1!$A$2:$A$12</c:f>
              <c:strCache>
                <c:ptCount val="11"/>
                <c:pt idx="1">
                  <c:v>2002/2003</c:v>
                </c:pt>
                <c:pt idx="2">
                  <c:v>2003/2004</c:v>
                </c:pt>
                <c:pt idx="3">
                  <c:v>2004/2005</c:v>
                </c:pt>
                <c:pt idx="4">
                  <c:v>2005/2006</c:v>
                </c:pt>
                <c:pt idx="5">
                  <c:v>2006/2007</c:v>
                </c:pt>
                <c:pt idx="6">
                  <c:v>2007/2008</c:v>
                </c:pt>
                <c:pt idx="7">
                  <c:v>2008/2009</c:v>
                </c:pt>
                <c:pt idx="8">
                  <c:v>2009/2010</c:v>
                </c:pt>
                <c:pt idx="9">
                  <c:v>2010/2011</c:v>
                </c:pt>
                <c:pt idx="10">
                  <c:v>2011/2012</c:v>
                </c:pt>
              </c:strCache>
            </c:strRef>
          </c:cat>
          <c:val>
            <c:numRef>
              <c:f>Sheet1!$E$2:$E$12</c:f>
              <c:numCache>
                <c:formatCode>General</c:formatCode>
                <c:ptCount val="11"/>
                <c:pt idx="2">
                  <c:v>79090</c:v>
                </c:pt>
                <c:pt idx="3">
                  <c:v>85212</c:v>
                </c:pt>
                <c:pt idx="4">
                  <c:v>81658</c:v>
                </c:pt>
                <c:pt idx="5">
                  <c:v>93335</c:v>
                </c:pt>
                <c:pt idx="6">
                  <c:v>75387</c:v>
                </c:pt>
                <c:pt idx="7">
                  <c:v>75594</c:v>
                </c:pt>
                <c:pt idx="8">
                  <c:v>81750</c:v>
                </c:pt>
                <c:pt idx="9">
                  <c:v>76387</c:v>
                </c:pt>
                <c:pt idx="10">
                  <c:v>69192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انتاجية العامل قطاع عام</c:v>
                </c:pt>
              </c:strCache>
            </c:strRef>
          </c:tx>
          <c:marker>
            <c:symbol val="none"/>
          </c:marker>
          <c:cat>
            <c:strRef>
              <c:f>Sheet1!$A$2:$A$12</c:f>
              <c:strCache>
                <c:ptCount val="11"/>
                <c:pt idx="1">
                  <c:v>2002/2003</c:v>
                </c:pt>
                <c:pt idx="2">
                  <c:v>2003/2004</c:v>
                </c:pt>
                <c:pt idx="3">
                  <c:v>2004/2005</c:v>
                </c:pt>
                <c:pt idx="4">
                  <c:v>2005/2006</c:v>
                </c:pt>
                <c:pt idx="5">
                  <c:v>2006/2007</c:v>
                </c:pt>
                <c:pt idx="6">
                  <c:v>2007/2008</c:v>
                </c:pt>
                <c:pt idx="7">
                  <c:v>2008/2009</c:v>
                </c:pt>
                <c:pt idx="8">
                  <c:v>2009/2010</c:v>
                </c:pt>
                <c:pt idx="9">
                  <c:v>2010/2011</c:v>
                </c:pt>
                <c:pt idx="10">
                  <c:v>2011/2012</c:v>
                </c:pt>
              </c:strCache>
            </c:strRef>
          </c:cat>
          <c:val>
            <c:numRef>
              <c:f>Sheet1!$F$2:$F$12</c:f>
              <c:numCache>
                <c:formatCode>General</c:formatCode>
                <c:ptCount val="11"/>
                <c:pt idx="0">
                  <c:v>0</c:v>
                </c:pt>
                <c:pt idx="2">
                  <c:v>26606</c:v>
                </c:pt>
                <c:pt idx="3">
                  <c:v>27506</c:v>
                </c:pt>
                <c:pt idx="4">
                  <c:v>32313</c:v>
                </c:pt>
                <c:pt idx="5">
                  <c:v>35687</c:v>
                </c:pt>
                <c:pt idx="6">
                  <c:v>38556</c:v>
                </c:pt>
                <c:pt idx="7">
                  <c:v>53664</c:v>
                </c:pt>
                <c:pt idx="8">
                  <c:v>53493</c:v>
                </c:pt>
                <c:pt idx="9">
                  <c:v>62862</c:v>
                </c:pt>
                <c:pt idx="10">
                  <c:v>82393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انتاجية العامل قطاع خاص</c:v>
                </c:pt>
              </c:strCache>
            </c:strRef>
          </c:tx>
          <c:marker>
            <c:symbol val="none"/>
          </c:marker>
          <c:cat>
            <c:strRef>
              <c:f>Sheet1!$A$2:$A$12</c:f>
              <c:strCache>
                <c:ptCount val="11"/>
                <c:pt idx="1">
                  <c:v>2002/2003</c:v>
                </c:pt>
                <c:pt idx="2">
                  <c:v>2003/2004</c:v>
                </c:pt>
                <c:pt idx="3">
                  <c:v>2004/2005</c:v>
                </c:pt>
                <c:pt idx="4">
                  <c:v>2005/2006</c:v>
                </c:pt>
                <c:pt idx="5">
                  <c:v>2006/2007</c:v>
                </c:pt>
                <c:pt idx="6">
                  <c:v>2007/2008</c:v>
                </c:pt>
                <c:pt idx="7">
                  <c:v>2008/2009</c:v>
                </c:pt>
                <c:pt idx="8">
                  <c:v>2009/2010</c:v>
                </c:pt>
                <c:pt idx="9">
                  <c:v>2010/2011</c:v>
                </c:pt>
                <c:pt idx="10">
                  <c:v>2011/2012</c:v>
                </c:pt>
              </c:strCache>
            </c:strRef>
          </c:cat>
          <c:val>
            <c:numRef>
              <c:f>Sheet1!$G$2:$G$12</c:f>
              <c:numCache>
                <c:formatCode>General</c:formatCode>
                <c:ptCount val="11"/>
                <c:pt idx="0">
                  <c:v>0</c:v>
                </c:pt>
                <c:pt idx="2">
                  <c:v>75079</c:v>
                </c:pt>
                <c:pt idx="3">
                  <c:v>72548</c:v>
                </c:pt>
                <c:pt idx="4">
                  <c:v>97100</c:v>
                </c:pt>
                <c:pt idx="5">
                  <c:v>96052</c:v>
                </c:pt>
                <c:pt idx="6">
                  <c:v>107552</c:v>
                </c:pt>
                <c:pt idx="7">
                  <c:v>150462</c:v>
                </c:pt>
                <c:pt idx="8">
                  <c:v>109272</c:v>
                </c:pt>
                <c:pt idx="9">
                  <c:v>161192</c:v>
                </c:pt>
                <c:pt idx="10">
                  <c:v>197725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5671040"/>
        <c:axId val="193637760"/>
      </c:lineChart>
      <c:catAx>
        <c:axId val="15567104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ar-EG"/>
          </a:p>
        </c:txPr>
        <c:crossAx val="193637760"/>
        <c:crosses val="autoZero"/>
        <c:auto val="1"/>
        <c:lblAlgn val="ctr"/>
        <c:lblOffset val="100"/>
        <c:noMultiLvlLbl val="0"/>
      </c:catAx>
      <c:valAx>
        <c:axId val="1936377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ar-EG"/>
          </a:p>
        </c:txPr>
        <c:crossAx val="1556710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5503086419753087"/>
          <c:y val="6.7125603987482893E-2"/>
          <c:w val="0.33570987654320988"/>
          <c:h val="0.89380889768652549"/>
        </c:manualLayout>
      </c:layout>
      <c:overlay val="0"/>
      <c:txPr>
        <a:bodyPr/>
        <a:lstStyle/>
        <a:p>
          <a:pPr>
            <a:defRPr sz="1100"/>
          </a:pPr>
          <a:endParaRPr lang="ar-EG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ar-EG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الأجور والتأمينات (قطاع عام)</c:v>
                </c:pt>
              </c:strCache>
            </c:strRef>
          </c:tx>
          <c:marker>
            <c:symbol val="none"/>
          </c:marker>
          <c:cat>
            <c:strRef>
              <c:f>Sheet1!$A$2:$A$11</c:f>
              <c:strCache>
                <c:ptCount val="10"/>
                <c:pt idx="1">
                  <c:v>2003/2004</c:v>
                </c:pt>
                <c:pt idx="2">
                  <c:v>2004/2005</c:v>
                </c:pt>
                <c:pt idx="3">
                  <c:v>2005/2006</c:v>
                </c:pt>
                <c:pt idx="4">
                  <c:v>2006/2007</c:v>
                </c:pt>
                <c:pt idx="5">
                  <c:v>2007/2008</c:v>
                </c:pt>
                <c:pt idx="6">
                  <c:v>2008/2009</c:v>
                </c:pt>
                <c:pt idx="7">
                  <c:v>2009/2010</c:v>
                </c:pt>
                <c:pt idx="8">
                  <c:v>2010/2011</c:v>
                </c:pt>
                <c:pt idx="9">
                  <c:v>2011/2012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0</c:v>
                </c:pt>
                <c:pt idx="1">
                  <c:v>734640</c:v>
                </c:pt>
                <c:pt idx="2">
                  <c:v>783422</c:v>
                </c:pt>
                <c:pt idx="3">
                  <c:v>861420</c:v>
                </c:pt>
                <c:pt idx="4">
                  <c:v>645077</c:v>
                </c:pt>
                <c:pt idx="5">
                  <c:v>700174</c:v>
                </c:pt>
                <c:pt idx="6">
                  <c:v>770910</c:v>
                </c:pt>
                <c:pt idx="7">
                  <c:v>814730</c:v>
                </c:pt>
                <c:pt idx="8">
                  <c:v>963099</c:v>
                </c:pt>
                <c:pt idx="9">
                  <c:v>1218566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الأجور والتأمينات (قطاع خاص)</c:v>
                </c:pt>
              </c:strCache>
            </c:strRef>
          </c:tx>
          <c:marker>
            <c:symbol val="none"/>
          </c:marker>
          <c:cat>
            <c:strRef>
              <c:f>Sheet1!$A$2:$A$11</c:f>
              <c:strCache>
                <c:ptCount val="10"/>
                <c:pt idx="1">
                  <c:v>2003/2004</c:v>
                </c:pt>
                <c:pt idx="2">
                  <c:v>2004/2005</c:v>
                </c:pt>
                <c:pt idx="3">
                  <c:v>2005/2006</c:v>
                </c:pt>
                <c:pt idx="4">
                  <c:v>2006/2007</c:v>
                </c:pt>
                <c:pt idx="5">
                  <c:v>2007/2008</c:v>
                </c:pt>
                <c:pt idx="6">
                  <c:v>2008/2009</c:v>
                </c:pt>
                <c:pt idx="7">
                  <c:v>2009/2010</c:v>
                </c:pt>
                <c:pt idx="8">
                  <c:v>2010/2011</c:v>
                </c:pt>
                <c:pt idx="9">
                  <c:v>2011/2012</c:v>
                </c:pt>
              </c:strCache>
            </c:strRef>
          </c:cat>
          <c:val>
            <c:numRef>
              <c:f>Sheet1!$C$2:$C$11</c:f>
              <c:numCache>
                <c:formatCode>General</c:formatCode>
                <c:ptCount val="10"/>
                <c:pt idx="0">
                  <c:v>0</c:v>
                </c:pt>
                <c:pt idx="1">
                  <c:v>1001508</c:v>
                </c:pt>
                <c:pt idx="2">
                  <c:v>1242704</c:v>
                </c:pt>
                <c:pt idx="3">
                  <c:v>1232130</c:v>
                </c:pt>
                <c:pt idx="4">
                  <c:v>1555311</c:v>
                </c:pt>
                <c:pt idx="5">
                  <c:v>971173</c:v>
                </c:pt>
                <c:pt idx="6">
                  <c:v>1346081</c:v>
                </c:pt>
                <c:pt idx="7">
                  <c:v>2237594</c:v>
                </c:pt>
                <c:pt idx="8">
                  <c:v>1987695</c:v>
                </c:pt>
                <c:pt idx="9">
                  <c:v>2116159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عدد المشتغلين (قطاع عام)</c:v>
                </c:pt>
              </c:strCache>
            </c:strRef>
          </c:tx>
          <c:marker>
            <c:symbol val="none"/>
          </c:marker>
          <c:cat>
            <c:strRef>
              <c:f>Sheet1!$A$2:$A$11</c:f>
              <c:strCache>
                <c:ptCount val="10"/>
                <c:pt idx="1">
                  <c:v>2003/2004</c:v>
                </c:pt>
                <c:pt idx="2">
                  <c:v>2004/2005</c:v>
                </c:pt>
                <c:pt idx="3">
                  <c:v>2005/2006</c:v>
                </c:pt>
                <c:pt idx="4">
                  <c:v>2006/2007</c:v>
                </c:pt>
                <c:pt idx="5">
                  <c:v>2007/2008</c:v>
                </c:pt>
                <c:pt idx="6">
                  <c:v>2008/2009</c:v>
                </c:pt>
                <c:pt idx="7">
                  <c:v>2009/2010</c:v>
                </c:pt>
                <c:pt idx="8">
                  <c:v>2010/2011</c:v>
                </c:pt>
                <c:pt idx="9">
                  <c:v>2011/2012</c:v>
                </c:pt>
              </c:strCache>
            </c:strRef>
          </c:cat>
          <c:val>
            <c:numRef>
              <c:f>Sheet1!$D$2:$D$11</c:f>
              <c:numCache>
                <c:formatCode>General</c:formatCode>
                <c:ptCount val="10"/>
                <c:pt idx="1">
                  <c:v>44876</c:v>
                </c:pt>
                <c:pt idx="2">
                  <c:v>42354</c:v>
                </c:pt>
                <c:pt idx="3">
                  <c:v>41562</c:v>
                </c:pt>
                <c:pt idx="4">
                  <c:v>22165</c:v>
                </c:pt>
                <c:pt idx="5">
                  <c:v>23524</c:v>
                </c:pt>
                <c:pt idx="6">
                  <c:v>19063</c:v>
                </c:pt>
                <c:pt idx="7">
                  <c:v>18582</c:v>
                </c:pt>
                <c:pt idx="8">
                  <c:v>19153</c:v>
                </c:pt>
                <c:pt idx="9">
                  <c:v>17987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عدد المشتغلين (قطاع خاص)</c:v>
                </c:pt>
              </c:strCache>
            </c:strRef>
          </c:tx>
          <c:marker>
            <c:symbol val="none"/>
          </c:marker>
          <c:cat>
            <c:strRef>
              <c:f>Sheet1!$A$2:$A$11</c:f>
              <c:strCache>
                <c:ptCount val="10"/>
                <c:pt idx="1">
                  <c:v>2003/2004</c:v>
                </c:pt>
                <c:pt idx="2">
                  <c:v>2004/2005</c:v>
                </c:pt>
                <c:pt idx="3">
                  <c:v>2005/2006</c:v>
                </c:pt>
                <c:pt idx="4">
                  <c:v>2006/2007</c:v>
                </c:pt>
                <c:pt idx="5">
                  <c:v>2007/2008</c:v>
                </c:pt>
                <c:pt idx="6">
                  <c:v>2008/2009</c:v>
                </c:pt>
                <c:pt idx="7">
                  <c:v>2009/2010</c:v>
                </c:pt>
                <c:pt idx="8">
                  <c:v>2010/2011</c:v>
                </c:pt>
                <c:pt idx="9">
                  <c:v>2011/2012</c:v>
                </c:pt>
              </c:strCache>
            </c:strRef>
          </c:cat>
          <c:val>
            <c:numRef>
              <c:f>Sheet1!$E$2:$E$11</c:f>
              <c:numCache>
                <c:formatCode>General</c:formatCode>
                <c:ptCount val="10"/>
                <c:pt idx="1">
                  <c:v>79090</c:v>
                </c:pt>
                <c:pt idx="2">
                  <c:v>85212</c:v>
                </c:pt>
                <c:pt idx="3">
                  <c:v>81658</c:v>
                </c:pt>
                <c:pt idx="4">
                  <c:v>93335</c:v>
                </c:pt>
                <c:pt idx="5">
                  <c:v>75387</c:v>
                </c:pt>
                <c:pt idx="6">
                  <c:v>75594</c:v>
                </c:pt>
                <c:pt idx="7">
                  <c:v>81750</c:v>
                </c:pt>
                <c:pt idx="8">
                  <c:v>76387</c:v>
                </c:pt>
                <c:pt idx="9">
                  <c:v>69192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متوسط أجر العامل (قطاع عام)</c:v>
                </c:pt>
              </c:strCache>
            </c:strRef>
          </c:tx>
          <c:marker>
            <c:symbol val="none"/>
          </c:marker>
          <c:cat>
            <c:strRef>
              <c:f>Sheet1!$A$2:$A$11</c:f>
              <c:strCache>
                <c:ptCount val="10"/>
                <c:pt idx="1">
                  <c:v>2003/2004</c:v>
                </c:pt>
                <c:pt idx="2">
                  <c:v>2004/2005</c:v>
                </c:pt>
                <c:pt idx="3">
                  <c:v>2005/2006</c:v>
                </c:pt>
                <c:pt idx="4">
                  <c:v>2006/2007</c:v>
                </c:pt>
                <c:pt idx="5">
                  <c:v>2007/2008</c:v>
                </c:pt>
                <c:pt idx="6">
                  <c:v>2008/2009</c:v>
                </c:pt>
                <c:pt idx="7">
                  <c:v>2009/2010</c:v>
                </c:pt>
                <c:pt idx="8">
                  <c:v>2010/2011</c:v>
                </c:pt>
                <c:pt idx="9">
                  <c:v>2011/2012</c:v>
                </c:pt>
              </c:strCache>
            </c:strRef>
          </c:cat>
          <c:val>
            <c:numRef>
              <c:f>Sheet1!$F$2:$F$11</c:f>
              <c:numCache>
                <c:formatCode>General</c:formatCode>
                <c:ptCount val="10"/>
                <c:pt idx="0">
                  <c:v>0</c:v>
                </c:pt>
                <c:pt idx="1">
                  <c:v>16370</c:v>
                </c:pt>
                <c:pt idx="2">
                  <c:v>18497</c:v>
                </c:pt>
                <c:pt idx="3">
                  <c:v>20726</c:v>
                </c:pt>
                <c:pt idx="4">
                  <c:v>29103</c:v>
                </c:pt>
                <c:pt idx="5">
                  <c:v>29741</c:v>
                </c:pt>
                <c:pt idx="6">
                  <c:v>40440</c:v>
                </c:pt>
                <c:pt idx="7">
                  <c:v>43845</c:v>
                </c:pt>
                <c:pt idx="8">
                  <c:v>50284</c:v>
                </c:pt>
                <c:pt idx="9">
                  <c:v>67747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متوسط أجر العامل (قطاع خاص)</c:v>
                </c:pt>
              </c:strCache>
            </c:strRef>
          </c:tx>
          <c:marker>
            <c:symbol val="none"/>
          </c:marker>
          <c:cat>
            <c:strRef>
              <c:f>Sheet1!$A$2:$A$11</c:f>
              <c:strCache>
                <c:ptCount val="10"/>
                <c:pt idx="1">
                  <c:v>2003/2004</c:v>
                </c:pt>
                <c:pt idx="2">
                  <c:v>2004/2005</c:v>
                </c:pt>
                <c:pt idx="3">
                  <c:v>2005/2006</c:v>
                </c:pt>
                <c:pt idx="4">
                  <c:v>2006/2007</c:v>
                </c:pt>
                <c:pt idx="5">
                  <c:v>2007/2008</c:v>
                </c:pt>
                <c:pt idx="6">
                  <c:v>2008/2009</c:v>
                </c:pt>
                <c:pt idx="7">
                  <c:v>2009/2010</c:v>
                </c:pt>
                <c:pt idx="8">
                  <c:v>2010/2011</c:v>
                </c:pt>
                <c:pt idx="9">
                  <c:v>2011/2012</c:v>
                </c:pt>
              </c:strCache>
            </c:strRef>
          </c:cat>
          <c:val>
            <c:numRef>
              <c:f>Sheet1!$G$2:$G$11</c:f>
              <c:numCache>
                <c:formatCode>General</c:formatCode>
                <c:ptCount val="10"/>
                <c:pt idx="0">
                  <c:v>0</c:v>
                </c:pt>
                <c:pt idx="1">
                  <c:v>12662</c:v>
                </c:pt>
                <c:pt idx="2">
                  <c:v>14583</c:v>
                </c:pt>
                <c:pt idx="3">
                  <c:v>15088</c:v>
                </c:pt>
                <c:pt idx="4">
                  <c:v>16663</c:v>
                </c:pt>
                <c:pt idx="5">
                  <c:v>12882</c:v>
                </c:pt>
                <c:pt idx="6">
                  <c:v>17806</c:v>
                </c:pt>
                <c:pt idx="7">
                  <c:v>27371</c:v>
                </c:pt>
                <c:pt idx="8">
                  <c:v>26021</c:v>
                </c:pt>
                <c:pt idx="9">
                  <c:v>30583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5758592"/>
        <c:axId val="193640640"/>
      </c:lineChart>
      <c:catAx>
        <c:axId val="15575859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ar-EG"/>
          </a:p>
        </c:txPr>
        <c:crossAx val="193640640"/>
        <c:crosses val="autoZero"/>
        <c:auto val="1"/>
        <c:lblAlgn val="ctr"/>
        <c:lblOffset val="100"/>
        <c:noMultiLvlLbl val="0"/>
      </c:catAx>
      <c:valAx>
        <c:axId val="1936406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ar-EG"/>
          </a:p>
        </c:txPr>
        <c:crossAx val="15575859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100"/>
          </a:pPr>
          <a:endParaRPr lang="ar-EG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ar-EG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انتاجية العامل</c:v>
                </c:pt>
              </c:strCache>
            </c:strRef>
          </c:tx>
          <c:marker>
            <c:symbol val="none"/>
          </c:marker>
          <c:cat>
            <c:strRef>
              <c:f>Sheet1!$A$2:$A$12</c:f>
              <c:strCache>
                <c:ptCount val="11"/>
                <c:pt idx="2">
                  <c:v>2003/2004</c:v>
                </c:pt>
                <c:pt idx="3">
                  <c:v>2004/2005</c:v>
                </c:pt>
                <c:pt idx="4">
                  <c:v>2005/2006</c:v>
                </c:pt>
                <c:pt idx="5">
                  <c:v>2006/2007</c:v>
                </c:pt>
                <c:pt idx="6">
                  <c:v>2007/2008</c:v>
                </c:pt>
                <c:pt idx="7">
                  <c:v>2008/2009</c:v>
                </c:pt>
                <c:pt idx="8">
                  <c:v>2009/2010</c:v>
                </c:pt>
                <c:pt idx="9">
                  <c:v>2010/2011</c:v>
                </c:pt>
                <c:pt idx="10">
                  <c:v>2011/2012</c:v>
                </c:pt>
              </c:strCache>
            </c:str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26606</c:v>
                </c:pt>
                <c:pt idx="3">
                  <c:v>27506</c:v>
                </c:pt>
                <c:pt idx="4">
                  <c:v>32313</c:v>
                </c:pt>
                <c:pt idx="5">
                  <c:v>35687</c:v>
                </c:pt>
                <c:pt idx="6">
                  <c:v>38556</c:v>
                </c:pt>
                <c:pt idx="7">
                  <c:v>53664</c:v>
                </c:pt>
                <c:pt idx="8">
                  <c:v>53493</c:v>
                </c:pt>
                <c:pt idx="9">
                  <c:v>62862</c:v>
                </c:pt>
                <c:pt idx="10">
                  <c:v>82393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انتاجية العامل قطاع خاص</c:v>
                </c:pt>
              </c:strCache>
            </c:strRef>
          </c:tx>
          <c:marker>
            <c:symbol val="none"/>
          </c:marker>
          <c:cat>
            <c:strRef>
              <c:f>Sheet1!$A$2:$A$12</c:f>
              <c:strCache>
                <c:ptCount val="11"/>
                <c:pt idx="2">
                  <c:v>2003/2004</c:v>
                </c:pt>
                <c:pt idx="3">
                  <c:v>2004/2005</c:v>
                </c:pt>
                <c:pt idx="4">
                  <c:v>2005/2006</c:v>
                </c:pt>
                <c:pt idx="5">
                  <c:v>2006/2007</c:v>
                </c:pt>
                <c:pt idx="6">
                  <c:v>2007/2008</c:v>
                </c:pt>
                <c:pt idx="7">
                  <c:v>2008/2009</c:v>
                </c:pt>
                <c:pt idx="8">
                  <c:v>2009/2010</c:v>
                </c:pt>
                <c:pt idx="9">
                  <c:v>2010/2011</c:v>
                </c:pt>
                <c:pt idx="10">
                  <c:v>2011/2012</c:v>
                </c:pt>
              </c:strCache>
            </c:strRef>
          </c:cat>
          <c:val>
            <c:numRef>
              <c:f>Sheet1!$C$2:$C$12</c:f>
              <c:numCache>
                <c:formatCode>General</c:formatCode>
                <c:ptCount val="11"/>
                <c:pt idx="0">
                  <c:v>0</c:v>
                </c:pt>
                <c:pt idx="2">
                  <c:v>75079</c:v>
                </c:pt>
                <c:pt idx="3">
                  <c:v>72548</c:v>
                </c:pt>
                <c:pt idx="4">
                  <c:v>97100</c:v>
                </c:pt>
                <c:pt idx="5">
                  <c:v>96052</c:v>
                </c:pt>
                <c:pt idx="6">
                  <c:v>107552</c:v>
                </c:pt>
                <c:pt idx="7">
                  <c:v>150462</c:v>
                </c:pt>
                <c:pt idx="8">
                  <c:v>109272</c:v>
                </c:pt>
                <c:pt idx="9">
                  <c:v>161192</c:v>
                </c:pt>
                <c:pt idx="10">
                  <c:v>197725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متوسط أجر العامل</c:v>
                </c:pt>
              </c:strCache>
            </c:strRef>
          </c:tx>
          <c:marker>
            <c:symbol val="none"/>
          </c:marker>
          <c:cat>
            <c:strRef>
              <c:f>Sheet1!$A$2:$A$12</c:f>
              <c:strCache>
                <c:ptCount val="11"/>
                <c:pt idx="2">
                  <c:v>2003/2004</c:v>
                </c:pt>
                <c:pt idx="3">
                  <c:v>2004/2005</c:v>
                </c:pt>
                <c:pt idx="4">
                  <c:v>2005/2006</c:v>
                </c:pt>
                <c:pt idx="5">
                  <c:v>2006/2007</c:v>
                </c:pt>
                <c:pt idx="6">
                  <c:v>2007/2008</c:v>
                </c:pt>
                <c:pt idx="7">
                  <c:v>2008/2009</c:v>
                </c:pt>
                <c:pt idx="8">
                  <c:v>2009/2010</c:v>
                </c:pt>
                <c:pt idx="9">
                  <c:v>2010/2011</c:v>
                </c:pt>
                <c:pt idx="10">
                  <c:v>2011/2012</c:v>
                </c:pt>
              </c:strCache>
            </c:strRef>
          </c:cat>
          <c:val>
            <c:numRef>
              <c:f>Sheet1!$D$2:$D$12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16370</c:v>
                </c:pt>
                <c:pt idx="3">
                  <c:v>18497</c:v>
                </c:pt>
                <c:pt idx="4">
                  <c:v>20726</c:v>
                </c:pt>
                <c:pt idx="5">
                  <c:v>29103</c:v>
                </c:pt>
                <c:pt idx="6">
                  <c:v>29741</c:v>
                </c:pt>
                <c:pt idx="7">
                  <c:v>40440</c:v>
                </c:pt>
                <c:pt idx="8">
                  <c:v>43845</c:v>
                </c:pt>
                <c:pt idx="9">
                  <c:v>50284</c:v>
                </c:pt>
                <c:pt idx="10">
                  <c:v>67747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متوسط أجر العامل2</c:v>
                </c:pt>
              </c:strCache>
            </c:strRef>
          </c:tx>
          <c:marker>
            <c:symbol val="none"/>
          </c:marker>
          <c:cat>
            <c:strRef>
              <c:f>Sheet1!$A$2:$A$12</c:f>
              <c:strCache>
                <c:ptCount val="11"/>
                <c:pt idx="2">
                  <c:v>2003/2004</c:v>
                </c:pt>
                <c:pt idx="3">
                  <c:v>2004/2005</c:v>
                </c:pt>
                <c:pt idx="4">
                  <c:v>2005/2006</c:v>
                </c:pt>
                <c:pt idx="5">
                  <c:v>2006/2007</c:v>
                </c:pt>
                <c:pt idx="6">
                  <c:v>2007/2008</c:v>
                </c:pt>
                <c:pt idx="7">
                  <c:v>2008/2009</c:v>
                </c:pt>
                <c:pt idx="8">
                  <c:v>2009/2010</c:v>
                </c:pt>
                <c:pt idx="9">
                  <c:v>2010/2011</c:v>
                </c:pt>
                <c:pt idx="10">
                  <c:v>2011/2012</c:v>
                </c:pt>
              </c:strCache>
            </c:strRef>
          </c:cat>
          <c:val>
            <c:numRef>
              <c:f>Sheet1!$E$2:$E$12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12662</c:v>
                </c:pt>
                <c:pt idx="3">
                  <c:v>14583</c:v>
                </c:pt>
                <c:pt idx="4">
                  <c:v>15088</c:v>
                </c:pt>
                <c:pt idx="5">
                  <c:v>16663</c:v>
                </c:pt>
                <c:pt idx="6">
                  <c:v>12882</c:v>
                </c:pt>
                <c:pt idx="7">
                  <c:v>17806</c:v>
                </c:pt>
                <c:pt idx="8">
                  <c:v>27371</c:v>
                </c:pt>
                <c:pt idx="9">
                  <c:v>26021</c:v>
                </c:pt>
                <c:pt idx="10">
                  <c:v>30583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5760640"/>
        <c:axId val="198691072"/>
      </c:lineChart>
      <c:catAx>
        <c:axId val="15576064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ar-EG"/>
          </a:p>
        </c:txPr>
        <c:crossAx val="198691072"/>
        <c:crosses val="autoZero"/>
        <c:auto val="1"/>
        <c:lblAlgn val="ctr"/>
        <c:lblOffset val="100"/>
        <c:noMultiLvlLbl val="0"/>
      </c:catAx>
      <c:valAx>
        <c:axId val="1986910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ar-EG"/>
          </a:p>
        </c:txPr>
        <c:crossAx val="15576064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100"/>
          </a:pPr>
          <a:endParaRPr lang="ar-EG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ar-EG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084256829007486"/>
          <c:y val="3.6443293946503759E-2"/>
          <c:w val="0.56443520948770287"/>
          <c:h val="0.7025994246970203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عدد منشآت صناعة البلاستيك</c:v>
                </c:pt>
              </c:strCache>
            </c:strRef>
          </c:tx>
          <c:marker>
            <c:symbol val="none"/>
          </c:marker>
          <c:cat>
            <c:strRef>
              <c:f>Sheet1!$A$2:$A$11</c:f>
              <c:strCache>
                <c:ptCount val="10"/>
                <c:pt idx="0">
                  <c:v>2002/2003</c:v>
                </c:pt>
                <c:pt idx="1">
                  <c:v>2003/2004</c:v>
                </c:pt>
                <c:pt idx="2">
                  <c:v>2004/2005</c:v>
                </c:pt>
                <c:pt idx="3">
                  <c:v>2005/2006</c:v>
                </c:pt>
                <c:pt idx="4">
                  <c:v>2006/2007</c:v>
                </c:pt>
                <c:pt idx="5">
                  <c:v>2007/2008</c:v>
                </c:pt>
                <c:pt idx="6">
                  <c:v>2008/2009</c:v>
                </c:pt>
                <c:pt idx="7">
                  <c:v>2009/2010</c:v>
                </c:pt>
                <c:pt idx="8">
                  <c:v>2010/2011</c:v>
                </c:pt>
                <c:pt idx="9">
                  <c:v>2011/2012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1">
                  <c:v>848</c:v>
                </c:pt>
                <c:pt idx="2">
                  <c:v>860</c:v>
                </c:pt>
                <c:pt idx="3">
                  <c:v>800</c:v>
                </c:pt>
                <c:pt idx="4">
                  <c:v>829</c:v>
                </c:pt>
                <c:pt idx="5">
                  <c:v>928</c:v>
                </c:pt>
                <c:pt idx="6">
                  <c:v>924</c:v>
                </c:pt>
                <c:pt idx="7">
                  <c:v>960</c:v>
                </c:pt>
                <c:pt idx="8">
                  <c:v>873</c:v>
                </c:pt>
                <c:pt idx="9">
                  <c:v>766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اجمالي عدد المنشآت في الصناعات التحويلية</c:v>
                </c:pt>
              </c:strCache>
            </c:strRef>
          </c:tx>
          <c:marker>
            <c:symbol val="none"/>
          </c:marker>
          <c:cat>
            <c:strRef>
              <c:f>Sheet1!$A$2:$A$11</c:f>
              <c:strCache>
                <c:ptCount val="10"/>
                <c:pt idx="0">
                  <c:v>2002/2003</c:v>
                </c:pt>
                <c:pt idx="1">
                  <c:v>2003/2004</c:v>
                </c:pt>
                <c:pt idx="2">
                  <c:v>2004/2005</c:v>
                </c:pt>
                <c:pt idx="3">
                  <c:v>2005/2006</c:v>
                </c:pt>
                <c:pt idx="4">
                  <c:v>2006/2007</c:v>
                </c:pt>
                <c:pt idx="5">
                  <c:v>2007/2008</c:v>
                </c:pt>
                <c:pt idx="6">
                  <c:v>2008/2009</c:v>
                </c:pt>
                <c:pt idx="7">
                  <c:v>2009/2010</c:v>
                </c:pt>
                <c:pt idx="8">
                  <c:v>2010/2011</c:v>
                </c:pt>
                <c:pt idx="9">
                  <c:v>2011/2012</c:v>
                </c:pt>
              </c:strCache>
            </c:strRef>
          </c:cat>
          <c:val>
            <c:numRef>
              <c:f>Sheet1!$C$2:$C$11</c:f>
              <c:numCache>
                <c:formatCode>General</c:formatCode>
                <c:ptCount val="10"/>
                <c:pt idx="1">
                  <c:v>9671</c:v>
                </c:pt>
                <c:pt idx="2">
                  <c:v>9406</c:v>
                </c:pt>
                <c:pt idx="3">
                  <c:v>9128</c:v>
                </c:pt>
                <c:pt idx="4">
                  <c:v>9190</c:v>
                </c:pt>
                <c:pt idx="5">
                  <c:v>9740</c:v>
                </c:pt>
                <c:pt idx="6">
                  <c:v>9885</c:v>
                </c:pt>
                <c:pt idx="7">
                  <c:v>9909</c:v>
                </c:pt>
                <c:pt idx="8">
                  <c:v>9426</c:v>
                </c:pt>
                <c:pt idx="9">
                  <c:v>9102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النسبة المئوية لعدد منشآت صناعة البلاستيك بالنسبة الى الصناعات التحويلية%</c:v>
                </c:pt>
              </c:strCache>
            </c:strRef>
          </c:tx>
          <c:marker>
            <c:symbol val="none"/>
          </c:marker>
          <c:cat>
            <c:strRef>
              <c:f>Sheet1!$A$2:$A$11</c:f>
              <c:strCache>
                <c:ptCount val="10"/>
                <c:pt idx="0">
                  <c:v>2002/2003</c:v>
                </c:pt>
                <c:pt idx="1">
                  <c:v>2003/2004</c:v>
                </c:pt>
                <c:pt idx="2">
                  <c:v>2004/2005</c:v>
                </c:pt>
                <c:pt idx="3">
                  <c:v>2005/2006</c:v>
                </c:pt>
                <c:pt idx="4">
                  <c:v>2006/2007</c:v>
                </c:pt>
                <c:pt idx="5">
                  <c:v>2007/2008</c:v>
                </c:pt>
                <c:pt idx="6">
                  <c:v>2008/2009</c:v>
                </c:pt>
                <c:pt idx="7">
                  <c:v>2009/2010</c:v>
                </c:pt>
                <c:pt idx="8">
                  <c:v>2010/2011</c:v>
                </c:pt>
                <c:pt idx="9">
                  <c:v>2011/2012</c:v>
                </c:pt>
              </c:strCache>
            </c:strRef>
          </c:cat>
          <c:val>
            <c:numRef>
              <c:f>Sheet1!$D$2:$D$11</c:f>
              <c:numCache>
                <c:formatCode>General</c:formatCode>
                <c:ptCount val="10"/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9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6434432"/>
        <c:axId val="198692800"/>
      </c:lineChart>
      <c:catAx>
        <c:axId val="1564344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ar-EG"/>
          </a:p>
        </c:txPr>
        <c:crossAx val="198692800"/>
        <c:crosses val="autoZero"/>
        <c:auto val="1"/>
        <c:lblAlgn val="ctr"/>
        <c:lblOffset val="100"/>
        <c:noMultiLvlLbl val="0"/>
      </c:catAx>
      <c:valAx>
        <c:axId val="1986928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ar-EG"/>
          </a:p>
        </c:txPr>
        <c:crossAx val="15643443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100"/>
          </a:pPr>
          <a:endParaRPr lang="ar-EG"/>
        </a:p>
      </c:txPr>
    </c:legend>
    <c:plotVisOnly val="1"/>
    <c:dispBlanksAs val="gap"/>
    <c:showDLblsOverMax val="0"/>
  </c:chart>
  <c:txPr>
    <a:bodyPr/>
    <a:lstStyle/>
    <a:p>
      <a:pPr>
        <a:defRPr sz="1799"/>
      </a:pPr>
      <a:endParaRPr lang="ar-EG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عدد المشتغلين في صناعة البلاستيك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123966</c:v>
                </c:pt>
                <c:pt idx="1">
                  <c:v>127566</c:v>
                </c:pt>
                <c:pt idx="2">
                  <c:v>123220</c:v>
                </c:pt>
                <c:pt idx="3">
                  <c:v>115500</c:v>
                </c:pt>
                <c:pt idx="4">
                  <c:v>98911</c:v>
                </c:pt>
                <c:pt idx="5">
                  <c:v>94657</c:v>
                </c:pt>
                <c:pt idx="6">
                  <c:v>100332</c:v>
                </c:pt>
                <c:pt idx="7">
                  <c:v>95540</c:v>
                </c:pt>
                <c:pt idx="8">
                  <c:v>87779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عدد المشتغلين في الصناعات التحويلية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Sheet1!$C$2:$C$10</c:f>
              <c:numCache>
                <c:formatCode>General</c:formatCode>
                <c:ptCount val="9"/>
                <c:pt idx="0">
                  <c:v>961983</c:v>
                </c:pt>
                <c:pt idx="1">
                  <c:v>956107</c:v>
                </c:pt>
                <c:pt idx="2">
                  <c:v>943728</c:v>
                </c:pt>
                <c:pt idx="3">
                  <c:v>978428</c:v>
                </c:pt>
                <c:pt idx="4">
                  <c:v>1049290</c:v>
                </c:pt>
                <c:pt idx="5">
                  <c:v>1055112</c:v>
                </c:pt>
                <c:pt idx="6">
                  <c:v>1033742</c:v>
                </c:pt>
                <c:pt idx="7">
                  <c:v>1003136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6435968"/>
        <c:axId val="198691648"/>
      </c:lineChart>
      <c:catAx>
        <c:axId val="1564359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ar-EG"/>
          </a:p>
        </c:txPr>
        <c:crossAx val="198691648"/>
        <c:crosses val="autoZero"/>
        <c:auto val="1"/>
        <c:lblAlgn val="ctr"/>
        <c:lblOffset val="100"/>
        <c:noMultiLvlLbl val="0"/>
      </c:catAx>
      <c:valAx>
        <c:axId val="1986916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ar-EG"/>
          </a:p>
        </c:txPr>
        <c:crossAx val="15643596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100"/>
          </a:pPr>
          <a:endParaRPr lang="ar-EG"/>
        </a:p>
      </c:txPr>
    </c:legend>
    <c:plotVisOnly val="1"/>
    <c:dispBlanksAs val="gap"/>
    <c:showDLblsOverMax val="0"/>
  </c:chart>
  <c:txPr>
    <a:bodyPr/>
    <a:lstStyle/>
    <a:p>
      <a:pPr>
        <a:defRPr sz="1799"/>
      </a:pPr>
      <a:endParaRPr lang="ar-EG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القيمة المضافة الصافية لصناعة البلاستيك (مليون جنيه)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7132</c:v>
                </c:pt>
                <c:pt idx="1">
                  <c:v>7347</c:v>
                </c:pt>
                <c:pt idx="2">
                  <c:v>9272</c:v>
                </c:pt>
                <c:pt idx="3">
                  <c:v>9756</c:v>
                </c:pt>
                <c:pt idx="4">
                  <c:v>9015</c:v>
                </c:pt>
                <c:pt idx="5">
                  <c:v>12397</c:v>
                </c:pt>
                <c:pt idx="6">
                  <c:v>9927</c:v>
                </c:pt>
                <c:pt idx="7">
                  <c:v>13517</c:v>
                </c:pt>
                <c:pt idx="8">
                  <c:v>15163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القيمة المضافة الصافية الصناعات التحويلية مليون جنيه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Sheet1!$C$2:$C$10</c:f>
              <c:numCache>
                <c:formatCode>General</c:formatCode>
                <c:ptCount val="9"/>
                <c:pt idx="0">
                  <c:v>25790</c:v>
                </c:pt>
                <c:pt idx="1">
                  <c:v>23771</c:v>
                </c:pt>
                <c:pt idx="2">
                  <c:v>55900</c:v>
                </c:pt>
                <c:pt idx="3">
                  <c:v>65710</c:v>
                </c:pt>
                <c:pt idx="4">
                  <c:v>85548</c:v>
                </c:pt>
                <c:pt idx="5">
                  <c:v>104096</c:v>
                </c:pt>
                <c:pt idx="6">
                  <c:v>108222</c:v>
                </c:pt>
                <c:pt idx="7">
                  <c:v>132353</c:v>
                </c:pt>
                <c:pt idx="8">
                  <c:v>158349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عدد المشتغلين صناعة البلاستيك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Sheet1!$D$2:$D$10</c:f>
              <c:numCache>
                <c:formatCode>General</c:formatCode>
                <c:ptCount val="9"/>
                <c:pt idx="0">
                  <c:v>123966</c:v>
                </c:pt>
                <c:pt idx="1">
                  <c:v>127566</c:v>
                </c:pt>
                <c:pt idx="2">
                  <c:v>123220</c:v>
                </c:pt>
                <c:pt idx="3">
                  <c:v>115500</c:v>
                </c:pt>
                <c:pt idx="4">
                  <c:v>98911</c:v>
                </c:pt>
                <c:pt idx="5">
                  <c:v>94657</c:v>
                </c:pt>
                <c:pt idx="6">
                  <c:v>100332</c:v>
                </c:pt>
                <c:pt idx="7">
                  <c:v>95540</c:v>
                </c:pt>
                <c:pt idx="8">
                  <c:v>87779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عدد المشتغلين الصناعات التحويلية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Sheet1!$E$2:$E$10</c:f>
              <c:numCache>
                <c:formatCode>General</c:formatCode>
                <c:ptCount val="9"/>
                <c:pt idx="0">
                  <c:v>961983</c:v>
                </c:pt>
                <c:pt idx="1">
                  <c:v>956107</c:v>
                </c:pt>
                <c:pt idx="2">
                  <c:v>943728</c:v>
                </c:pt>
                <c:pt idx="3">
                  <c:v>978428</c:v>
                </c:pt>
                <c:pt idx="4">
                  <c:v>1049290</c:v>
                </c:pt>
                <c:pt idx="5">
                  <c:v>1055112</c:v>
                </c:pt>
                <c:pt idx="6">
                  <c:v>1033742</c:v>
                </c:pt>
                <c:pt idx="7">
                  <c:v>1003136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نسبة القيمة المضافة الصافية لصناعة البلاستيك الى الصناعات التحويلية %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Sheet1!$F$2:$F$10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انتاجية العامل صناعة البلاستيك (جنيه)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Sheet1!$G$2:$G$10</c:f>
              <c:numCache>
                <c:formatCode>General</c:formatCode>
                <c:ptCount val="9"/>
                <c:pt idx="0">
                  <c:v>57532</c:v>
                </c:pt>
                <c:pt idx="1">
                  <c:v>57594</c:v>
                </c:pt>
                <c:pt idx="2">
                  <c:v>75248</c:v>
                </c:pt>
                <c:pt idx="3">
                  <c:v>84468</c:v>
                </c:pt>
                <c:pt idx="4">
                  <c:v>91143</c:v>
                </c:pt>
                <c:pt idx="5">
                  <c:v>130968</c:v>
                </c:pt>
                <c:pt idx="6">
                  <c:v>98942</c:v>
                </c:pt>
                <c:pt idx="7">
                  <c:v>141480</c:v>
                </c:pt>
                <c:pt idx="8">
                  <c:v>172741</c:v>
                </c:pt>
              </c:numCache>
            </c:numRef>
          </c:val>
          <c:smooth val="0"/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انتاجية العامل الصناعات التحويلية (جنيه)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Sheet1!$H$2:$H$10</c:f>
              <c:numCache>
                <c:formatCode>General</c:formatCode>
                <c:ptCount val="9"/>
                <c:pt idx="0">
                  <c:v>26809</c:v>
                </c:pt>
                <c:pt idx="1">
                  <c:v>24862</c:v>
                </c:pt>
                <c:pt idx="2">
                  <c:v>59233</c:v>
                </c:pt>
                <c:pt idx="3">
                  <c:v>67159</c:v>
                </c:pt>
                <c:pt idx="4">
                  <c:v>81529</c:v>
                </c:pt>
                <c:pt idx="5">
                  <c:v>98659</c:v>
                </c:pt>
                <c:pt idx="6">
                  <c:v>104690</c:v>
                </c:pt>
                <c:pt idx="7">
                  <c:v>131939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6544512"/>
        <c:axId val="198693952"/>
      </c:lineChart>
      <c:catAx>
        <c:axId val="156544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/>
            </a:pPr>
            <a:endParaRPr lang="ar-EG"/>
          </a:p>
        </c:txPr>
        <c:crossAx val="198693952"/>
        <c:crosses val="autoZero"/>
        <c:auto val="1"/>
        <c:lblAlgn val="ctr"/>
        <c:lblOffset val="100"/>
        <c:noMultiLvlLbl val="0"/>
      </c:catAx>
      <c:valAx>
        <c:axId val="198693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/>
            </a:pPr>
            <a:endParaRPr lang="ar-EG"/>
          </a:p>
        </c:txPr>
        <c:crossAx val="1565445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5710655426022269"/>
          <c:y val="1.5871796513240725E-2"/>
          <c:w val="0.33363419678547246"/>
          <c:h val="0.98412820348675922"/>
        </c:manualLayout>
      </c:layout>
      <c:overlay val="0"/>
      <c:txPr>
        <a:bodyPr/>
        <a:lstStyle/>
        <a:p>
          <a:pPr>
            <a:defRPr sz="1000"/>
          </a:pPr>
          <a:endParaRPr lang="ar-EG"/>
        </a:p>
      </c:txPr>
    </c:legend>
    <c:plotVisOnly val="1"/>
    <c:dispBlanksAs val="gap"/>
    <c:showDLblsOverMax val="0"/>
  </c:chart>
  <c:txPr>
    <a:bodyPr/>
    <a:lstStyle/>
    <a:p>
      <a:pPr>
        <a:defRPr sz="1799"/>
      </a:pPr>
      <a:endParaRPr lang="ar-EG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الأجور والتأمينات صناعة البلاستيك (مليون جنيه)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1737</c:v>
                </c:pt>
                <c:pt idx="1">
                  <c:v>2026</c:v>
                </c:pt>
                <c:pt idx="2">
                  <c:v>2093</c:v>
                </c:pt>
                <c:pt idx="3">
                  <c:v>2200</c:v>
                </c:pt>
                <c:pt idx="4">
                  <c:v>1671</c:v>
                </c:pt>
                <c:pt idx="5">
                  <c:v>2117</c:v>
                </c:pt>
                <c:pt idx="6">
                  <c:v>3053</c:v>
                </c:pt>
                <c:pt idx="7">
                  <c:v>3951</c:v>
                </c:pt>
                <c:pt idx="8">
                  <c:v>3335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الأجور والتأمينات الصناعات التحويلية (مليون جنيه)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Sheet1!$C$2:$C$10</c:f>
              <c:numCache>
                <c:formatCode>General</c:formatCode>
                <c:ptCount val="9"/>
                <c:pt idx="0">
                  <c:v>10695</c:v>
                </c:pt>
                <c:pt idx="1">
                  <c:v>11838</c:v>
                </c:pt>
                <c:pt idx="2">
                  <c:v>12663</c:v>
                </c:pt>
                <c:pt idx="3">
                  <c:v>14864</c:v>
                </c:pt>
                <c:pt idx="4">
                  <c:v>17207</c:v>
                </c:pt>
                <c:pt idx="5">
                  <c:v>19887</c:v>
                </c:pt>
                <c:pt idx="6">
                  <c:v>21644</c:v>
                </c:pt>
                <c:pt idx="7">
                  <c:v>20759</c:v>
                </c:pt>
                <c:pt idx="8">
                  <c:v>30195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عدد المشتغلين صناعات البلاستيك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Sheet1!$D$2:$D$10</c:f>
              <c:numCache>
                <c:formatCode>General</c:formatCode>
                <c:ptCount val="9"/>
                <c:pt idx="0">
                  <c:v>123966</c:v>
                </c:pt>
                <c:pt idx="1">
                  <c:v>127566</c:v>
                </c:pt>
                <c:pt idx="2">
                  <c:v>123220</c:v>
                </c:pt>
                <c:pt idx="3">
                  <c:v>115500</c:v>
                </c:pt>
                <c:pt idx="4">
                  <c:v>98911</c:v>
                </c:pt>
                <c:pt idx="5">
                  <c:v>94657</c:v>
                </c:pt>
                <c:pt idx="6">
                  <c:v>100332</c:v>
                </c:pt>
                <c:pt idx="7">
                  <c:v>95540</c:v>
                </c:pt>
                <c:pt idx="8">
                  <c:v>87779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عدد المشتغلين الصناعات التحويلية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Sheet1!$E$2:$E$10</c:f>
              <c:numCache>
                <c:formatCode>General</c:formatCode>
                <c:ptCount val="9"/>
                <c:pt idx="0">
                  <c:v>916983</c:v>
                </c:pt>
                <c:pt idx="1">
                  <c:v>956107</c:v>
                </c:pt>
                <c:pt idx="2">
                  <c:v>943728</c:v>
                </c:pt>
                <c:pt idx="3">
                  <c:v>978422</c:v>
                </c:pt>
                <c:pt idx="4">
                  <c:v>1049290</c:v>
                </c:pt>
                <c:pt idx="5">
                  <c:v>1055112</c:v>
                </c:pt>
                <c:pt idx="6">
                  <c:v>1033742</c:v>
                </c:pt>
                <c:pt idx="7">
                  <c:v>1003136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نسبة عدد المشتغلين في صناعات البلاستيك الى الصناعات التحويلية %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Sheet1!$F$2:$F$10</c:f>
              <c:numCache>
                <c:formatCode>General</c:formatCode>
                <c:ptCount val="9"/>
                <c:pt idx="0">
                  <c:v>13.5</c:v>
                </c:pt>
                <c:pt idx="1">
                  <c:v>13.3</c:v>
                </c:pt>
                <c:pt idx="2">
                  <c:v>13</c:v>
                </c:pt>
                <c:pt idx="3">
                  <c:v>11.8</c:v>
                </c:pt>
                <c:pt idx="4">
                  <c:v>9.43</c:v>
                </c:pt>
                <c:pt idx="5">
                  <c:v>8.9700000000000006</c:v>
                </c:pt>
                <c:pt idx="6">
                  <c:v>9.6999999999999993</c:v>
                </c:pt>
                <c:pt idx="7">
                  <c:v>9.52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متوسط أجر العامل صناعات البلاستيك (جنيه)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Sheet1!$G$2:$G$10</c:f>
              <c:numCache>
                <c:formatCode>General</c:formatCode>
                <c:ptCount val="9"/>
                <c:pt idx="0">
                  <c:v>14011</c:v>
                </c:pt>
                <c:pt idx="1">
                  <c:v>15882</c:v>
                </c:pt>
                <c:pt idx="2">
                  <c:v>16986</c:v>
                </c:pt>
                <c:pt idx="3">
                  <c:v>19048</c:v>
                </c:pt>
                <c:pt idx="4">
                  <c:v>16894</c:v>
                </c:pt>
                <c:pt idx="5">
                  <c:v>22365</c:v>
                </c:pt>
                <c:pt idx="6">
                  <c:v>30250</c:v>
                </c:pt>
                <c:pt idx="7">
                  <c:v>20888</c:v>
                </c:pt>
                <c:pt idx="8">
                  <c:v>37993</c:v>
                </c:pt>
              </c:numCache>
            </c:numRef>
          </c:val>
          <c:smooth val="0"/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متوسط أجر العامل الصناعات التحويلية (جنيه)</c:v>
                </c:pt>
              </c:strCache>
            </c:strRef>
          </c:tx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2003/2004</c:v>
                </c:pt>
                <c:pt idx="1">
                  <c:v>2004/2005</c:v>
                </c:pt>
                <c:pt idx="2">
                  <c:v>2005/2006</c:v>
                </c:pt>
                <c:pt idx="3">
                  <c:v>2006/2007</c:v>
                </c:pt>
                <c:pt idx="4">
                  <c:v>2007/2008</c:v>
                </c:pt>
                <c:pt idx="5">
                  <c:v>2008/2009</c:v>
                </c:pt>
                <c:pt idx="6">
                  <c:v>2009/2010</c:v>
                </c:pt>
                <c:pt idx="7">
                  <c:v>2010/2011</c:v>
                </c:pt>
                <c:pt idx="8">
                  <c:v>2011/2012</c:v>
                </c:pt>
              </c:strCache>
            </c:strRef>
          </c:cat>
          <c:val>
            <c:numRef>
              <c:f>Sheet1!$H$2:$H$10</c:f>
              <c:numCache>
                <c:formatCode>General</c:formatCode>
                <c:ptCount val="9"/>
                <c:pt idx="0">
                  <c:v>11663</c:v>
                </c:pt>
                <c:pt idx="1">
                  <c:v>12381</c:v>
                </c:pt>
                <c:pt idx="2">
                  <c:v>13418</c:v>
                </c:pt>
                <c:pt idx="3">
                  <c:v>15192</c:v>
                </c:pt>
                <c:pt idx="4">
                  <c:v>16399</c:v>
                </c:pt>
                <c:pt idx="5">
                  <c:v>18848</c:v>
                </c:pt>
                <c:pt idx="6">
                  <c:v>20938</c:v>
                </c:pt>
                <c:pt idx="7">
                  <c:v>25678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1207808"/>
        <c:axId val="199083136"/>
      </c:lineChart>
      <c:catAx>
        <c:axId val="161207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/>
            </a:pPr>
            <a:endParaRPr lang="ar-EG"/>
          </a:p>
        </c:txPr>
        <c:crossAx val="199083136"/>
        <c:crosses val="autoZero"/>
        <c:auto val="1"/>
        <c:lblAlgn val="ctr"/>
        <c:lblOffset val="100"/>
        <c:noMultiLvlLbl val="0"/>
      </c:catAx>
      <c:valAx>
        <c:axId val="1990831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/>
            </a:pPr>
            <a:endParaRPr lang="ar-EG"/>
          </a:p>
        </c:txPr>
        <c:crossAx val="1612078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5820984391085391"/>
          <c:y val="4.0691971551049526E-2"/>
          <c:w val="0.33253090713484135"/>
          <c:h val="0.95930802844895036"/>
        </c:manualLayout>
      </c:layout>
      <c:overlay val="0"/>
      <c:txPr>
        <a:bodyPr/>
        <a:lstStyle/>
        <a:p>
          <a:pPr>
            <a:defRPr sz="1000"/>
          </a:pPr>
          <a:endParaRPr lang="ar-EG"/>
        </a:p>
      </c:txPr>
    </c:legend>
    <c:plotVisOnly val="1"/>
    <c:dispBlanksAs val="gap"/>
    <c:showDLblsOverMax val="0"/>
  </c:chart>
  <c:txPr>
    <a:bodyPr/>
    <a:lstStyle/>
    <a:p>
      <a:pPr>
        <a:defRPr sz="1798"/>
      </a:pPr>
      <a:endParaRPr lang="ar-EG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2EF29-448C-4BF0-8F20-1AB02AB04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32672</Words>
  <Characters>186236</Characters>
  <Application>Microsoft Office Word</Application>
  <DocSecurity>0</DocSecurity>
  <Lines>1551</Lines>
  <Paragraphs>436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zamzam 1</dc:creator>
  <cp:lastModifiedBy>zamzam 1</cp:lastModifiedBy>
  <cp:revision>91</cp:revision>
  <cp:lastPrinted>2019-02-25T11:04:00Z</cp:lastPrinted>
  <dcterms:created xsi:type="dcterms:W3CDTF">2019-02-19T08:52:00Z</dcterms:created>
  <dcterms:modified xsi:type="dcterms:W3CDTF">2019-02-25T11:05:00Z</dcterms:modified>
</cp:coreProperties>
</file>