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4891"/>
    <w:multiLevelType w:val="hybridMultilevel"/>
    <w:tmpl w:val="3B8A9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244ED"/>
    <w:multiLevelType w:val="hybridMultilevel"/>
    <w:tmpl w:val="D5A8239A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>
    <w:nsid w:val="1C9C32AA"/>
    <w:multiLevelType w:val="hybridMultilevel"/>
    <w:tmpl w:val="D65C1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54FD1"/>
    <w:multiLevelType w:val="hybridMultilevel"/>
    <w:tmpl w:val="AE64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0631F2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A528A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E48CD"/>
    <w:multiLevelType w:val="multilevel"/>
    <w:tmpl w:val="F6442C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>
    <w:nsid w:val="29E74A2E"/>
    <w:multiLevelType w:val="hybridMultilevel"/>
    <w:tmpl w:val="23805F14"/>
    <w:lvl w:ilvl="0" w:tplc="FC8642CC">
      <w:start w:val="1"/>
      <w:numFmt w:val="decimal"/>
      <w:lvlText w:val="%1-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2CFB5DE4"/>
    <w:multiLevelType w:val="hybridMultilevel"/>
    <w:tmpl w:val="8500B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44B0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30021"/>
    <w:multiLevelType w:val="hybridMultilevel"/>
    <w:tmpl w:val="5DD29A0C"/>
    <w:lvl w:ilvl="0" w:tplc="43824AD6">
      <w:numFmt w:val="bullet"/>
      <w:lvlText w:val="-"/>
      <w:lvlJc w:val="left"/>
      <w:pPr>
        <w:ind w:left="99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34EF60B9"/>
    <w:multiLevelType w:val="hybridMultilevel"/>
    <w:tmpl w:val="F9DE4D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EE7F83"/>
    <w:multiLevelType w:val="hybridMultilevel"/>
    <w:tmpl w:val="32BCCC28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>
    <w:nsid w:val="3B4A44EB"/>
    <w:multiLevelType w:val="multilevel"/>
    <w:tmpl w:val="5E7AD196"/>
    <w:lvl w:ilvl="0">
      <w:start w:val="7"/>
      <w:numFmt w:val="decimal"/>
      <w:lvlText w:val="%1"/>
      <w:lvlJc w:val="left"/>
      <w:pPr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-%2"/>
      <w:lvlJc w:val="left"/>
      <w:pPr>
        <w:ind w:left="900" w:hanging="720"/>
      </w:pPr>
      <w:rPr>
        <w:rFonts w:hint="default"/>
        <w:color w:val="000000"/>
      </w:rPr>
    </w:lvl>
    <w:lvl w:ilvl="2">
      <w:start w:val="1"/>
      <w:numFmt w:val="decimal"/>
      <w:lvlText w:val="%1-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2160" w:hanging="144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2340" w:hanging="144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2880" w:hanging="180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3420" w:hanging="216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3600" w:hanging="2160"/>
      </w:pPr>
      <w:rPr>
        <w:rFonts w:hint="default"/>
        <w:color w:val="000000"/>
      </w:rPr>
    </w:lvl>
  </w:abstractNum>
  <w:abstractNum w:abstractNumId="14">
    <w:nsid w:val="3D1501DF"/>
    <w:multiLevelType w:val="hybridMultilevel"/>
    <w:tmpl w:val="6F627A96"/>
    <w:lvl w:ilvl="0" w:tplc="747426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C13C6"/>
    <w:multiLevelType w:val="hybridMultilevel"/>
    <w:tmpl w:val="829AC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40FFC"/>
    <w:multiLevelType w:val="hybridMultilevel"/>
    <w:tmpl w:val="E8D28182"/>
    <w:lvl w:ilvl="0" w:tplc="6D0498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CF724A"/>
    <w:multiLevelType w:val="hybridMultilevel"/>
    <w:tmpl w:val="2E586EA6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F35CB6"/>
    <w:multiLevelType w:val="multilevel"/>
    <w:tmpl w:val="B290F1B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>
      <w:start w:val="10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9">
    <w:nsid w:val="4F3F659D"/>
    <w:multiLevelType w:val="hybridMultilevel"/>
    <w:tmpl w:val="53EAAD70"/>
    <w:lvl w:ilvl="0" w:tplc="7E3418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9C47D2"/>
    <w:multiLevelType w:val="hybridMultilevel"/>
    <w:tmpl w:val="87A0865E"/>
    <w:lvl w:ilvl="0" w:tplc="6A407D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982C21"/>
    <w:multiLevelType w:val="hybridMultilevel"/>
    <w:tmpl w:val="CE86700E"/>
    <w:lvl w:ilvl="0" w:tplc="4EEAE0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105B0"/>
    <w:multiLevelType w:val="hybridMultilevel"/>
    <w:tmpl w:val="B2A8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2384D"/>
    <w:multiLevelType w:val="hybridMultilevel"/>
    <w:tmpl w:val="ADE233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5E451F"/>
    <w:multiLevelType w:val="hybridMultilevel"/>
    <w:tmpl w:val="8916B9F4"/>
    <w:lvl w:ilvl="0" w:tplc="8A044C1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A9B478B"/>
    <w:multiLevelType w:val="hybridMultilevel"/>
    <w:tmpl w:val="BDE6A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B43EF0"/>
    <w:multiLevelType w:val="hybridMultilevel"/>
    <w:tmpl w:val="9D4AB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7C2B82"/>
    <w:multiLevelType w:val="hybridMultilevel"/>
    <w:tmpl w:val="5B368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E5A6592"/>
    <w:multiLevelType w:val="hybridMultilevel"/>
    <w:tmpl w:val="3662B442"/>
    <w:lvl w:ilvl="0" w:tplc="1122A1C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BBDC762C">
      <w:start w:val="2"/>
      <w:numFmt w:val="bullet"/>
      <w:lvlText w:val="-"/>
      <w:lvlJc w:val="left"/>
      <w:pPr>
        <w:ind w:left="360" w:hanging="360"/>
      </w:pPr>
      <w:rPr>
        <w:rFonts w:ascii="Simplified Arabic" w:eastAsia="Calibri" w:hAnsi="Simplified Arabic" w:cs="Simplified Arabic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E6E1E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95243"/>
    <w:multiLevelType w:val="hybridMultilevel"/>
    <w:tmpl w:val="3B4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C96C63"/>
    <w:multiLevelType w:val="hybridMultilevel"/>
    <w:tmpl w:val="5F4A201C"/>
    <w:lvl w:ilvl="0" w:tplc="AB9CEE0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A53EBA"/>
    <w:multiLevelType w:val="hybridMultilevel"/>
    <w:tmpl w:val="6AC47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0240EC"/>
    <w:multiLevelType w:val="hybridMultilevel"/>
    <w:tmpl w:val="D8DAABDC"/>
    <w:lvl w:ilvl="0" w:tplc="9F6443E4">
      <w:start w:val="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93DB2"/>
    <w:multiLevelType w:val="multilevel"/>
    <w:tmpl w:val="0CA2F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5">
    <w:nsid w:val="775E2ED8"/>
    <w:multiLevelType w:val="hybridMultilevel"/>
    <w:tmpl w:val="B0540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F56B5F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C1220DF"/>
    <w:multiLevelType w:val="hybridMultilevel"/>
    <w:tmpl w:val="8194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A04766"/>
    <w:multiLevelType w:val="hybridMultilevel"/>
    <w:tmpl w:val="C23AE75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BC4CC6"/>
    <w:multiLevelType w:val="hybridMultilevel"/>
    <w:tmpl w:val="0AF6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7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14"/>
  </w:num>
  <w:num w:numId="6">
    <w:abstractNumId w:val="24"/>
  </w:num>
  <w:num w:numId="7">
    <w:abstractNumId w:val="37"/>
  </w:num>
  <w:num w:numId="8">
    <w:abstractNumId w:val="3"/>
  </w:num>
  <w:num w:numId="9">
    <w:abstractNumId w:val="10"/>
  </w:num>
  <w:num w:numId="10">
    <w:abstractNumId w:val="16"/>
  </w:num>
  <w:num w:numId="11">
    <w:abstractNumId w:val="30"/>
  </w:num>
  <w:num w:numId="12">
    <w:abstractNumId w:val="8"/>
  </w:num>
  <w:num w:numId="13">
    <w:abstractNumId w:val="4"/>
  </w:num>
  <w:num w:numId="14">
    <w:abstractNumId w:val="36"/>
  </w:num>
  <w:num w:numId="15">
    <w:abstractNumId w:val="19"/>
  </w:num>
  <w:num w:numId="16">
    <w:abstractNumId w:val="9"/>
  </w:num>
  <w:num w:numId="17">
    <w:abstractNumId w:val="29"/>
  </w:num>
  <w:num w:numId="18">
    <w:abstractNumId w:val="5"/>
  </w:num>
  <w:num w:numId="19">
    <w:abstractNumId w:val="33"/>
  </w:num>
  <w:num w:numId="20">
    <w:abstractNumId w:val="28"/>
  </w:num>
  <w:num w:numId="21">
    <w:abstractNumId w:val="34"/>
  </w:num>
  <w:num w:numId="22">
    <w:abstractNumId w:val="18"/>
  </w:num>
  <w:num w:numId="23">
    <w:abstractNumId w:val="6"/>
  </w:num>
  <w:num w:numId="24">
    <w:abstractNumId w:val="27"/>
  </w:num>
  <w:num w:numId="25">
    <w:abstractNumId w:val="7"/>
  </w:num>
  <w:num w:numId="26">
    <w:abstractNumId w:val="31"/>
  </w:num>
  <w:num w:numId="27">
    <w:abstractNumId w:val="26"/>
  </w:num>
  <w:num w:numId="28">
    <w:abstractNumId w:val="0"/>
  </w:num>
  <w:num w:numId="29">
    <w:abstractNumId w:val="22"/>
  </w:num>
  <w:num w:numId="30">
    <w:abstractNumId w:val="32"/>
  </w:num>
  <w:num w:numId="31">
    <w:abstractNumId w:val="35"/>
  </w:num>
  <w:num w:numId="32">
    <w:abstractNumId w:val="15"/>
  </w:num>
  <w:num w:numId="33">
    <w:abstractNumId w:val="23"/>
  </w:num>
  <w:num w:numId="34">
    <w:abstractNumId w:val="12"/>
  </w:num>
  <w:num w:numId="35">
    <w:abstractNumId w:val="20"/>
  </w:num>
  <w:num w:numId="36">
    <w:abstractNumId w:val="1"/>
  </w:num>
  <w:num w:numId="37">
    <w:abstractNumId w:val="11"/>
  </w:num>
  <w:num w:numId="38">
    <w:abstractNumId w:val="2"/>
  </w:num>
  <w:num w:numId="39">
    <w:abstractNumId w:val="13"/>
  </w:num>
  <w:num w:numId="40">
    <w:abstractNumId w:val="38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92"/>
    <w:rsid w:val="0000474D"/>
    <w:rsid w:val="000075F1"/>
    <w:rsid w:val="000102D0"/>
    <w:rsid w:val="00013AC4"/>
    <w:rsid w:val="000155FB"/>
    <w:rsid w:val="00015C7D"/>
    <w:rsid w:val="000168C7"/>
    <w:rsid w:val="00021CD4"/>
    <w:rsid w:val="00022CE2"/>
    <w:rsid w:val="00022E2C"/>
    <w:rsid w:val="00023694"/>
    <w:rsid w:val="00024176"/>
    <w:rsid w:val="00027AA3"/>
    <w:rsid w:val="00034DA1"/>
    <w:rsid w:val="00037725"/>
    <w:rsid w:val="00037830"/>
    <w:rsid w:val="000408F8"/>
    <w:rsid w:val="00040D88"/>
    <w:rsid w:val="0004425E"/>
    <w:rsid w:val="00044B7D"/>
    <w:rsid w:val="0004508A"/>
    <w:rsid w:val="000450AB"/>
    <w:rsid w:val="00047627"/>
    <w:rsid w:val="00051E2E"/>
    <w:rsid w:val="00053560"/>
    <w:rsid w:val="00055308"/>
    <w:rsid w:val="00063B4B"/>
    <w:rsid w:val="00073B0B"/>
    <w:rsid w:val="00073BC4"/>
    <w:rsid w:val="00074E3E"/>
    <w:rsid w:val="0008553E"/>
    <w:rsid w:val="00086687"/>
    <w:rsid w:val="00092708"/>
    <w:rsid w:val="000976A3"/>
    <w:rsid w:val="000A5526"/>
    <w:rsid w:val="000A5DA2"/>
    <w:rsid w:val="000B1F87"/>
    <w:rsid w:val="000B2F4B"/>
    <w:rsid w:val="000B3D01"/>
    <w:rsid w:val="000C0218"/>
    <w:rsid w:val="000C12FD"/>
    <w:rsid w:val="000C5848"/>
    <w:rsid w:val="000D1732"/>
    <w:rsid w:val="000D218A"/>
    <w:rsid w:val="000D3C59"/>
    <w:rsid w:val="000D3EFF"/>
    <w:rsid w:val="000D4C72"/>
    <w:rsid w:val="000E09E4"/>
    <w:rsid w:val="000E1C14"/>
    <w:rsid w:val="000E5DBA"/>
    <w:rsid w:val="000E74F5"/>
    <w:rsid w:val="000F404C"/>
    <w:rsid w:val="000F651D"/>
    <w:rsid w:val="001004AF"/>
    <w:rsid w:val="00101DA0"/>
    <w:rsid w:val="00101F07"/>
    <w:rsid w:val="00104AE6"/>
    <w:rsid w:val="001078ED"/>
    <w:rsid w:val="001106D7"/>
    <w:rsid w:val="001129FC"/>
    <w:rsid w:val="00112FA9"/>
    <w:rsid w:val="00124956"/>
    <w:rsid w:val="00125EC6"/>
    <w:rsid w:val="0013506F"/>
    <w:rsid w:val="001421D1"/>
    <w:rsid w:val="001441DA"/>
    <w:rsid w:val="001507AE"/>
    <w:rsid w:val="00151006"/>
    <w:rsid w:val="0015208C"/>
    <w:rsid w:val="00153F3F"/>
    <w:rsid w:val="0015655C"/>
    <w:rsid w:val="001568E3"/>
    <w:rsid w:val="001574F9"/>
    <w:rsid w:val="00161EF4"/>
    <w:rsid w:val="00162772"/>
    <w:rsid w:val="00166834"/>
    <w:rsid w:val="00167E7B"/>
    <w:rsid w:val="00171AE2"/>
    <w:rsid w:val="00172D74"/>
    <w:rsid w:val="00175451"/>
    <w:rsid w:val="00176682"/>
    <w:rsid w:val="00183026"/>
    <w:rsid w:val="001833A9"/>
    <w:rsid w:val="00192B67"/>
    <w:rsid w:val="0019425E"/>
    <w:rsid w:val="00196A2B"/>
    <w:rsid w:val="001A08E2"/>
    <w:rsid w:val="001A0A0C"/>
    <w:rsid w:val="001A452F"/>
    <w:rsid w:val="001A6070"/>
    <w:rsid w:val="001A61C6"/>
    <w:rsid w:val="001B2DC4"/>
    <w:rsid w:val="001B3385"/>
    <w:rsid w:val="001C1740"/>
    <w:rsid w:val="001C1FB4"/>
    <w:rsid w:val="001C5568"/>
    <w:rsid w:val="001E3653"/>
    <w:rsid w:val="001E4745"/>
    <w:rsid w:val="001E4A74"/>
    <w:rsid w:val="001E611B"/>
    <w:rsid w:val="001E7CB5"/>
    <w:rsid w:val="001E7DF3"/>
    <w:rsid w:val="001F2BBA"/>
    <w:rsid w:val="001F4909"/>
    <w:rsid w:val="001F50A1"/>
    <w:rsid w:val="001F5C61"/>
    <w:rsid w:val="001F71F6"/>
    <w:rsid w:val="00201644"/>
    <w:rsid w:val="00212F28"/>
    <w:rsid w:val="00223A95"/>
    <w:rsid w:val="002242C5"/>
    <w:rsid w:val="002300E8"/>
    <w:rsid w:val="00231F02"/>
    <w:rsid w:val="002323F6"/>
    <w:rsid w:val="002334CC"/>
    <w:rsid w:val="00236956"/>
    <w:rsid w:val="00237174"/>
    <w:rsid w:val="00243165"/>
    <w:rsid w:val="00247C71"/>
    <w:rsid w:val="00253E8E"/>
    <w:rsid w:val="00255BDB"/>
    <w:rsid w:val="00257DD2"/>
    <w:rsid w:val="00270DF1"/>
    <w:rsid w:val="002807F2"/>
    <w:rsid w:val="00282C6E"/>
    <w:rsid w:val="00285557"/>
    <w:rsid w:val="00290087"/>
    <w:rsid w:val="00290C4E"/>
    <w:rsid w:val="00291804"/>
    <w:rsid w:val="002933A1"/>
    <w:rsid w:val="002A4E10"/>
    <w:rsid w:val="002A5E21"/>
    <w:rsid w:val="002B10B0"/>
    <w:rsid w:val="002B5E70"/>
    <w:rsid w:val="002B7661"/>
    <w:rsid w:val="002C0D4E"/>
    <w:rsid w:val="002C0F6D"/>
    <w:rsid w:val="002C154F"/>
    <w:rsid w:val="002C22D8"/>
    <w:rsid w:val="002C2532"/>
    <w:rsid w:val="002C38BA"/>
    <w:rsid w:val="002C5985"/>
    <w:rsid w:val="002D1803"/>
    <w:rsid w:val="002D37A2"/>
    <w:rsid w:val="002E0A68"/>
    <w:rsid w:val="002E1247"/>
    <w:rsid w:val="002E13F2"/>
    <w:rsid w:val="002E7C43"/>
    <w:rsid w:val="002F223C"/>
    <w:rsid w:val="002F296E"/>
    <w:rsid w:val="00303222"/>
    <w:rsid w:val="00303EEE"/>
    <w:rsid w:val="003045AE"/>
    <w:rsid w:val="0030491E"/>
    <w:rsid w:val="00304FEC"/>
    <w:rsid w:val="003118B3"/>
    <w:rsid w:val="003121C3"/>
    <w:rsid w:val="00312DC4"/>
    <w:rsid w:val="00315236"/>
    <w:rsid w:val="00315335"/>
    <w:rsid w:val="0031540B"/>
    <w:rsid w:val="003155D4"/>
    <w:rsid w:val="003232AB"/>
    <w:rsid w:val="00325367"/>
    <w:rsid w:val="003263F6"/>
    <w:rsid w:val="003276FD"/>
    <w:rsid w:val="00331418"/>
    <w:rsid w:val="00332C14"/>
    <w:rsid w:val="00332C1C"/>
    <w:rsid w:val="0033411B"/>
    <w:rsid w:val="003346B8"/>
    <w:rsid w:val="00337331"/>
    <w:rsid w:val="00342CB3"/>
    <w:rsid w:val="003543B5"/>
    <w:rsid w:val="0035505E"/>
    <w:rsid w:val="003551B1"/>
    <w:rsid w:val="00355CF7"/>
    <w:rsid w:val="003579D7"/>
    <w:rsid w:val="003632FF"/>
    <w:rsid w:val="00363697"/>
    <w:rsid w:val="00363C8C"/>
    <w:rsid w:val="00364EB6"/>
    <w:rsid w:val="00364F5B"/>
    <w:rsid w:val="003662C4"/>
    <w:rsid w:val="003714D4"/>
    <w:rsid w:val="00373CDA"/>
    <w:rsid w:val="00374F25"/>
    <w:rsid w:val="00377979"/>
    <w:rsid w:val="00387431"/>
    <w:rsid w:val="00387DEB"/>
    <w:rsid w:val="00390391"/>
    <w:rsid w:val="00392785"/>
    <w:rsid w:val="0039325A"/>
    <w:rsid w:val="00395CED"/>
    <w:rsid w:val="003A2048"/>
    <w:rsid w:val="003A558D"/>
    <w:rsid w:val="003A61F6"/>
    <w:rsid w:val="003A6883"/>
    <w:rsid w:val="003A7792"/>
    <w:rsid w:val="003B0DBC"/>
    <w:rsid w:val="003B1ED2"/>
    <w:rsid w:val="003B24D3"/>
    <w:rsid w:val="003B3CDD"/>
    <w:rsid w:val="003B5618"/>
    <w:rsid w:val="003B59E6"/>
    <w:rsid w:val="003C220E"/>
    <w:rsid w:val="003C245F"/>
    <w:rsid w:val="003C2742"/>
    <w:rsid w:val="003C324D"/>
    <w:rsid w:val="003C3ECE"/>
    <w:rsid w:val="003C4221"/>
    <w:rsid w:val="003C5D66"/>
    <w:rsid w:val="003C6721"/>
    <w:rsid w:val="003C71E2"/>
    <w:rsid w:val="003D13EE"/>
    <w:rsid w:val="003D1BD3"/>
    <w:rsid w:val="003D416E"/>
    <w:rsid w:val="003D478C"/>
    <w:rsid w:val="003E037D"/>
    <w:rsid w:val="003E1E59"/>
    <w:rsid w:val="003E3101"/>
    <w:rsid w:val="003E6245"/>
    <w:rsid w:val="003E798A"/>
    <w:rsid w:val="003F2D6C"/>
    <w:rsid w:val="003F73E3"/>
    <w:rsid w:val="00400FDB"/>
    <w:rsid w:val="00401064"/>
    <w:rsid w:val="0040246A"/>
    <w:rsid w:val="0040291C"/>
    <w:rsid w:val="004050DD"/>
    <w:rsid w:val="00406643"/>
    <w:rsid w:val="004115BD"/>
    <w:rsid w:val="0041368C"/>
    <w:rsid w:val="00420862"/>
    <w:rsid w:val="004219E7"/>
    <w:rsid w:val="00421BB7"/>
    <w:rsid w:val="00431DFE"/>
    <w:rsid w:val="004371B9"/>
    <w:rsid w:val="00440487"/>
    <w:rsid w:val="00444ED8"/>
    <w:rsid w:val="00450B9C"/>
    <w:rsid w:val="0045173E"/>
    <w:rsid w:val="00455F1B"/>
    <w:rsid w:val="004575BB"/>
    <w:rsid w:val="00457BAD"/>
    <w:rsid w:val="00457E65"/>
    <w:rsid w:val="004614DF"/>
    <w:rsid w:val="004618C1"/>
    <w:rsid w:val="0046735F"/>
    <w:rsid w:val="00471537"/>
    <w:rsid w:val="00471BD9"/>
    <w:rsid w:val="00471D3A"/>
    <w:rsid w:val="004723CC"/>
    <w:rsid w:val="00473D87"/>
    <w:rsid w:val="0047497E"/>
    <w:rsid w:val="00474F4A"/>
    <w:rsid w:val="00476959"/>
    <w:rsid w:val="0047749E"/>
    <w:rsid w:val="004775B4"/>
    <w:rsid w:val="00491B7F"/>
    <w:rsid w:val="004923F5"/>
    <w:rsid w:val="00492C8D"/>
    <w:rsid w:val="004A086D"/>
    <w:rsid w:val="004A1D89"/>
    <w:rsid w:val="004A4423"/>
    <w:rsid w:val="004A77D1"/>
    <w:rsid w:val="004B23AB"/>
    <w:rsid w:val="004B327B"/>
    <w:rsid w:val="004B6A58"/>
    <w:rsid w:val="004B774F"/>
    <w:rsid w:val="004C171D"/>
    <w:rsid w:val="004C52BE"/>
    <w:rsid w:val="004C5C16"/>
    <w:rsid w:val="004C74E8"/>
    <w:rsid w:val="004D1BD2"/>
    <w:rsid w:val="004D3DEE"/>
    <w:rsid w:val="004E0129"/>
    <w:rsid w:val="004E0A98"/>
    <w:rsid w:val="004E2192"/>
    <w:rsid w:val="004E5B57"/>
    <w:rsid w:val="004F1316"/>
    <w:rsid w:val="004F3BC7"/>
    <w:rsid w:val="004F40BF"/>
    <w:rsid w:val="004F7287"/>
    <w:rsid w:val="004F758E"/>
    <w:rsid w:val="00501946"/>
    <w:rsid w:val="00507339"/>
    <w:rsid w:val="00514BFD"/>
    <w:rsid w:val="005225FE"/>
    <w:rsid w:val="00523A1B"/>
    <w:rsid w:val="00523B70"/>
    <w:rsid w:val="00530ECF"/>
    <w:rsid w:val="00532213"/>
    <w:rsid w:val="00535812"/>
    <w:rsid w:val="00543DB1"/>
    <w:rsid w:val="005456C9"/>
    <w:rsid w:val="005509FF"/>
    <w:rsid w:val="00550E32"/>
    <w:rsid w:val="0055156A"/>
    <w:rsid w:val="00551681"/>
    <w:rsid w:val="00553A86"/>
    <w:rsid w:val="0055586A"/>
    <w:rsid w:val="0055742A"/>
    <w:rsid w:val="00566A09"/>
    <w:rsid w:val="00571A22"/>
    <w:rsid w:val="0057272E"/>
    <w:rsid w:val="005752C5"/>
    <w:rsid w:val="00582563"/>
    <w:rsid w:val="00583656"/>
    <w:rsid w:val="0058557C"/>
    <w:rsid w:val="00586D08"/>
    <w:rsid w:val="00593AC4"/>
    <w:rsid w:val="0059412B"/>
    <w:rsid w:val="005955F8"/>
    <w:rsid w:val="00597478"/>
    <w:rsid w:val="005A0901"/>
    <w:rsid w:val="005A4AD5"/>
    <w:rsid w:val="005A6AF2"/>
    <w:rsid w:val="005A7385"/>
    <w:rsid w:val="005A7B62"/>
    <w:rsid w:val="005B0479"/>
    <w:rsid w:val="005B55E2"/>
    <w:rsid w:val="005B69D4"/>
    <w:rsid w:val="005B77D4"/>
    <w:rsid w:val="005B799B"/>
    <w:rsid w:val="005B7E4B"/>
    <w:rsid w:val="005C0721"/>
    <w:rsid w:val="005C20D7"/>
    <w:rsid w:val="005C2534"/>
    <w:rsid w:val="005C4270"/>
    <w:rsid w:val="005C45D9"/>
    <w:rsid w:val="005C4A3C"/>
    <w:rsid w:val="005C562E"/>
    <w:rsid w:val="005C64C5"/>
    <w:rsid w:val="005D120E"/>
    <w:rsid w:val="005D15E9"/>
    <w:rsid w:val="005D4351"/>
    <w:rsid w:val="005D451D"/>
    <w:rsid w:val="005D546B"/>
    <w:rsid w:val="005D7FA1"/>
    <w:rsid w:val="005E0503"/>
    <w:rsid w:val="005E0D70"/>
    <w:rsid w:val="005E5118"/>
    <w:rsid w:val="005F1676"/>
    <w:rsid w:val="005F7179"/>
    <w:rsid w:val="00600058"/>
    <w:rsid w:val="00600B98"/>
    <w:rsid w:val="00601BE9"/>
    <w:rsid w:val="00607755"/>
    <w:rsid w:val="0061087C"/>
    <w:rsid w:val="00610ECE"/>
    <w:rsid w:val="006221A1"/>
    <w:rsid w:val="006254D4"/>
    <w:rsid w:val="00625B45"/>
    <w:rsid w:val="00630E46"/>
    <w:rsid w:val="00634FC5"/>
    <w:rsid w:val="00643F6F"/>
    <w:rsid w:val="00645536"/>
    <w:rsid w:val="006475F5"/>
    <w:rsid w:val="00653E9D"/>
    <w:rsid w:val="00654C20"/>
    <w:rsid w:val="00657F86"/>
    <w:rsid w:val="00661833"/>
    <w:rsid w:val="00662816"/>
    <w:rsid w:val="00672F1F"/>
    <w:rsid w:val="00674CF8"/>
    <w:rsid w:val="00680084"/>
    <w:rsid w:val="00680FD7"/>
    <w:rsid w:val="00682054"/>
    <w:rsid w:val="006874A5"/>
    <w:rsid w:val="00692633"/>
    <w:rsid w:val="00692BAA"/>
    <w:rsid w:val="0069491B"/>
    <w:rsid w:val="006967C4"/>
    <w:rsid w:val="00697BA9"/>
    <w:rsid w:val="006A00E6"/>
    <w:rsid w:val="006A2A94"/>
    <w:rsid w:val="006A34CF"/>
    <w:rsid w:val="006A3F48"/>
    <w:rsid w:val="006A7F20"/>
    <w:rsid w:val="006B1DE0"/>
    <w:rsid w:val="006B35F7"/>
    <w:rsid w:val="006B6D67"/>
    <w:rsid w:val="006C587D"/>
    <w:rsid w:val="006C5F58"/>
    <w:rsid w:val="006D35C8"/>
    <w:rsid w:val="006D4BC9"/>
    <w:rsid w:val="006D75BE"/>
    <w:rsid w:val="006E2AC8"/>
    <w:rsid w:val="006E52BE"/>
    <w:rsid w:val="006E6375"/>
    <w:rsid w:val="006E6872"/>
    <w:rsid w:val="006E7579"/>
    <w:rsid w:val="006E7A70"/>
    <w:rsid w:val="006F0BED"/>
    <w:rsid w:val="006F1471"/>
    <w:rsid w:val="006F6DC9"/>
    <w:rsid w:val="00705DF1"/>
    <w:rsid w:val="007119CE"/>
    <w:rsid w:val="00713707"/>
    <w:rsid w:val="00714C8A"/>
    <w:rsid w:val="00717179"/>
    <w:rsid w:val="00717979"/>
    <w:rsid w:val="0072050D"/>
    <w:rsid w:val="0072154F"/>
    <w:rsid w:val="00721A4D"/>
    <w:rsid w:val="00723097"/>
    <w:rsid w:val="00726896"/>
    <w:rsid w:val="00726943"/>
    <w:rsid w:val="00730D85"/>
    <w:rsid w:val="00731839"/>
    <w:rsid w:val="00732BD7"/>
    <w:rsid w:val="007358B0"/>
    <w:rsid w:val="0073756E"/>
    <w:rsid w:val="007378B2"/>
    <w:rsid w:val="0074142E"/>
    <w:rsid w:val="00744A9C"/>
    <w:rsid w:val="007452C5"/>
    <w:rsid w:val="00750932"/>
    <w:rsid w:val="00750D78"/>
    <w:rsid w:val="00750F85"/>
    <w:rsid w:val="00752B28"/>
    <w:rsid w:val="00754E4C"/>
    <w:rsid w:val="00761493"/>
    <w:rsid w:val="00761688"/>
    <w:rsid w:val="00762838"/>
    <w:rsid w:val="00766D57"/>
    <w:rsid w:val="007673D0"/>
    <w:rsid w:val="0077105E"/>
    <w:rsid w:val="00771EBC"/>
    <w:rsid w:val="00771F02"/>
    <w:rsid w:val="00772160"/>
    <w:rsid w:val="00772E9D"/>
    <w:rsid w:val="0077422B"/>
    <w:rsid w:val="00775376"/>
    <w:rsid w:val="00776E75"/>
    <w:rsid w:val="00776F0A"/>
    <w:rsid w:val="00786AFC"/>
    <w:rsid w:val="00787EEE"/>
    <w:rsid w:val="00790D5E"/>
    <w:rsid w:val="00792B52"/>
    <w:rsid w:val="00793E43"/>
    <w:rsid w:val="0079620B"/>
    <w:rsid w:val="007A0D6D"/>
    <w:rsid w:val="007A1F63"/>
    <w:rsid w:val="007A35DD"/>
    <w:rsid w:val="007A43AC"/>
    <w:rsid w:val="007A5B62"/>
    <w:rsid w:val="007A6104"/>
    <w:rsid w:val="007A6B85"/>
    <w:rsid w:val="007A6D83"/>
    <w:rsid w:val="007A7FDD"/>
    <w:rsid w:val="007B49B6"/>
    <w:rsid w:val="007B6943"/>
    <w:rsid w:val="007C3D7F"/>
    <w:rsid w:val="007C71A3"/>
    <w:rsid w:val="007D05C2"/>
    <w:rsid w:val="007D2712"/>
    <w:rsid w:val="007D2881"/>
    <w:rsid w:val="007D2A2C"/>
    <w:rsid w:val="007D7525"/>
    <w:rsid w:val="007E10AF"/>
    <w:rsid w:val="007E2649"/>
    <w:rsid w:val="007E3600"/>
    <w:rsid w:val="007E3D95"/>
    <w:rsid w:val="007E4740"/>
    <w:rsid w:val="007E4CF8"/>
    <w:rsid w:val="007E5F2B"/>
    <w:rsid w:val="007F4A69"/>
    <w:rsid w:val="007F5D2E"/>
    <w:rsid w:val="0080388E"/>
    <w:rsid w:val="0080745E"/>
    <w:rsid w:val="00811F3C"/>
    <w:rsid w:val="008166C8"/>
    <w:rsid w:val="00817162"/>
    <w:rsid w:val="0082000B"/>
    <w:rsid w:val="008220BA"/>
    <w:rsid w:val="00822DF7"/>
    <w:rsid w:val="00826560"/>
    <w:rsid w:val="008276AA"/>
    <w:rsid w:val="00827BC6"/>
    <w:rsid w:val="008405CE"/>
    <w:rsid w:val="0084348B"/>
    <w:rsid w:val="00854147"/>
    <w:rsid w:val="00854BCB"/>
    <w:rsid w:val="00856EDF"/>
    <w:rsid w:val="00857C7C"/>
    <w:rsid w:val="008613AC"/>
    <w:rsid w:val="00862F59"/>
    <w:rsid w:val="00863644"/>
    <w:rsid w:val="00863995"/>
    <w:rsid w:val="0086483E"/>
    <w:rsid w:val="0086734B"/>
    <w:rsid w:val="0087032C"/>
    <w:rsid w:val="00871A28"/>
    <w:rsid w:val="0087219E"/>
    <w:rsid w:val="0087476F"/>
    <w:rsid w:val="00875537"/>
    <w:rsid w:val="008805C6"/>
    <w:rsid w:val="0088279D"/>
    <w:rsid w:val="00884EA5"/>
    <w:rsid w:val="0088513B"/>
    <w:rsid w:val="00885E97"/>
    <w:rsid w:val="0089255B"/>
    <w:rsid w:val="008A2136"/>
    <w:rsid w:val="008A29BA"/>
    <w:rsid w:val="008A2F32"/>
    <w:rsid w:val="008B3B42"/>
    <w:rsid w:val="008C0C79"/>
    <w:rsid w:val="008C3A53"/>
    <w:rsid w:val="008C4872"/>
    <w:rsid w:val="008C5C92"/>
    <w:rsid w:val="008D4F20"/>
    <w:rsid w:val="008D5A44"/>
    <w:rsid w:val="008D6E66"/>
    <w:rsid w:val="008E28F1"/>
    <w:rsid w:val="008E3268"/>
    <w:rsid w:val="008F015E"/>
    <w:rsid w:val="008F0FCF"/>
    <w:rsid w:val="008F6903"/>
    <w:rsid w:val="008F7566"/>
    <w:rsid w:val="0090536F"/>
    <w:rsid w:val="00913B74"/>
    <w:rsid w:val="00913F76"/>
    <w:rsid w:val="00914528"/>
    <w:rsid w:val="0091742C"/>
    <w:rsid w:val="00920C1F"/>
    <w:rsid w:val="009242EE"/>
    <w:rsid w:val="009244D1"/>
    <w:rsid w:val="009245E4"/>
    <w:rsid w:val="00924A66"/>
    <w:rsid w:val="009258CF"/>
    <w:rsid w:val="009264BD"/>
    <w:rsid w:val="00926932"/>
    <w:rsid w:val="00930081"/>
    <w:rsid w:val="00930815"/>
    <w:rsid w:val="00931DB3"/>
    <w:rsid w:val="00933614"/>
    <w:rsid w:val="009337EF"/>
    <w:rsid w:val="00935306"/>
    <w:rsid w:val="00935515"/>
    <w:rsid w:val="009355B3"/>
    <w:rsid w:val="00937E59"/>
    <w:rsid w:val="009402E6"/>
    <w:rsid w:val="009429A8"/>
    <w:rsid w:val="00945D7B"/>
    <w:rsid w:val="0095158F"/>
    <w:rsid w:val="00953B5F"/>
    <w:rsid w:val="0095798B"/>
    <w:rsid w:val="00970D92"/>
    <w:rsid w:val="00973D6E"/>
    <w:rsid w:val="0098125C"/>
    <w:rsid w:val="00983E22"/>
    <w:rsid w:val="009845DD"/>
    <w:rsid w:val="00985680"/>
    <w:rsid w:val="009861A4"/>
    <w:rsid w:val="0098766F"/>
    <w:rsid w:val="00991CA1"/>
    <w:rsid w:val="00994285"/>
    <w:rsid w:val="00996929"/>
    <w:rsid w:val="00997B20"/>
    <w:rsid w:val="009A29DE"/>
    <w:rsid w:val="009A344B"/>
    <w:rsid w:val="009A743F"/>
    <w:rsid w:val="009B131C"/>
    <w:rsid w:val="009B18A4"/>
    <w:rsid w:val="009B399A"/>
    <w:rsid w:val="009B4E7C"/>
    <w:rsid w:val="009B66A3"/>
    <w:rsid w:val="009C0A37"/>
    <w:rsid w:val="009C402C"/>
    <w:rsid w:val="009D1270"/>
    <w:rsid w:val="009D20C3"/>
    <w:rsid w:val="009D7C0B"/>
    <w:rsid w:val="009E7CAE"/>
    <w:rsid w:val="009F1ED8"/>
    <w:rsid w:val="009F499F"/>
    <w:rsid w:val="009F5211"/>
    <w:rsid w:val="009F55F3"/>
    <w:rsid w:val="00A02602"/>
    <w:rsid w:val="00A07156"/>
    <w:rsid w:val="00A11D5E"/>
    <w:rsid w:val="00A142F9"/>
    <w:rsid w:val="00A16360"/>
    <w:rsid w:val="00A22093"/>
    <w:rsid w:val="00A22B17"/>
    <w:rsid w:val="00A255AB"/>
    <w:rsid w:val="00A2756E"/>
    <w:rsid w:val="00A35AF0"/>
    <w:rsid w:val="00A47A9C"/>
    <w:rsid w:val="00A47AB0"/>
    <w:rsid w:val="00A51EAF"/>
    <w:rsid w:val="00A53E35"/>
    <w:rsid w:val="00A55423"/>
    <w:rsid w:val="00A57DD4"/>
    <w:rsid w:val="00A61B97"/>
    <w:rsid w:val="00A66360"/>
    <w:rsid w:val="00A67E4B"/>
    <w:rsid w:val="00A67F92"/>
    <w:rsid w:val="00A70A70"/>
    <w:rsid w:val="00A73B5D"/>
    <w:rsid w:val="00A74291"/>
    <w:rsid w:val="00A80A4B"/>
    <w:rsid w:val="00A83532"/>
    <w:rsid w:val="00A83E08"/>
    <w:rsid w:val="00A87CD2"/>
    <w:rsid w:val="00A93B09"/>
    <w:rsid w:val="00A9425B"/>
    <w:rsid w:val="00A9493F"/>
    <w:rsid w:val="00AA3A5A"/>
    <w:rsid w:val="00AA71BA"/>
    <w:rsid w:val="00AB1453"/>
    <w:rsid w:val="00AB2591"/>
    <w:rsid w:val="00AB4BA7"/>
    <w:rsid w:val="00AB7232"/>
    <w:rsid w:val="00AC2775"/>
    <w:rsid w:val="00AD3773"/>
    <w:rsid w:val="00AE7CD3"/>
    <w:rsid w:val="00AF670F"/>
    <w:rsid w:val="00AF6B3B"/>
    <w:rsid w:val="00B005FA"/>
    <w:rsid w:val="00B107DA"/>
    <w:rsid w:val="00B11360"/>
    <w:rsid w:val="00B156B7"/>
    <w:rsid w:val="00B16DC7"/>
    <w:rsid w:val="00B43589"/>
    <w:rsid w:val="00B44038"/>
    <w:rsid w:val="00B44BA4"/>
    <w:rsid w:val="00B45898"/>
    <w:rsid w:val="00B46DE4"/>
    <w:rsid w:val="00B470A4"/>
    <w:rsid w:val="00B50116"/>
    <w:rsid w:val="00B54F98"/>
    <w:rsid w:val="00B55A34"/>
    <w:rsid w:val="00B55E60"/>
    <w:rsid w:val="00B56097"/>
    <w:rsid w:val="00B57F52"/>
    <w:rsid w:val="00B61BF6"/>
    <w:rsid w:val="00B64C42"/>
    <w:rsid w:val="00B66134"/>
    <w:rsid w:val="00B719B4"/>
    <w:rsid w:val="00B73154"/>
    <w:rsid w:val="00B754F2"/>
    <w:rsid w:val="00B84349"/>
    <w:rsid w:val="00B854CD"/>
    <w:rsid w:val="00B85EED"/>
    <w:rsid w:val="00B86E6E"/>
    <w:rsid w:val="00B9361B"/>
    <w:rsid w:val="00BA268E"/>
    <w:rsid w:val="00BA2D9B"/>
    <w:rsid w:val="00BB1C7D"/>
    <w:rsid w:val="00BC0C48"/>
    <w:rsid w:val="00BC241C"/>
    <w:rsid w:val="00BC49DF"/>
    <w:rsid w:val="00BD7893"/>
    <w:rsid w:val="00BE60C4"/>
    <w:rsid w:val="00BE60DD"/>
    <w:rsid w:val="00BF06B1"/>
    <w:rsid w:val="00BF49E8"/>
    <w:rsid w:val="00BF4AAD"/>
    <w:rsid w:val="00C014E1"/>
    <w:rsid w:val="00C02AE7"/>
    <w:rsid w:val="00C02B6C"/>
    <w:rsid w:val="00C12115"/>
    <w:rsid w:val="00C1215E"/>
    <w:rsid w:val="00C1394C"/>
    <w:rsid w:val="00C163F4"/>
    <w:rsid w:val="00C27C4D"/>
    <w:rsid w:val="00C3021D"/>
    <w:rsid w:val="00C31168"/>
    <w:rsid w:val="00C3319E"/>
    <w:rsid w:val="00C344BF"/>
    <w:rsid w:val="00C36AF9"/>
    <w:rsid w:val="00C42CE6"/>
    <w:rsid w:val="00C50919"/>
    <w:rsid w:val="00C52F92"/>
    <w:rsid w:val="00C54724"/>
    <w:rsid w:val="00C547F6"/>
    <w:rsid w:val="00C562C9"/>
    <w:rsid w:val="00C578DD"/>
    <w:rsid w:val="00C629F3"/>
    <w:rsid w:val="00C64B33"/>
    <w:rsid w:val="00C66EF4"/>
    <w:rsid w:val="00C677BC"/>
    <w:rsid w:val="00C747AF"/>
    <w:rsid w:val="00C74A34"/>
    <w:rsid w:val="00C76E51"/>
    <w:rsid w:val="00C77A87"/>
    <w:rsid w:val="00C8131E"/>
    <w:rsid w:val="00C82233"/>
    <w:rsid w:val="00C8377B"/>
    <w:rsid w:val="00C84F61"/>
    <w:rsid w:val="00C93329"/>
    <w:rsid w:val="00C96603"/>
    <w:rsid w:val="00C96DBE"/>
    <w:rsid w:val="00CA26AA"/>
    <w:rsid w:val="00CA4468"/>
    <w:rsid w:val="00CB3627"/>
    <w:rsid w:val="00CB3BD1"/>
    <w:rsid w:val="00CB72D1"/>
    <w:rsid w:val="00CC09A9"/>
    <w:rsid w:val="00CC13A8"/>
    <w:rsid w:val="00CC4900"/>
    <w:rsid w:val="00CD1DE8"/>
    <w:rsid w:val="00CD1FCB"/>
    <w:rsid w:val="00CD27EA"/>
    <w:rsid w:val="00CD3D5F"/>
    <w:rsid w:val="00CD7936"/>
    <w:rsid w:val="00CE7C26"/>
    <w:rsid w:val="00CF30C6"/>
    <w:rsid w:val="00CF5B89"/>
    <w:rsid w:val="00D03F05"/>
    <w:rsid w:val="00D07075"/>
    <w:rsid w:val="00D11D86"/>
    <w:rsid w:val="00D12781"/>
    <w:rsid w:val="00D12F74"/>
    <w:rsid w:val="00D14E5C"/>
    <w:rsid w:val="00D22920"/>
    <w:rsid w:val="00D22B48"/>
    <w:rsid w:val="00D25C5F"/>
    <w:rsid w:val="00D26CD8"/>
    <w:rsid w:val="00D31E3B"/>
    <w:rsid w:val="00D355BE"/>
    <w:rsid w:val="00D42964"/>
    <w:rsid w:val="00D445DD"/>
    <w:rsid w:val="00D52A0B"/>
    <w:rsid w:val="00D52CFB"/>
    <w:rsid w:val="00D6129A"/>
    <w:rsid w:val="00D621F1"/>
    <w:rsid w:val="00D63512"/>
    <w:rsid w:val="00D80556"/>
    <w:rsid w:val="00D8091E"/>
    <w:rsid w:val="00D821CE"/>
    <w:rsid w:val="00D83F7A"/>
    <w:rsid w:val="00D85751"/>
    <w:rsid w:val="00D86F79"/>
    <w:rsid w:val="00D923EC"/>
    <w:rsid w:val="00D92C39"/>
    <w:rsid w:val="00D9423B"/>
    <w:rsid w:val="00D97D5A"/>
    <w:rsid w:val="00D97E7D"/>
    <w:rsid w:val="00DA2C43"/>
    <w:rsid w:val="00DA65D5"/>
    <w:rsid w:val="00DB0A41"/>
    <w:rsid w:val="00DB0F02"/>
    <w:rsid w:val="00DB7BE2"/>
    <w:rsid w:val="00DC2A6F"/>
    <w:rsid w:val="00DC32AD"/>
    <w:rsid w:val="00DC4004"/>
    <w:rsid w:val="00DC4EF4"/>
    <w:rsid w:val="00DC68D4"/>
    <w:rsid w:val="00DC7574"/>
    <w:rsid w:val="00DD0F55"/>
    <w:rsid w:val="00DD1638"/>
    <w:rsid w:val="00DD24B1"/>
    <w:rsid w:val="00DD26A9"/>
    <w:rsid w:val="00DE19D4"/>
    <w:rsid w:val="00DE2852"/>
    <w:rsid w:val="00DE2C43"/>
    <w:rsid w:val="00DE46D2"/>
    <w:rsid w:val="00DE4C61"/>
    <w:rsid w:val="00DE6E14"/>
    <w:rsid w:val="00DF042E"/>
    <w:rsid w:val="00DF4A58"/>
    <w:rsid w:val="00DF5B10"/>
    <w:rsid w:val="00DF6020"/>
    <w:rsid w:val="00DF7109"/>
    <w:rsid w:val="00E0259D"/>
    <w:rsid w:val="00E028FA"/>
    <w:rsid w:val="00E04D54"/>
    <w:rsid w:val="00E11D0A"/>
    <w:rsid w:val="00E133C8"/>
    <w:rsid w:val="00E15907"/>
    <w:rsid w:val="00E15956"/>
    <w:rsid w:val="00E16E54"/>
    <w:rsid w:val="00E236E1"/>
    <w:rsid w:val="00E30340"/>
    <w:rsid w:val="00E33500"/>
    <w:rsid w:val="00E34846"/>
    <w:rsid w:val="00E41592"/>
    <w:rsid w:val="00E4390D"/>
    <w:rsid w:val="00E52817"/>
    <w:rsid w:val="00E54602"/>
    <w:rsid w:val="00E54C3C"/>
    <w:rsid w:val="00E55A4E"/>
    <w:rsid w:val="00E6226F"/>
    <w:rsid w:val="00E62773"/>
    <w:rsid w:val="00E63640"/>
    <w:rsid w:val="00E63BD9"/>
    <w:rsid w:val="00E65022"/>
    <w:rsid w:val="00E66413"/>
    <w:rsid w:val="00E6794B"/>
    <w:rsid w:val="00E71E0A"/>
    <w:rsid w:val="00E725FB"/>
    <w:rsid w:val="00E75ACD"/>
    <w:rsid w:val="00E76E85"/>
    <w:rsid w:val="00E8122B"/>
    <w:rsid w:val="00E844A6"/>
    <w:rsid w:val="00E8592C"/>
    <w:rsid w:val="00E86364"/>
    <w:rsid w:val="00E86DAC"/>
    <w:rsid w:val="00E95E07"/>
    <w:rsid w:val="00E9761C"/>
    <w:rsid w:val="00EA455C"/>
    <w:rsid w:val="00EA4B22"/>
    <w:rsid w:val="00EA5B99"/>
    <w:rsid w:val="00EB0E74"/>
    <w:rsid w:val="00EB1223"/>
    <w:rsid w:val="00EB5246"/>
    <w:rsid w:val="00EB591C"/>
    <w:rsid w:val="00EB7720"/>
    <w:rsid w:val="00EC0027"/>
    <w:rsid w:val="00EC12ED"/>
    <w:rsid w:val="00EC1C9F"/>
    <w:rsid w:val="00ED264A"/>
    <w:rsid w:val="00ED5223"/>
    <w:rsid w:val="00ED765F"/>
    <w:rsid w:val="00EE0A4C"/>
    <w:rsid w:val="00EE0DCE"/>
    <w:rsid w:val="00EE2DE2"/>
    <w:rsid w:val="00EE4A57"/>
    <w:rsid w:val="00EE4F8B"/>
    <w:rsid w:val="00EE5C08"/>
    <w:rsid w:val="00EE659A"/>
    <w:rsid w:val="00EF0D2B"/>
    <w:rsid w:val="00EF3572"/>
    <w:rsid w:val="00EF5B7F"/>
    <w:rsid w:val="00EF680D"/>
    <w:rsid w:val="00EF6CE1"/>
    <w:rsid w:val="00EF6CF1"/>
    <w:rsid w:val="00F004C1"/>
    <w:rsid w:val="00F03084"/>
    <w:rsid w:val="00F03B23"/>
    <w:rsid w:val="00F06CF4"/>
    <w:rsid w:val="00F14232"/>
    <w:rsid w:val="00F1465F"/>
    <w:rsid w:val="00F205D1"/>
    <w:rsid w:val="00F2117C"/>
    <w:rsid w:val="00F24FFA"/>
    <w:rsid w:val="00F2562E"/>
    <w:rsid w:val="00F305BF"/>
    <w:rsid w:val="00F30C2D"/>
    <w:rsid w:val="00F35145"/>
    <w:rsid w:val="00F420AF"/>
    <w:rsid w:val="00F435CA"/>
    <w:rsid w:val="00F559E9"/>
    <w:rsid w:val="00F60B9C"/>
    <w:rsid w:val="00F63C48"/>
    <w:rsid w:val="00F64105"/>
    <w:rsid w:val="00F720D9"/>
    <w:rsid w:val="00F73CE3"/>
    <w:rsid w:val="00F7549D"/>
    <w:rsid w:val="00F81798"/>
    <w:rsid w:val="00F844FF"/>
    <w:rsid w:val="00F85580"/>
    <w:rsid w:val="00F86839"/>
    <w:rsid w:val="00F86CBF"/>
    <w:rsid w:val="00F87686"/>
    <w:rsid w:val="00F954F0"/>
    <w:rsid w:val="00F9582D"/>
    <w:rsid w:val="00F961E1"/>
    <w:rsid w:val="00FA670A"/>
    <w:rsid w:val="00FB0A9C"/>
    <w:rsid w:val="00FB4CC0"/>
    <w:rsid w:val="00FB6410"/>
    <w:rsid w:val="00FC3D8E"/>
    <w:rsid w:val="00FC42BA"/>
    <w:rsid w:val="00FD10B3"/>
    <w:rsid w:val="00FD17B8"/>
    <w:rsid w:val="00FD343B"/>
    <w:rsid w:val="00FD45F5"/>
    <w:rsid w:val="00FD55D4"/>
    <w:rsid w:val="00FD70DE"/>
    <w:rsid w:val="00FE3FE3"/>
    <w:rsid w:val="00FE5796"/>
    <w:rsid w:val="00FE7F0C"/>
    <w:rsid w:val="00FF7995"/>
    <w:rsid w:val="00FF79CF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spacing w:before="40" w:after="0" w:line="264" w:lineRule="auto"/>
      <w:outlineLvl w:val="6"/>
    </w:pPr>
    <w:rPr>
      <w:rFonts w:ascii="Cambria" w:eastAsia="Times New Roman" w:hAnsi="Cambria" w:cs="Times New Roman"/>
      <w:i/>
      <w:iCs/>
      <w:color w:val="24406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2C"/>
    <w:pPr>
      <w:bidi/>
    </w:pPr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D2A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7D2A2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7D2A2C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7D2A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7D2A2C"/>
    <w:rPr>
      <w:rFonts w:ascii="Cambria" w:eastAsia="Times New Roman" w:hAnsi="Cambria" w:cs="Times New Roman"/>
      <w:color w:val="243F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D2A2C"/>
    <w:rPr>
      <w:b/>
      <w:bCs/>
      <w:i/>
      <w:iCs/>
      <w:color w:va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D2A2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0B3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93E43"/>
    <w:rPr>
      <w:color w:val="0000FF"/>
      <w:u w:val="single"/>
    </w:rPr>
  </w:style>
  <w:style w:type="character" w:customStyle="1" w:styleId="Heading7Char">
    <w:name w:val="Heading 7 Char"/>
    <w:link w:val="Heading7"/>
    <w:uiPriority w:val="9"/>
    <w:semiHidden/>
    <w:rsid w:val="004F40BF"/>
    <w:rPr>
      <w:rFonts w:ascii="Cambria" w:eastAsia="Times New Roman" w:hAnsi="Cambria" w:cs="Times New Roman"/>
      <w:i/>
      <w:iCs/>
      <w:color w:val="244061"/>
      <w:sz w:val="21"/>
      <w:szCs w:val="21"/>
    </w:rPr>
  </w:style>
  <w:style w:type="character" w:styleId="CommentReference">
    <w:name w:val="annotation reference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2B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084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8008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68008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65022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5022"/>
  </w:style>
  <w:style w:type="character" w:styleId="EndnoteReference">
    <w:name w:val="endnote reference"/>
    <w:basedOn w:val="DefaultParagraphFont"/>
    <w:uiPriority w:val="99"/>
    <w:semiHidden/>
    <w:unhideWhenUsed/>
    <w:rsid w:val="00E650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spacing w:before="40" w:after="0" w:line="264" w:lineRule="auto"/>
      <w:outlineLvl w:val="6"/>
    </w:pPr>
    <w:rPr>
      <w:rFonts w:ascii="Cambria" w:eastAsia="Times New Roman" w:hAnsi="Cambria" w:cs="Times New Roman"/>
      <w:i/>
      <w:iCs/>
      <w:color w:val="24406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2C"/>
    <w:pPr>
      <w:bidi/>
    </w:pPr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D2A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7D2A2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7D2A2C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7D2A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7D2A2C"/>
    <w:rPr>
      <w:rFonts w:ascii="Cambria" w:eastAsia="Times New Roman" w:hAnsi="Cambria" w:cs="Times New Roman"/>
      <w:color w:val="243F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D2A2C"/>
    <w:rPr>
      <w:b/>
      <w:bCs/>
      <w:i/>
      <w:iCs/>
      <w:color w:va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D2A2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0B3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93E43"/>
    <w:rPr>
      <w:color w:val="0000FF"/>
      <w:u w:val="single"/>
    </w:rPr>
  </w:style>
  <w:style w:type="character" w:customStyle="1" w:styleId="Heading7Char">
    <w:name w:val="Heading 7 Char"/>
    <w:link w:val="Heading7"/>
    <w:uiPriority w:val="9"/>
    <w:semiHidden/>
    <w:rsid w:val="004F40BF"/>
    <w:rPr>
      <w:rFonts w:ascii="Cambria" w:eastAsia="Times New Roman" w:hAnsi="Cambria" w:cs="Times New Roman"/>
      <w:i/>
      <w:iCs/>
      <w:color w:val="244061"/>
      <w:sz w:val="21"/>
      <w:szCs w:val="21"/>
    </w:rPr>
  </w:style>
  <w:style w:type="character" w:styleId="CommentReference">
    <w:name w:val="annotation reference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2B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084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8008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68008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65022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5022"/>
  </w:style>
  <w:style w:type="character" w:styleId="EndnoteReference">
    <w:name w:val="endnote reference"/>
    <w:basedOn w:val="DefaultParagraphFont"/>
    <w:uiPriority w:val="99"/>
    <w:semiHidden/>
    <w:unhideWhenUsed/>
    <w:rsid w:val="00E650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9301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5081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0681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59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302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17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363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490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06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8151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108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0057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29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20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68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61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8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0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923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4.xml"/></Relationships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7630445829527592E-2"/>
          <c:y val="1.8229675947369323E-2"/>
          <c:w val="0.91558580601153672"/>
          <c:h val="0.85595208259300126"/>
        </c:manualLayout>
      </c:layout>
      <c:bar3DChart>
        <c:barDir val="col"/>
        <c:grouping val="standard"/>
        <c:varyColors val="0"/>
        <c:ser>
          <c:idx val="0"/>
          <c:order val="0"/>
          <c:invertIfNegative val="0"/>
          <c:cat>
            <c:strRef>
              <c:f>'Sheet1 (4)'!$G$4:$G$27</c:f>
              <c:strCache>
                <c:ptCount val="24"/>
                <c:pt idx="0">
                  <c:v>الاسكندرية</c:v>
                </c:pt>
                <c:pt idx="1">
                  <c:v>دمياط</c:v>
                </c:pt>
                <c:pt idx="2">
                  <c:v>الدقهلية</c:v>
                </c:pt>
                <c:pt idx="3">
                  <c:v>الشرقية</c:v>
                </c:pt>
                <c:pt idx="4">
                  <c:v>القليوبية</c:v>
                </c:pt>
                <c:pt idx="5">
                  <c:v>كفر الشيخ</c:v>
                </c:pt>
                <c:pt idx="6">
                  <c:v>الغربية</c:v>
                </c:pt>
                <c:pt idx="7">
                  <c:v>المنوفية</c:v>
                </c:pt>
                <c:pt idx="8">
                  <c:v>البحيرة</c:v>
                </c:pt>
                <c:pt idx="9">
                  <c:v>الاسماعيلية</c:v>
                </c:pt>
                <c:pt idx="10">
                  <c:v>الجيزة</c:v>
                </c:pt>
                <c:pt idx="11">
                  <c:v>بني سويف</c:v>
                </c:pt>
                <c:pt idx="12">
                  <c:v>الفيوم</c:v>
                </c:pt>
                <c:pt idx="13">
                  <c:v>المنيا</c:v>
                </c:pt>
                <c:pt idx="14">
                  <c:v>أسيوط</c:v>
                </c:pt>
                <c:pt idx="15">
                  <c:v>سوهاج</c:v>
                </c:pt>
                <c:pt idx="16">
                  <c:v>قنا</c:v>
                </c:pt>
                <c:pt idx="17">
                  <c:v>اسوان</c:v>
                </c:pt>
                <c:pt idx="18">
                  <c:v>الأقصر</c:v>
                </c:pt>
                <c:pt idx="19">
                  <c:v>البحر الأحمر</c:v>
                </c:pt>
                <c:pt idx="20">
                  <c:v>الوادي الجديد</c:v>
                </c:pt>
                <c:pt idx="21">
                  <c:v>مطروح</c:v>
                </c:pt>
                <c:pt idx="22">
                  <c:v>شمال سيناء</c:v>
                </c:pt>
                <c:pt idx="23">
                  <c:v>جنوب سيناء</c:v>
                </c:pt>
              </c:strCache>
            </c:strRef>
          </c:cat>
          <c:val>
            <c:numRef>
              <c:f>'Sheet1 (4)'!$I$4:$I$27</c:f>
              <c:numCache>
                <c:formatCode>0.00%</c:formatCode>
                <c:ptCount val="24"/>
                <c:pt idx="0">
                  <c:v>6.6199999999999995E-2</c:v>
                </c:pt>
                <c:pt idx="1">
                  <c:v>9.3100000000000002E-2</c:v>
                </c:pt>
                <c:pt idx="2">
                  <c:v>9.5600000000000004E-2</c:v>
                </c:pt>
                <c:pt idx="3">
                  <c:v>8.9399999999999993E-2</c:v>
                </c:pt>
                <c:pt idx="4">
                  <c:v>9.8000000000000004E-2</c:v>
                </c:pt>
                <c:pt idx="5">
                  <c:v>0.1193</c:v>
                </c:pt>
                <c:pt idx="6">
                  <c:v>9.8900000000000002E-2</c:v>
                </c:pt>
                <c:pt idx="7">
                  <c:v>8.1900000000000001E-2</c:v>
                </c:pt>
                <c:pt idx="8">
                  <c:v>0.1022</c:v>
                </c:pt>
                <c:pt idx="9">
                  <c:v>0.1017</c:v>
                </c:pt>
                <c:pt idx="10">
                  <c:v>8.5099999999999995E-2</c:v>
                </c:pt>
                <c:pt idx="11">
                  <c:v>9.64E-2</c:v>
                </c:pt>
                <c:pt idx="12">
                  <c:v>0.09</c:v>
                </c:pt>
                <c:pt idx="13">
                  <c:v>0.1113</c:v>
                </c:pt>
                <c:pt idx="14">
                  <c:v>0.10390000000000001</c:v>
                </c:pt>
                <c:pt idx="15">
                  <c:v>9.9400000000000002E-2</c:v>
                </c:pt>
                <c:pt idx="16">
                  <c:v>9.01E-2</c:v>
                </c:pt>
                <c:pt idx="17">
                  <c:v>9.9900000000000003E-2</c:v>
                </c:pt>
                <c:pt idx="18">
                  <c:v>9.9299999999999999E-2</c:v>
                </c:pt>
                <c:pt idx="19">
                  <c:v>0.1074</c:v>
                </c:pt>
                <c:pt idx="20">
                  <c:v>7.3700000000000002E-2</c:v>
                </c:pt>
                <c:pt idx="21">
                  <c:v>0.13109999999999999</c:v>
                </c:pt>
                <c:pt idx="22">
                  <c:v>5.7700000000000001E-2</c:v>
                </c:pt>
                <c:pt idx="23">
                  <c:v>4.6800000000000001E-2</c:v>
                </c:pt>
              </c:numCache>
            </c:numRef>
          </c:val>
        </c:ser>
        <c:ser>
          <c:idx val="1"/>
          <c:order val="1"/>
          <c:invertIfNegative val="0"/>
          <c:cat>
            <c:strRef>
              <c:f>'Sheet1 (4)'!$G$4:$G$27</c:f>
              <c:strCache>
                <c:ptCount val="24"/>
                <c:pt idx="0">
                  <c:v>الاسكندرية</c:v>
                </c:pt>
                <c:pt idx="1">
                  <c:v>دمياط</c:v>
                </c:pt>
                <c:pt idx="2">
                  <c:v>الدقهلية</c:v>
                </c:pt>
                <c:pt idx="3">
                  <c:v>الشرقية</c:v>
                </c:pt>
                <c:pt idx="4">
                  <c:v>القليوبية</c:v>
                </c:pt>
                <c:pt idx="5">
                  <c:v>كفر الشيخ</c:v>
                </c:pt>
                <c:pt idx="6">
                  <c:v>الغربية</c:v>
                </c:pt>
                <c:pt idx="7">
                  <c:v>المنوفية</c:v>
                </c:pt>
                <c:pt idx="8">
                  <c:v>البحيرة</c:v>
                </c:pt>
                <c:pt idx="9">
                  <c:v>الاسماعيلية</c:v>
                </c:pt>
                <c:pt idx="10">
                  <c:v>الجيزة</c:v>
                </c:pt>
                <c:pt idx="11">
                  <c:v>بني سويف</c:v>
                </c:pt>
                <c:pt idx="12">
                  <c:v>الفيوم</c:v>
                </c:pt>
                <c:pt idx="13">
                  <c:v>المنيا</c:v>
                </c:pt>
                <c:pt idx="14">
                  <c:v>أسيوط</c:v>
                </c:pt>
                <c:pt idx="15">
                  <c:v>سوهاج</c:v>
                </c:pt>
                <c:pt idx="16">
                  <c:v>قنا</c:v>
                </c:pt>
                <c:pt idx="17">
                  <c:v>اسوان</c:v>
                </c:pt>
                <c:pt idx="18">
                  <c:v>الأقصر</c:v>
                </c:pt>
                <c:pt idx="19">
                  <c:v>البحر الأحمر</c:v>
                </c:pt>
                <c:pt idx="20">
                  <c:v>الوادي الجديد</c:v>
                </c:pt>
                <c:pt idx="21">
                  <c:v>مطروح</c:v>
                </c:pt>
                <c:pt idx="22">
                  <c:v>شمال سيناء</c:v>
                </c:pt>
                <c:pt idx="23">
                  <c:v>جنوب سيناء</c:v>
                </c:pt>
              </c:strCache>
            </c:strRef>
          </c:cat>
          <c:val>
            <c:numRef>
              <c:f>'Sheet1 (4)'!$J$4:$J$27</c:f>
              <c:numCache>
                <c:formatCode>0.00%</c:formatCode>
                <c:ptCount val="24"/>
                <c:pt idx="0">
                  <c:v>2.7300000000000001E-2</c:v>
                </c:pt>
                <c:pt idx="1">
                  <c:v>3.4599999999999999E-2</c:v>
                </c:pt>
                <c:pt idx="2">
                  <c:v>3.2500000000000001E-2</c:v>
                </c:pt>
                <c:pt idx="3">
                  <c:v>3.1099999999999999E-2</c:v>
                </c:pt>
                <c:pt idx="4">
                  <c:v>3.0599999999999999E-2</c:v>
                </c:pt>
                <c:pt idx="5">
                  <c:v>4.5400000000000003E-2</c:v>
                </c:pt>
                <c:pt idx="6">
                  <c:v>3.39E-2</c:v>
                </c:pt>
                <c:pt idx="7">
                  <c:v>2.8199999999999999E-2</c:v>
                </c:pt>
                <c:pt idx="8">
                  <c:v>3.44E-2</c:v>
                </c:pt>
                <c:pt idx="9">
                  <c:v>3.0099999999999998E-2</c:v>
                </c:pt>
                <c:pt idx="10">
                  <c:v>2.5499999999999998E-2</c:v>
                </c:pt>
                <c:pt idx="11">
                  <c:v>2.87E-2</c:v>
                </c:pt>
                <c:pt idx="12">
                  <c:v>2.98E-2</c:v>
                </c:pt>
                <c:pt idx="13">
                  <c:v>3.73E-2</c:v>
                </c:pt>
                <c:pt idx="14">
                  <c:v>3.5499999999999997E-2</c:v>
                </c:pt>
                <c:pt idx="15">
                  <c:v>3.5099999999999999E-2</c:v>
                </c:pt>
                <c:pt idx="16">
                  <c:v>3.1099999999999999E-2</c:v>
                </c:pt>
                <c:pt idx="17">
                  <c:v>3.1800000000000002E-2</c:v>
                </c:pt>
                <c:pt idx="18">
                  <c:v>3.4599999999999999E-2</c:v>
                </c:pt>
                <c:pt idx="19">
                  <c:v>3.9199999999999999E-2</c:v>
                </c:pt>
                <c:pt idx="20">
                  <c:v>2.12E-2</c:v>
                </c:pt>
                <c:pt idx="21">
                  <c:v>3.3799999999999997E-2</c:v>
                </c:pt>
                <c:pt idx="22">
                  <c:v>2.3199999999999998E-2</c:v>
                </c:pt>
                <c:pt idx="23">
                  <c:v>2.53E-2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0255232"/>
        <c:axId val="120256768"/>
        <c:axId val="120479744"/>
      </c:bar3DChart>
      <c:catAx>
        <c:axId val="120255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120256768"/>
        <c:crosses val="autoZero"/>
        <c:auto val="1"/>
        <c:lblAlgn val="ctr"/>
        <c:lblOffset val="100"/>
        <c:noMultiLvlLbl val="0"/>
      </c:catAx>
      <c:valAx>
        <c:axId val="12025676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20255232"/>
        <c:crosses val="autoZero"/>
        <c:crossBetween val="between"/>
      </c:valAx>
      <c:serAx>
        <c:axId val="120479744"/>
        <c:scaling>
          <c:orientation val="minMax"/>
        </c:scaling>
        <c:delete val="1"/>
        <c:axPos val="b"/>
        <c:majorTickMark val="out"/>
        <c:minorTickMark val="none"/>
        <c:tickLblPos val="nextTo"/>
        <c:crossAx val="120256768"/>
        <c:crosses val="autoZero"/>
      </c:serAx>
      <c:spPr>
        <a:noFill/>
        <a:ln w="25433">
          <a:noFill/>
        </a:ln>
      </c:spPr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517695368724071"/>
          <c:y val="2.8067965188561955E-2"/>
          <c:w val="0.88629265091863518"/>
          <c:h val="0.86442785120357535"/>
        </c:manualLayout>
      </c:layout>
      <c:bar3DChart>
        <c:barDir val="col"/>
        <c:grouping val="standard"/>
        <c:varyColors val="0"/>
        <c:ser>
          <c:idx val="0"/>
          <c:order val="0"/>
          <c:spPr>
            <a:gradFill>
              <a:gsLst>
                <a:gs pos="0">
                  <a:srgbClr val="4F81BD">
                    <a:tint val="66000"/>
                    <a:satMod val="160000"/>
                  </a:srgbClr>
                </a:gs>
                <a:gs pos="8330">
                  <a:srgbClr val="BACBEB"/>
                </a:gs>
                <a:gs pos="17499">
                  <a:srgbClr val="BDCEEC"/>
                </a:gs>
                <a:gs pos="6000">
                  <a:srgbClr val="B1C5E9"/>
                </a:gs>
                <a:gs pos="24000">
                  <a:srgbClr val="B6C9EA"/>
                </a:gs>
                <a:gs pos="13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</c:spPr>
          <c:invertIfNegative val="0"/>
          <c:cat>
            <c:strRef>
              <c:f>'Sheet1 (2)'!$A$4:$A$30</c:f>
              <c:strCache>
                <c:ptCount val="27"/>
                <c:pt idx="0">
                  <c:v>القاهرة</c:v>
                </c:pt>
                <c:pt idx="1">
                  <c:v>الاسكندرية</c:v>
                </c:pt>
                <c:pt idx="2">
                  <c:v>بورسعيد</c:v>
                </c:pt>
                <c:pt idx="3">
                  <c:v>السويس</c:v>
                </c:pt>
                <c:pt idx="4">
                  <c:v>دمياط</c:v>
                </c:pt>
                <c:pt idx="5">
                  <c:v>الدقهلية</c:v>
                </c:pt>
                <c:pt idx="6">
                  <c:v>الشرقية</c:v>
                </c:pt>
                <c:pt idx="7">
                  <c:v>القليوبية</c:v>
                </c:pt>
                <c:pt idx="8">
                  <c:v>كفر الشيخ</c:v>
                </c:pt>
                <c:pt idx="9">
                  <c:v>الغربية</c:v>
                </c:pt>
                <c:pt idx="10">
                  <c:v>المنوفية</c:v>
                </c:pt>
                <c:pt idx="11">
                  <c:v>البحيرة</c:v>
                </c:pt>
                <c:pt idx="12">
                  <c:v>الاسماعيلية</c:v>
                </c:pt>
                <c:pt idx="13">
                  <c:v>الجيزة</c:v>
                </c:pt>
                <c:pt idx="14">
                  <c:v>بني سويف</c:v>
                </c:pt>
                <c:pt idx="15">
                  <c:v>الفيوم</c:v>
                </c:pt>
                <c:pt idx="16">
                  <c:v>المنيا</c:v>
                </c:pt>
                <c:pt idx="17">
                  <c:v>أسيوط</c:v>
                </c:pt>
                <c:pt idx="18">
                  <c:v>سوهاج</c:v>
                </c:pt>
                <c:pt idx="19">
                  <c:v>قنا</c:v>
                </c:pt>
                <c:pt idx="20">
                  <c:v>اسوان</c:v>
                </c:pt>
                <c:pt idx="21">
                  <c:v>الأقصر</c:v>
                </c:pt>
                <c:pt idx="22">
                  <c:v>البحر الأحمر</c:v>
                </c:pt>
                <c:pt idx="23">
                  <c:v>الوادي الجديد</c:v>
                </c:pt>
                <c:pt idx="24">
                  <c:v>مطروح</c:v>
                </c:pt>
                <c:pt idx="25">
                  <c:v>شمال سيناء</c:v>
                </c:pt>
                <c:pt idx="26">
                  <c:v>جنوب سيناء</c:v>
                </c:pt>
              </c:strCache>
            </c:strRef>
          </c:cat>
          <c:val>
            <c:numRef>
              <c:f>'Sheet1 (2)'!$C$4:$C$30</c:f>
              <c:numCache>
                <c:formatCode>0.00%</c:formatCode>
                <c:ptCount val="27"/>
                <c:pt idx="0">
                  <c:v>3.0499999999999999E-2</c:v>
                </c:pt>
                <c:pt idx="1">
                  <c:v>2.8400000000000002E-2</c:v>
                </c:pt>
                <c:pt idx="2">
                  <c:v>2.0299999999999999E-2</c:v>
                </c:pt>
                <c:pt idx="3">
                  <c:v>2.5899999999999999E-2</c:v>
                </c:pt>
                <c:pt idx="4">
                  <c:v>2.5600000000000001E-2</c:v>
                </c:pt>
                <c:pt idx="5">
                  <c:v>2.7E-2</c:v>
                </c:pt>
                <c:pt idx="6">
                  <c:v>2.5999999999999999E-2</c:v>
                </c:pt>
                <c:pt idx="7">
                  <c:v>2.63E-2</c:v>
                </c:pt>
                <c:pt idx="8">
                  <c:v>2.4799999999999999E-2</c:v>
                </c:pt>
                <c:pt idx="9">
                  <c:v>2.2100000000000002E-2</c:v>
                </c:pt>
                <c:pt idx="10">
                  <c:v>2.0299999999999999E-2</c:v>
                </c:pt>
                <c:pt idx="11">
                  <c:v>2.5999999999999999E-2</c:v>
                </c:pt>
                <c:pt idx="12">
                  <c:v>2.0899999999999998E-2</c:v>
                </c:pt>
                <c:pt idx="13">
                  <c:v>2.3800000000000002E-2</c:v>
                </c:pt>
                <c:pt idx="14">
                  <c:v>2.9100000000000001E-2</c:v>
                </c:pt>
                <c:pt idx="15">
                  <c:v>1.83E-2</c:v>
                </c:pt>
                <c:pt idx="16">
                  <c:v>2.64E-2</c:v>
                </c:pt>
                <c:pt idx="17">
                  <c:v>2.6200000000000001E-2</c:v>
                </c:pt>
                <c:pt idx="18">
                  <c:v>2.3300000000000001E-2</c:v>
                </c:pt>
                <c:pt idx="19">
                  <c:v>0.02</c:v>
                </c:pt>
                <c:pt idx="20">
                  <c:v>2.5700000000000001E-2</c:v>
                </c:pt>
                <c:pt idx="21">
                  <c:v>2.0899999999999998E-2</c:v>
                </c:pt>
                <c:pt idx="22">
                  <c:v>2.0899999999999998E-2</c:v>
                </c:pt>
                <c:pt idx="23">
                  <c:v>2.2100000000000002E-2</c:v>
                </c:pt>
                <c:pt idx="24">
                  <c:v>2.07E-2</c:v>
                </c:pt>
                <c:pt idx="25">
                  <c:v>1.9800000000000002E-2</c:v>
                </c:pt>
                <c:pt idx="26">
                  <c:v>9.7999999999999997E-3</c:v>
                </c:pt>
              </c:numCache>
            </c:numRef>
          </c:val>
        </c:ser>
        <c:ser>
          <c:idx val="1"/>
          <c:order val="1"/>
          <c:invertIfNegative val="0"/>
          <c:cat>
            <c:strRef>
              <c:f>'Sheet1 (2)'!$A$4:$A$30</c:f>
              <c:strCache>
                <c:ptCount val="27"/>
                <c:pt idx="0">
                  <c:v>القاهرة</c:v>
                </c:pt>
                <c:pt idx="1">
                  <c:v>الاسكندرية</c:v>
                </c:pt>
                <c:pt idx="2">
                  <c:v>بورسعيد</c:v>
                </c:pt>
                <c:pt idx="3">
                  <c:v>السويس</c:v>
                </c:pt>
                <c:pt idx="4">
                  <c:v>دمياط</c:v>
                </c:pt>
                <c:pt idx="5">
                  <c:v>الدقهلية</c:v>
                </c:pt>
                <c:pt idx="6">
                  <c:v>الشرقية</c:v>
                </c:pt>
                <c:pt idx="7">
                  <c:v>القليوبية</c:v>
                </c:pt>
                <c:pt idx="8">
                  <c:v>كفر الشيخ</c:v>
                </c:pt>
                <c:pt idx="9">
                  <c:v>الغربية</c:v>
                </c:pt>
                <c:pt idx="10">
                  <c:v>المنوفية</c:v>
                </c:pt>
                <c:pt idx="11">
                  <c:v>البحيرة</c:v>
                </c:pt>
                <c:pt idx="12">
                  <c:v>الاسماعيلية</c:v>
                </c:pt>
                <c:pt idx="13">
                  <c:v>الجيزة</c:v>
                </c:pt>
                <c:pt idx="14">
                  <c:v>بني سويف</c:v>
                </c:pt>
                <c:pt idx="15">
                  <c:v>الفيوم</c:v>
                </c:pt>
                <c:pt idx="16">
                  <c:v>المنيا</c:v>
                </c:pt>
                <c:pt idx="17">
                  <c:v>أسيوط</c:v>
                </c:pt>
                <c:pt idx="18">
                  <c:v>سوهاج</c:v>
                </c:pt>
                <c:pt idx="19">
                  <c:v>قنا</c:v>
                </c:pt>
                <c:pt idx="20">
                  <c:v>اسوان</c:v>
                </c:pt>
                <c:pt idx="21">
                  <c:v>الأقصر</c:v>
                </c:pt>
                <c:pt idx="22">
                  <c:v>البحر الأحمر</c:v>
                </c:pt>
                <c:pt idx="23">
                  <c:v>الوادي الجديد</c:v>
                </c:pt>
                <c:pt idx="24">
                  <c:v>مطروح</c:v>
                </c:pt>
                <c:pt idx="25">
                  <c:v>شمال سيناء</c:v>
                </c:pt>
                <c:pt idx="26">
                  <c:v>جنوب سيناء</c:v>
                </c:pt>
              </c:strCache>
            </c:strRef>
          </c:cat>
          <c:val>
            <c:numRef>
              <c:f>'Sheet1 (2)'!$D$4:$D$30</c:f>
              <c:numCache>
                <c:formatCode>0.00%</c:formatCode>
                <c:ptCount val="27"/>
                <c:pt idx="0">
                  <c:v>6.7999999999999996E-3</c:v>
                </c:pt>
                <c:pt idx="1">
                  <c:v>6.0000000000000001E-3</c:v>
                </c:pt>
                <c:pt idx="2">
                  <c:v>4.7999999999999996E-3</c:v>
                </c:pt>
                <c:pt idx="3">
                  <c:v>7.9000000000000008E-3</c:v>
                </c:pt>
                <c:pt idx="4">
                  <c:v>5.7999999999999996E-3</c:v>
                </c:pt>
                <c:pt idx="5">
                  <c:v>5.7999999999999996E-3</c:v>
                </c:pt>
                <c:pt idx="6">
                  <c:v>5.4999999999999997E-3</c:v>
                </c:pt>
                <c:pt idx="7">
                  <c:v>6.1999999999999998E-3</c:v>
                </c:pt>
                <c:pt idx="8">
                  <c:v>5.8999999999999999E-3</c:v>
                </c:pt>
                <c:pt idx="9">
                  <c:v>4.4999999999999997E-3</c:v>
                </c:pt>
                <c:pt idx="10">
                  <c:v>5.1999999999999998E-3</c:v>
                </c:pt>
                <c:pt idx="11">
                  <c:v>5.7999999999999996E-3</c:v>
                </c:pt>
                <c:pt idx="12">
                  <c:v>5.0000000000000001E-3</c:v>
                </c:pt>
                <c:pt idx="13">
                  <c:v>5.3E-3</c:v>
                </c:pt>
                <c:pt idx="14">
                  <c:v>7.7999999999999996E-3</c:v>
                </c:pt>
                <c:pt idx="15">
                  <c:v>4.0000000000000001E-3</c:v>
                </c:pt>
                <c:pt idx="16">
                  <c:v>6.7000000000000002E-3</c:v>
                </c:pt>
                <c:pt idx="17">
                  <c:v>7.1999999999999998E-3</c:v>
                </c:pt>
                <c:pt idx="18">
                  <c:v>5.5999999999999999E-3</c:v>
                </c:pt>
                <c:pt idx="19">
                  <c:v>4.5999999999999999E-3</c:v>
                </c:pt>
                <c:pt idx="20">
                  <c:v>4.4999999999999997E-3</c:v>
                </c:pt>
                <c:pt idx="21">
                  <c:v>5.4000000000000003E-3</c:v>
                </c:pt>
                <c:pt idx="22">
                  <c:v>5.0000000000000001E-3</c:v>
                </c:pt>
                <c:pt idx="23">
                  <c:v>4.8999999999999998E-3</c:v>
                </c:pt>
                <c:pt idx="24">
                  <c:v>4.7999999999999996E-3</c:v>
                </c:pt>
                <c:pt idx="25">
                  <c:v>4.0000000000000001E-3</c:v>
                </c:pt>
                <c:pt idx="26">
                  <c:v>2.5999999999999999E-3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8756480"/>
        <c:axId val="118758016"/>
        <c:axId val="117485056"/>
      </c:bar3DChart>
      <c:catAx>
        <c:axId val="118756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18758016"/>
        <c:crosses val="autoZero"/>
        <c:auto val="1"/>
        <c:lblAlgn val="ctr"/>
        <c:lblOffset val="100"/>
        <c:noMultiLvlLbl val="0"/>
      </c:catAx>
      <c:valAx>
        <c:axId val="11875801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18756480"/>
        <c:crosses val="autoZero"/>
        <c:crossBetween val="between"/>
      </c:valAx>
      <c:serAx>
        <c:axId val="117485056"/>
        <c:scaling>
          <c:orientation val="minMax"/>
        </c:scaling>
        <c:delete val="1"/>
        <c:axPos val="b"/>
        <c:majorTickMark val="out"/>
        <c:minorTickMark val="none"/>
        <c:tickLblPos val="nextTo"/>
        <c:crossAx val="118758016"/>
        <c:crosses val="autoZero"/>
      </c:serAx>
      <c:spPr>
        <a:noFill/>
        <a:ln w="25394">
          <a:noFill/>
        </a:ln>
      </c:spPr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875685482480627"/>
          <c:y val="2.2543105642860144E-2"/>
          <c:w val="0.83189038735168908"/>
          <c:h val="0.88555184260504027"/>
        </c:manualLayout>
      </c:layout>
      <c:bar3DChart>
        <c:barDir val="col"/>
        <c:grouping val="standard"/>
        <c:varyColors val="0"/>
        <c:ser>
          <c:idx val="0"/>
          <c:order val="0"/>
          <c:invertIfNegative val="0"/>
          <c:cat>
            <c:strRef>
              <c:f>'[Chart in Microsoft Word]Sheet1 (2)'!$G$4:$G$30</c:f>
              <c:strCache>
                <c:ptCount val="27"/>
                <c:pt idx="0">
                  <c:v>القاهرة</c:v>
                </c:pt>
                <c:pt idx="1">
                  <c:v>الاسكندرية</c:v>
                </c:pt>
                <c:pt idx="2">
                  <c:v>بورسعيد</c:v>
                </c:pt>
                <c:pt idx="3">
                  <c:v>السويس</c:v>
                </c:pt>
                <c:pt idx="4">
                  <c:v>دمياط</c:v>
                </c:pt>
                <c:pt idx="5">
                  <c:v>الدقهلية</c:v>
                </c:pt>
                <c:pt idx="6">
                  <c:v>الشرقية</c:v>
                </c:pt>
                <c:pt idx="7">
                  <c:v>القليوبية</c:v>
                </c:pt>
                <c:pt idx="8">
                  <c:v>كفر الشيخ</c:v>
                </c:pt>
                <c:pt idx="9">
                  <c:v>الغربية</c:v>
                </c:pt>
                <c:pt idx="10">
                  <c:v>المنوفية</c:v>
                </c:pt>
                <c:pt idx="11">
                  <c:v>البحيرة</c:v>
                </c:pt>
                <c:pt idx="12">
                  <c:v>الاسماعيلية</c:v>
                </c:pt>
                <c:pt idx="13">
                  <c:v>الجيزة</c:v>
                </c:pt>
                <c:pt idx="14">
                  <c:v>بني سويف</c:v>
                </c:pt>
                <c:pt idx="15">
                  <c:v>الفيوم</c:v>
                </c:pt>
                <c:pt idx="16">
                  <c:v>المنيا</c:v>
                </c:pt>
                <c:pt idx="17">
                  <c:v>أسيوط</c:v>
                </c:pt>
                <c:pt idx="18">
                  <c:v>سوهاج</c:v>
                </c:pt>
                <c:pt idx="19">
                  <c:v>قنا</c:v>
                </c:pt>
                <c:pt idx="20">
                  <c:v>اسوان</c:v>
                </c:pt>
                <c:pt idx="21">
                  <c:v>الأقصر</c:v>
                </c:pt>
                <c:pt idx="22">
                  <c:v>البحر الأحمر</c:v>
                </c:pt>
                <c:pt idx="23">
                  <c:v>الوادي الجديد</c:v>
                </c:pt>
                <c:pt idx="24">
                  <c:v>مطروح</c:v>
                </c:pt>
                <c:pt idx="25">
                  <c:v>شمال سيناء</c:v>
                </c:pt>
                <c:pt idx="26">
                  <c:v>جنوب سيناء</c:v>
                </c:pt>
              </c:strCache>
            </c:strRef>
          </c:cat>
          <c:val>
            <c:numRef>
              <c:f>'[Chart in Microsoft Word]Sheet1 (2)'!$I$4:$I$30</c:f>
              <c:numCache>
                <c:formatCode>0.00%</c:formatCode>
                <c:ptCount val="27"/>
                <c:pt idx="0">
                  <c:v>0.1482</c:v>
                </c:pt>
                <c:pt idx="1">
                  <c:v>0.13350000000000001</c:v>
                </c:pt>
                <c:pt idx="2">
                  <c:v>0.10829999999999999</c:v>
                </c:pt>
                <c:pt idx="3">
                  <c:v>0.1002</c:v>
                </c:pt>
                <c:pt idx="4">
                  <c:v>0.1331</c:v>
                </c:pt>
                <c:pt idx="5">
                  <c:v>0.1135</c:v>
                </c:pt>
                <c:pt idx="6">
                  <c:v>9.69E-2</c:v>
                </c:pt>
                <c:pt idx="7">
                  <c:v>0.13930000000000001</c:v>
                </c:pt>
                <c:pt idx="8">
                  <c:v>0.1065</c:v>
                </c:pt>
                <c:pt idx="9">
                  <c:v>9.8900000000000002E-2</c:v>
                </c:pt>
                <c:pt idx="10">
                  <c:v>8.6699999999999999E-2</c:v>
                </c:pt>
                <c:pt idx="11">
                  <c:v>0.11219999999999999</c:v>
                </c:pt>
                <c:pt idx="12">
                  <c:v>0.1041</c:v>
                </c:pt>
                <c:pt idx="13">
                  <c:v>0.124</c:v>
                </c:pt>
                <c:pt idx="14">
                  <c:v>0.1066</c:v>
                </c:pt>
                <c:pt idx="15">
                  <c:v>8.4099999999999994E-2</c:v>
                </c:pt>
                <c:pt idx="16">
                  <c:v>0.1105</c:v>
                </c:pt>
                <c:pt idx="17">
                  <c:v>0.1179</c:v>
                </c:pt>
                <c:pt idx="18">
                  <c:v>8.9099999999999999E-2</c:v>
                </c:pt>
                <c:pt idx="19">
                  <c:v>8.1600000000000006E-2</c:v>
                </c:pt>
                <c:pt idx="20">
                  <c:v>0.1038</c:v>
                </c:pt>
                <c:pt idx="21">
                  <c:v>0.1037</c:v>
                </c:pt>
                <c:pt idx="22">
                  <c:v>8.4699999999999998E-2</c:v>
                </c:pt>
                <c:pt idx="23">
                  <c:v>8.43E-2</c:v>
                </c:pt>
                <c:pt idx="24">
                  <c:v>0.1221</c:v>
                </c:pt>
                <c:pt idx="25">
                  <c:v>5.5199999999999999E-2</c:v>
                </c:pt>
                <c:pt idx="26">
                  <c:v>2.6499999999999999E-2</c:v>
                </c:pt>
              </c:numCache>
            </c:numRef>
          </c:val>
        </c:ser>
        <c:ser>
          <c:idx val="1"/>
          <c:order val="1"/>
          <c:invertIfNegative val="0"/>
          <c:cat>
            <c:strRef>
              <c:f>'[Chart in Microsoft Word]Sheet1 (2)'!$G$4:$G$30</c:f>
              <c:strCache>
                <c:ptCount val="27"/>
                <c:pt idx="0">
                  <c:v>القاهرة</c:v>
                </c:pt>
                <c:pt idx="1">
                  <c:v>الاسكندرية</c:v>
                </c:pt>
                <c:pt idx="2">
                  <c:v>بورسعيد</c:v>
                </c:pt>
                <c:pt idx="3">
                  <c:v>السويس</c:v>
                </c:pt>
                <c:pt idx="4">
                  <c:v>دمياط</c:v>
                </c:pt>
                <c:pt idx="5">
                  <c:v>الدقهلية</c:v>
                </c:pt>
                <c:pt idx="6">
                  <c:v>الشرقية</c:v>
                </c:pt>
                <c:pt idx="7">
                  <c:v>القليوبية</c:v>
                </c:pt>
                <c:pt idx="8">
                  <c:v>كفر الشيخ</c:v>
                </c:pt>
                <c:pt idx="9">
                  <c:v>الغربية</c:v>
                </c:pt>
                <c:pt idx="10">
                  <c:v>المنوفية</c:v>
                </c:pt>
                <c:pt idx="11">
                  <c:v>البحيرة</c:v>
                </c:pt>
                <c:pt idx="12">
                  <c:v>الاسماعيلية</c:v>
                </c:pt>
                <c:pt idx="13">
                  <c:v>الجيزة</c:v>
                </c:pt>
                <c:pt idx="14">
                  <c:v>بني سويف</c:v>
                </c:pt>
                <c:pt idx="15">
                  <c:v>الفيوم</c:v>
                </c:pt>
                <c:pt idx="16">
                  <c:v>المنيا</c:v>
                </c:pt>
                <c:pt idx="17">
                  <c:v>أسيوط</c:v>
                </c:pt>
                <c:pt idx="18">
                  <c:v>سوهاج</c:v>
                </c:pt>
                <c:pt idx="19">
                  <c:v>قنا</c:v>
                </c:pt>
                <c:pt idx="20">
                  <c:v>اسوان</c:v>
                </c:pt>
                <c:pt idx="21">
                  <c:v>الأقصر</c:v>
                </c:pt>
                <c:pt idx="22">
                  <c:v>البحر الأحمر</c:v>
                </c:pt>
                <c:pt idx="23">
                  <c:v>الوادي الجديد</c:v>
                </c:pt>
                <c:pt idx="24">
                  <c:v>مطروح</c:v>
                </c:pt>
                <c:pt idx="25">
                  <c:v>شمال سيناء</c:v>
                </c:pt>
                <c:pt idx="26">
                  <c:v>جنوب سيناء</c:v>
                </c:pt>
              </c:strCache>
            </c:strRef>
          </c:cat>
          <c:val>
            <c:numRef>
              <c:f>'[Chart in Microsoft Word]Sheet1 (2)'!$J$4:$J$30</c:f>
              <c:numCache>
                <c:formatCode>0.00%</c:formatCode>
                <c:ptCount val="27"/>
                <c:pt idx="0">
                  <c:v>5.0500000000000003E-2</c:v>
                </c:pt>
                <c:pt idx="1">
                  <c:v>4.4499999999999998E-2</c:v>
                </c:pt>
                <c:pt idx="2">
                  <c:v>3.8199999999999998E-2</c:v>
                </c:pt>
                <c:pt idx="3">
                  <c:v>3.56E-2</c:v>
                </c:pt>
                <c:pt idx="4">
                  <c:v>4.7600000000000003E-2</c:v>
                </c:pt>
                <c:pt idx="5">
                  <c:v>3.9399999999999998E-2</c:v>
                </c:pt>
                <c:pt idx="6">
                  <c:v>2.98E-2</c:v>
                </c:pt>
                <c:pt idx="7">
                  <c:v>4.3999999999999997E-2</c:v>
                </c:pt>
                <c:pt idx="8">
                  <c:v>3.4599999999999999E-2</c:v>
                </c:pt>
                <c:pt idx="9">
                  <c:v>3.3599999999999998E-2</c:v>
                </c:pt>
                <c:pt idx="10">
                  <c:v>2.81E-2</c:v>
                </c:pt>
                <c:pt idx="11">
                  <c:v>4.1000000000000002E-2</c:v>
                </c:pt>
                <c:pt idx="12">
                  <c:v>3.4599999999999999E-2</c:v>
                </c:pt>
                <c:pt idx="13">
                  <c:v>4.1599999999999998E-2</c:v>
                </c:pt>
                <c:pt idx="14">
                  <c:v>3.8100000000000002E-2</c:v>
                </c:pt>
                <c:pt idx="15">
                  <c:v>2.76E-2</c:v>
                </c:pt>
                <c:pt idx="16">
                  <c:v>3.5700000000000003E-2</c:v>
                </c:pt>
                <c:pt idx="17">
                  <c:v>4.0899999999999999E-2</c:v>
                </c:pt>
                <c:pt idx="18">
                  <c:v>0.03</c:v>
                </c:pt>
                <c:pt idx="19">
                  <c:v>2.8000000000000001E-2</c:v>
                </c:pt>
                <c:pt idx="20">
                  <c:v>3.1800000000000002E-2</c:v>
                </c:pt>
                <c:pt idx="21">
                  <c:v>3.6600000000000001E-2</c:v>
                </c:pt>
                <c:pt idx="22">
                  <c:v>2.2200000000000001E-2</c:v>
                </c:pt>
                <c:pt idx="23">
                  <c:v>2.3400000000000001E-2</c:v>
                </c:pt>
                <c:pt idx="24">
                  <c:v>3.7499999999999999E-2</c:v>
                </c:pt>
                <c:pt idx="25">
                  <c:v>1.2999999999999999E-2</c:v>
                </c:pt>
                <c:pt idx="26">
                  <c:v>6.4000000000000003E-3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8951296"/>
        <c:axId val="118961280"/>
        <c:axId val="117497856"/>
      </c:bar3DChart>
      <c:catAx>
        <c:axId val="1189512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en-US"/>
          </a:p>
        </c:txPr>
        <c:crossAx val="118961280"/>
        <c:crosses val="autoZero"/>
        <c:auto val="1"/>
        <c:lblAlgn val="ctr"/>
        <c:lblOffset val="100"/>
        <c:noMultiLvlLbl val="0"/>
      </c:catAx>
      <c:valAx>
        <c:axId val="11896128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18951296"/>
        <c:crosses val="autoZero"/>
        <c:crossBetween val="between"/>
      </c:valAx>
      <c:serAx>
        <c:axId val="117497856"/>
        <c:scaling>
          <c:orientation val="minMax"/>
        </c:scaling>
        <c:delete val="1"/>
        <c:axPos val="b"/>
        <c:majorTickMark val="out"/>
        <c:minorTickMark val="none"/>
        <c:tickLblPos val="nextTo"/>
        <c:crossAx val="118961280"/>
        <c:crosses val="autoZero"/>
      </c:ser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FE8E6-0A40-443D-AC1A-B4333937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6821</Words>
  <Characters>38883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معهد التخطيط القومي                        الماجستير المهني في التخطيط للتنمية المستدامة</vt:lpstr>
    </vt:vector>
  </TitlesOfParts>
  <Company>CitcD</Company>
  <LinksUpToDate>false</LinksUpToDate>
  <CharactersWithSpaces>45613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الماجستير المهني في التخطيط للتنمية المستدامة</dc:title>
  <dc:creator>User</dc:creator>
  <cp:lastModifiedBy>INP</cp:lastModifiedBy>
  <cp:revision>2</cp:revision>
  <cp:lastPrinted>2022-05-06T21:11:00Z</cp:lastPrinted>
  <dcterms:created xsi:type="dcterms:W3CDTF">2022-06-15T08:17:00Z</dcterms:created>
  <dcterms:modified xsi:type="dcterms:W3CDTF">2022-06-15T08:17:00Z</dcterms:modified>
</cp:coreProperties>
</file>