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B2" w:rsidRPr="00375EB0" w:rsidRDefault="00B917B2" w:rsidP="00B917B2">
      <w:pPr>
        <w:spacing w:line="240" w:lineRule="auto"/>
        <w:rPr>
          <w:rFonts w:ascii="Simplified Arabic" w:hAnsi="Simplified Arabic" w:cs="Simplified Arabic"/>
          <w:sz w:val="28"/>
          <w:szCs w:val="28"/>
          <w:rtl/>
          <w:lang w:val="en-US" w:bidi="ar-EG"/>
        </w:rPr>
      </w:pPr>
    </w:p>
    <w:p w:rsidR="00B917B2" w:rsidRPr="00375EB0" w:rsidRDefault="00B917B2" w:rsidP="00B917B2">
      <w:pPr>
        <w:spacing w:line="240" w:lineRule="auto"/>
        <w:rPr>
          <w:rFonts w:ascii="Simplified Arabic" w:hAnsi="Simplified Arabic" w:cs="Simplified Arabic"/>
          <w:sz w:val="28"/>
          <w:szCs w:val="28"/>
          <w:rtl/>
          <w:lang w:val="en-US" w:bidi="ar-EG"/>
        </w:rPr>
      </w:pPr>
    </w:p>
    <w:p w:rsidR="00B917B2" w:rsidRPr="00375EB0" w:rsidRDefault="00B917B2" w:rsidP="00B917B2">
      <w:pPr>
        <w:bidi/>
        <w:spacing w:after="0" w:line="240" w:lineRule="auto"/>
        <w:rPr>
          <w:rFonts w:ascii="Simplified Arabic" w:hAnsi="Simplified Arabic" w:cs="Simplified Arabic"/>
          <w:sz w:val="28"/>
          <w:szCs w:val="28"/>
          <w:rtl/>
          <w:lang w:val="en-US" w:bidi="ar-EG"/>
        </w:rPr>
      </w:pPr>
    </w:p>
    <w:p w:rsidR="00B917B2" w:rsidRPr="00375EB0" w:rsidRDefault="00B917B2" w:rsidP="00B917B2">
      <w:pPr>
        <w:bidi/>
        <w:spacing w:before="240" w:after="0" w:line="240" w:lineRule="auto"/>
        <w:ind w:left="1134"/>
        <w:contextualSpacing/>
        <w:jc w:val="both"/>
        <w:rPr>
          <w:rFonts w:ascii="Simplified Arabic" w:hAnsi="Simplified Arabic" w:cs="Simplified Arabic"/>
          <w:sz w:val="32"/>
          <w:szCs w:val="32"/>
          <w:rtl/>
          <w:lang w:val="en-US"/>
        </w:rPr>
      </w:pPr>
    </w:p>
    <w:p w:rsidR="00B917B2" w:rsidRPr="00375EB0" w:rsidRDefault="00B917B2" w:rsidP="00B917B2">
      <w:pPr>
        <w:bidi/>
        <w:spacing w:line="240" w:lineRule="auto"/>
        <w:jc w:val="center"/>
        <w:rPr>
          <w:rFonts w:ascii="Simplified Arabic" w:eastAsia="Times New Roman" w:hAnsi="Simplified Arabic" w:cs="Simplified Arabic"/>
          <w:b/>
          <w:bCs/>
          <w:sz w:val="98"/>
          <w:szCs w:val="98"/>
          <w:rtl/>
          <w:lang w:val="en-US" w:bidi="ar-OM"/>
        </w:rPr>
      </w:pPr>
      <w:bookmarkStart w:id="0" w:name="_Hlk61089149"/>
      <w:r w:rsidRPr="00375EB0">
        <w:rPr>
          <w:rFonts w:ascii="Simplified Arabic" w:hAnsi="Simplified Arabic" w:cs="Simplified Arabic"/>
          <w:noProof/>
          <w:sz w:val="28"/>
          <w:szCs w:val="28"/>
          <w:rtl/>
          <w:lang w:val="en-US"/>
        </w:rPr>
        <mc:AlternateContent>
          <mc:Choice Requires="wps">
            <w:drawing>
              <wp:anchor distT="0" distB="0" distL="114300" distR="114300" simplePos="0" relativeHeight="251668480" behindDoc="0" locked="0" layoutInCell="1" allowOverlap="1" wp14:anchorId="77ADDBF3" wp14:editId="63DBF91A">
                <wp:simplePos x="0" y="0"/>
                <wp:positionH relativeFrom="page">
                  <wp:posOffset>1485265</wp:posOffset>
                </wp:positionH>
                <wp:positionV relativeFrom="paragraph">
                  <wp:posOffset>762635</wp:posOffset>
                </wp:positionV>
                <wp:extent cx="3333750" cy="1957705"/>
                <wp:effectExtent l="19050" t="19050" r="19050" b="23495"/>
                <wp:wrapNone/>
                <wp:docPr id="21" name="Rounded Rectangle 21"/>
                <wp:cNvGraphicFramePr/>
                <a:graphic xmlns:a="http://schemas.openxmlformats.org/drawingml/2006/main">
                  <a:graphicData uri="http://schemas.microsoft.com/office/word/2010/wordprocessingShape">
                    <wps:wsp>
                      <wps:cNvSpPr/>
                      <wps:spPr>
                        <a:xfrm>
                          <a:off x="0" y="0"/>
                          <a:ext cx="3333750" cy="1957705"/>
                        </a:xfrm>
                        <a:prstGeom prst="roundRect">
                          <a:avLst/>
                        </a:prstGeom>
                        <a:noFill/>
                        <a:ln w="28575" cap="flat" cmpd="thinThick"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6C9E78" id="Rounded Rectangle 21" o:spid="_x0000_s1026" style="position:absolute;margin-left:116.95pt;margin-top:60.05pt;width:262.5pt;height:154.15pt;z-index:2516684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" filled="f" strokecolor="black [3213]" strokeweight="2.25pt">
                <v:stroke linestyle="thinThick"/>
                <w10:wrap anchorx="page"/>
              </v:roundrect>
            </w:pict>
          </mc:Fallback>
        </mc:AlternateContent>
      </w:r>
    </w:p>
    <w:p w:rsidR="00B917B2" w:rsidRPr="004869DE" w:rsidRDefault="00B917B2" w:rsidP="00B917B2">
      <w:pPr>
        <w:bidi/>
        <w:spacing w:after="120" w:line="240" w:lineRule="auto"/>
        <w:jc w:val="center"/>
        <w:rPr>
          <w:rFonts w:ascii="Simplified Arabic" w:eastAsia="Times New Roman" w:hAnsi="Simplified Arabic" w:cs="Simplified Arabic"/>
          <w:b/>
          <w:bCs/>
          <w:sz w:val="44"/>
          <w:szCs w:val="44"/>
          <w:rtl/>
          <w:lang w:val="en-US" w:bidi="ar-OM"/>
        </w:rPr>
      </w:pPr>
      <w:r w:rsidRPr="004869DE">
        <w:rPr>
          <w:rFonts w:ascii="Simplified Arabic" w:eastAsia="Times New Roman" w:hAnsi="Simplified Arabic" w:cs="Simplified Arabic"/>
          <w:b/>
          <w:bCs/>
          <w:sz w:val="44"/>
          <w:szCs w:val="44"/>
          <w:rtl/>
          <w:lang w:val="en-US" w:bidi="ar-OM"/>
        </w:rPr>
        <w:t xml:space="preserve">الفصل </w:t>
      </w:r>
      <w:r w:rsidRPr="004869DE">
        <w:rPr>
          <w:rFonts w:ascii="Simplified Arabic" w:eastAsia="Times New Roman" w:hAnsi="Simplified Arabic" w:cs="Simplified Arabic" w:hint="cs"/>
          <w:b/>
          <w:bCs/>
          <w:sz w:val="44"/>
          <w:szCs w:val="44"/>
          <w:rtl/>
          <w:lang w:val="en-US" w:bidi="ar-OM"/>
        </w:rPr>
        <w:t>الثانى</w:t>
      </w:r>
    </w:p>
    <w:p w:rsidR="00B917B2" w:rsidRPr="00375EB0" w:rsidRDefault="00B917B2" w:rsidP="00B917B2">
      <w:pPr>
        <w:bidi/>
        <w:spacing w:after="120" w:line="240" w:lineRule="auto"/>
        <w:jc w:val="center"/>
        <w:rPr>
          <w:rFonts w:ascii="Simplified Arabic" w:eastAsia="Times New Roman" w:hAnsi="Simplified Arabic" w:cs="Simplified Arabic"/>
          <w:b/>
          <w:bCs/>
          <w:sz w:val="44"/>
          <w:szCs w:val="44"/>
          <w:rtl/>
          <w:lang w:val="en-US" w:bidi="ar-OM"/>
        </w:rPr>
      </w:pPr>
      <w:r w:rsidRPr="004869DE">
        <w:rPr>
          <w:rFonts w:ascii="Simplified Arabic" w:eastAsia="Times New Roman" w:hAnsi="Simplified Arabic" w:cs="Simplified Arabic"/>
          <w:b/>
          <w:bCs/>
          <w:sz w:val="44"/>
          <w:szCs w:val="44"/>
          <w:rtl/>
          <w:lang w:val="en-US" w:bidi="ar-OM"/>
        </w:rPr>
        <w:t>الإطار النظري للدراسة</w:t>
      </w:r>
    </w:p>
    <w:bookmarkEnd w:id="0"/>
    <w:p w:rsidR="00B917B2" w:rsidRPr="00375EB0" w:rsidRDefault="00B917B2" w:rsidP="00B917B2">
      <w:pPr>
        <w:spacing w:line="240" w:lineRule="auto"/>
        <w:rPr>
          <w:rFonts w:ascii="Simplified Arabic" w:eastAsia="Times New Roman" w:hAnsi="Simplified Arabic" w:cs="Simplified Arabic"/>
          <w:b/>
          <w:bCs/>
          <w:sz w:val="32"/>
          <w:szCs w:val="32"/>
          <w:rtl/>
          <w:lang w:val="en-US" w:bidi="ar-OM"/>
        </w:rPr>
      </w:pPr>
      <w:r w:rsidRPr="00375EB0">
        <w:rPr>
          <w:rFonts w:ascii="Simplified Arabic" w:eastAsia="Times New Roman" w:hAnsi="Simplified Arabic" w:cs="Simplified Arabic"/>
          <w:b/>
          <w:bCs/>
          <w:sz w:val="32"/>
          <w:szCs w:val="32"/>
          <w:rtl/>
          <w:lang w:val="en-US" w:bidi="ar-OM"/>
        </w:rPr>
        <w:br w:type="page"/>
      </w:r>
    </w:p>
    <w:p w:rsidR="00B917B2" w:rsidRPr="00375EB0" w:rsidRDefault="00B917B2" w:rsidP="00B917B2">
      <w:pPr>
        <w:bidi/>
        <w:spacing w:after="0" w:line="240" w:lineRule="auto"/>
        <w:ind w:left="721" w:hanging="721"/>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u w:val="single"/>
          <w:rtl/>
          <w:lang w:val="en-US" w:bidi="ar-EG"/>
        </w:rPr>
        <w:lastRenderedPageBreak/>
        <w:t>المبحث الأول</w:t>
      </w:r>
    </w:p>
    <w:p w:rsidR="00B917B2" w:rsidRPr="00375EB0" w:rsidRDefault="00B917B2" w:rsidP="00B917B2">
      <w:pPr>
        <w:bidi/>
        <w:spacing w:after="0" w:line="240" w:lineRule="auto"/>
        <w:ind w:hanging="1"/>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u w:val="single"/>
          <w:rtl/>
          <w:lang w:bidi="ar-EG"/>
        </w:rPr>
        <w:t>تحليل حالة السكان 2017</w:t>
      </w:r>
    </w:p>
    <w:p w:rsidR="00B917B2" w:rsidRPr="00375EB0" w:rsidRDefault="00B917B2" w:rsidP="00B917B2">
      <w:pPr>
        <w:bidi/>
        <w:spacing w:after="0" w:line="240" w:lineRule="auto"/>
        <w:ind w:left="1" w:hanging="1"/>
        <w:jc w:val="both"/>
        <w:rPr>
          <w:rFonts w:ascii="Simplified Arabic" w:eastAsia="Calibri" w:hAnsi="Simplified Arabic" w:cs="Simplified Arabic"/>
          <w:sz w:val="30"/>
          <w:szCs w:val="30"/>
          <w:rtl/>
          <w:lang w:val="en-US" w:bidi="ar-EG"/>
        </w:rPr>
      </w:pPr>
      <w:r w:rsidRPr="00375EB0">
        <w:rPr>
          <w:rFonts w:ascii="Simplified Arabic" w:eastAsia="Calibri" w:hAnsi="Simplified Arabic" w:cs="Simplified Arabic"/>
          <w:b/>
          <w:bCs/>
          <w:sz w:val="30"/>
          <w:szCs w:val="30"/>
          <w:u w:val="single"/>
          <w:rtl/>
          <w:lang w:val="en-US" w:bidi="ar-EG"/>
        </w:rPr>
        <w:t>تمهيد</w:t>
      </w:r>
      <w:r w:rsidRPr="00375EB0">
        <w:rPr>
          <w:rFonts w:ascii="Simplified Arabic" w:eastAsia="Calibri" w:hAnsi="Simplified Arabic" w:cs="Simplified Arabic"/>
          <w:b/>
          <w:bCs/>
          <w:sz w:val="30"/>
          <w:szCs w:val="30"/>
          <w:rtl/>
          <w:lang w:val="en-US" w:bidi="ar-EG"/>
        </w:rPr>
        <w:t>:</w:t>
      </w:r>
      <w:r w:rsidRPr="00375EB0">
        <w:rPr>
          <w:rFonts w:ascii="Simplified Arabic" w:eastAsia="Calibri" w:hAnsi="Simplified Arabic" w:cs="Simplified Arabic"/>
          <w:sz w:val="30"/>
          <w:szCs w:val="30"/>
          <w:rtl/>
          <w:lang w:val="en-US" w:bidi="ar-EG"/>
        </w:rPr>
        <w:t xml:space="preserve"> </w:t>
      </w:r>
    </w:p>
    <w:p w:rsidR="00B917B2" w:rsidRPr="00375EB0" w:rsidRDefault="00B917B2" w:rsidP="00B917B2">
      <w:pPr>
        <w:bidi/>
        <w:spacing w:after="0" w:line="240" w:lineRule="auto"/>
        <w:ind w:firstLine="648"/>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لا شك أن السكان في أي مجتمع هم المورد الرئيس للتنمية شريطة أن يحمل هؤلاء السكان خصائص جيدة كالتعليم والصحة ليكونوا قادرين على تحمل مسئولياتهم تجاه المجتمع</w:t>
      </w:r>
      <w:r w:rsidRPr="00375EB0">
        <w:rPr>
          <w:rFonts w:ascii="Simplified Arabic" w:eastAsia="Calibri" w:hAnsi="Simplified Arabic" w:cs="Simplified Arabic"/>
          <w:sz w:val="28"/>
          <w:szCs w:val="28"/>
          <w:vertAlign w:val="superscript"/>
          <w:rtl/>
          <w:lang w:val="en-US" w:bidi="ar-EG"/>
        </w:rPr>
        <w:footnoteReference w:id="1"/>
      </w:r>
      <w:r w:rsidRPr="00375EB0">
        <w:rPr>
          <w:rFonts w:ascii="Simplified Arabic" w:eastAsia="Calibri" w:hAnsi="Simplified Arabic" w:cs="Simplified Arabic"/>
          <w:sz w:val="28"/>
          <w:szCs w:val="28"/>
          <w:rtl/>
          <w:lang w:val="en-US" w:bidi="ar-EG"/>
        </w:rPr>
        <w:t>، وعلى الرغم من أن مصر من المجتمعات الفتية حيث تشكل الفئة العمرية أقل من 15 سنه حوإلي ثلث السكان بنسبة 34,1٪، وبلغت نسبة السكان في سن العمل أي في الفئة العمرية (15-64) 61,7٪ عام 2017، وكان من الممكن أن يعتبر ذلك منحة ديموجرافية إذا تم استثمار هذه الطاقة الهائلة الاستثمار الأمثل واكسابها الخصائص الجيدة.</w:t>
      </w:r>
    </w:p>
    <w:p w:rsidR="00B917B2" w:rsidRPr="00375EB0" w:rsidRDefault="00B917B2" w:rsidP="00B917B2">
      <w:pPr>
        <w:bidi/>
        <w:spacing w:after="0" w:line="240" w:lineRule="auto"/>
        <w:ind w:firstLine="648"/>
        <w:jc w:val="both"/>
        <w:rPr>
          <w:rFonts w:ascii="Simplified Arabic" w:eastAsiaTheme="minorEastAsia" w:hAnsi="Simplified Arabic" w:cs="Simplified Arabic"/>
          <w:sz w:val="28"/>
          <w:szCs w:val="28"/>
          <w:rtl/>
          <w:lang w:val="en-US" w:bidi="ar-EG"/>
        </w:rPr>
      </w:pPr>
      <w:r w:rsidRPr="00375EB0">
        <w:rPr>
          <w:rFonts w:ascii="Simplified Arabic" w:eastAsiaTheme="minorEastAsia" w:hAnsi="Simplified Arabic" w:cs="Simplified Arabic"/>
          <w:sz w:val="28"/>
          <w:szCs w:val="28"/>
          <w:rtl/>
          <w:lang w:val="en-US" w:bidi="ar-EG"/>
        </w:rPr>
        <w:t xml:space="preserve">ومن المتعارف عليه أن العلاقة بين السكان والتنمية علاقة تفاعلية فالسكان أحد الأسباب الأساسية للنمو الاقتصادي باعتبارهم الموارد البشرية المنتجة إلا أن للزيادة السكانية آثاراً سلبية فكلما ارتفع معدل النمو السكاني غير المخطط زاد </w:t>
      </w:r>
      <w:r w:rsidRPr="00375EB0">
        <w:rPr>
          <w:rFonts w:ascii="Simplified Arabic" w:eastAsiaTheme="minorEastAsia" w:hAnsi="Simplified Arabic" w:cs="Simplified Arabic" w:hint="cs"/>
          <w:sz w:val="28"/>
          <w:szCs w:val="28"/>
          <w:rtl/>
          <w:lang w:val="en-US" w:bidi="ar-EG"/>
        </w:rPr>
        <w:t>إ</w:t>
      </w:r>
      <w:r w:rsidRPr="00375EB0">
        <w:rPr>
          <w:rFonts w:ascii="Simplified Arabic" w:eastAsiaTheme="minorEastAsia" w:hAnsi="Simplified Arabic" w:cs="Simplified Arabic"/>
          <w:sz w:val="28"/>
          <w:szCs w:val="28"/>
          <w:rtl/>
          <w:lang w:val="en-US" w:bidi="ar-EG"/>
        </w:rPr>
        <w:t>لتهام عوائد النمو الاقتصادي، وتقع مصر فى مقدمة الدول التى تعاني من آثار المشكلة السكانية، إذ تقوض الجهود المستمرة فى التنمية</w:t>
      </w:r>
      <w:r w:rsidRPr="00375EB0">
        <w:rPr>
          <w:rFonts w:ascii="Simplified Arabic" w:eastAsiaTheme="minorEastAsia" w:hAnsi="Simplified Arabic" w:cs="Simplified Arabic"/>
          <w:sz w:val="28"/>
          <w:szCs w:val="28"/>
          <w:vertAlign w:val="superscript"/>
          <w:rtl/>
          <w:lang w:val="en-US" w:bidi="ar-EG"/>
        </w:rPr>
        <w:footnoteReference w:id="2"/>
      </w:r>
      <w:r w:rsidRPr="00375EB0">
        <w:rPr>
          <w:rFonts w:ascii="Simplified Arabic" w:eastAsiaTheme="minorEastAsia" w:hAnsi="Simplified Arabic" w:cs="Simplified Arabic"/>
          <w:sz w:val="28"/>
          <w:szCs w:val="28"/>
          <w:rtl/>
          <w:lang w:val="en-US" w:bidi="ar-EG"/>
        </w:rPr>
        <w:t>.</w:t>
      </w:r>
    </w:p>
    <w:p w:rsidR="00B917B2" w:rsidRPr="00375EB0" w:rsidRDefault="00B917B2" w:rsidP="00B917B2">
      <w:pPr>
        <w:bidi/>
        <w:spacing w:after="0" w:line="240" w:lineRule="auto"/>
        <w:ind w:firstLine="648"/>
        <w:jc w:val="both"/>
        <w:rPr>
          <w:rFonts w:ascii="Simplified Arabic" w:eastAsiaTheme="minorEastAsia" w:hAnsi="Simplified Arabic" w:cs="Simplified Arabic"/>
          <w:sz w:val="28"/>
          <w:szCs w:val="28"/>
          <w:rtl/>
          <w:lang w:val="en-US" w:bidi="ar-EG"/>
        </w:rPr>
      </w:pPr>
      <w:r w:rsidRPr="00375EB0">
        <w:rPr>
          <w:rFonts w:ascii="Simplified Arabic" w:eastAsiaTheme="minorEastAsia" w:hAnsi="Simplified Arabic" w:cs="Simplified Arabic"/>
          <w:sz w:val="28"/>
          <w:szCs w:val="28"/>
          <w:rtl/>
          <w:lang w:val="en-US" w:bidi="ar-EG"/>
        </w:rPr>
        <w:t>ويجب ألا ينظر إلى الزيادة السكانية كمشكلة فى حد ذاتها ولكن ينظر إليها فى ضوء عدم التوازن بين السكان من ناحية والموارد الطبيعية والنمو الاقتصادى من ناحية أخرى، وما لذلك من تداعيات على الجوانب الاقتصادية والاجتماعية والصحية للمجتمع</w:t>
      </w:r>
      <w:r w:rsidRPr="00375EB0">
        <w:rPr>
          <w:rFonts w:ascii="Simplified Arabic" w:eastAsiaTheme="minorEastAsia" w:hAnsi="Simplified Arabic" w:cs="Simplified Arabic"/>
          <w:sz w:val="28"/>
          <w:szCs w:val="28"/>
          <w:vertAlign w:val="superscript"/>
          <w:rtl/>
          <w:lang w:val="en-US" w:bidi="ar-EG"/>
        </w:rPr>
        <w:footnoteReference w:id="3"/>
      </w:r>
      <w:r w:rsidRPr="00375EB0">
        <w:rPr>
          <w:rFonts w:ascii="Simplified Arabic" w:eastAsiaTheme="minorEastAsia" w:hAnsi="Simplified Arabic" w:cs="Simplified Arabic"/>
          <w:sz w:val="28"/>
          <w:szCs w:val="28"/>
          <w:rtl/>
          <w:lang w:val="en-US" w:bidi="ar-EG"/>
        </w:rPr>
        <w:t xml:space="preserve">، فنسب التنمية لا تتماشى مع نسب الزيادة السكانية، ومن المفترض أن يكون معدل النمو الاقتصادى أكثر من ثلاثة </w:t>
      </w:r>
      <w:r w:rsidRPr="00375EB0">
        <w:rPr>
          <w:rFonts w:ascii="Simplified Arabic" w:eastAsiaTheme="minorEastAsia" w:hAnsi="Simplified Arabic" w:cs="Simplified Arabic" w:hint="cs"/>
          <w:sz w:val="28"/>
          <w:szCs w:val="28"/>
          <w:rtl/>
          <w:lang w:val="en-US" w:bidi="ar-EG"/>
        </w:rPr>
        <w:t>امثال</w:t>
      </w:r>
      <w:r w:rsidRPr="00375EB0">
        <w:rPr>
          <w:rFonts w:ascii="Simplified Arabic" w:eastAsiaTheme="minorEastAsia" w:hAnsi="Simplified Arabic" w:cs="Simplified Arabic"/>
          <w:sz w:val="28"/>
          <w:szCs w:val="28"/>
          <w:rtl/>
          <w:lang w:val="en-US" w:bidi="ar-EG"/>
        </w:rPr>
        <w:t xml:space="preserve"> معدل النمو السكانى حتى يمكن لأفراد المجتمع الشعور بعوائد جهود التنمية</w:t>
      </w:r>
      <w:r w:rsidRPr="00375EB0">
        <w:rPr>
          <w:rFonts w:ascii="Simplified Arabic" w:eastAsiaTheme="minorEastAsia" w:hAnsi="Simplified Arabic" w:cs="Simplified Arabic" w:hint="cs"/>
          <w:sz w:val="28"/>
          <w:szCs w:val="28"/>
          <w:rtl/>
          <w:lang w:val="en-US" w:bidi="ar-EG"/>
        </w:rPr>
        <w:t xml:space="preserve">، </w:t>
      </w:r>
      <w:r w:rsidRPr="00375EB0">
        <w:rPr>
          <w:rFonts w:ascii="Simplified Arabic" w:eastAsiaTheme="minorEastAsia" w:hAnsi="Simplified Arabic" w:cs="Simplified Arabic"/>
          <w:sz w:val="28"/>
          <w:szCs w:val="28"/>
          <w:u w:val="single"/>
          <w:rtl/>
          <w:lang w:val="en-US" w:bidi="ar-EG"/>
        </w:rPr>
        <w:t>وتتبلور المشكلة السكانية فى ثلاثة أبعاد رئيسة</w:t>
      </w:r>
      <w:r w:rsidRPr="00375EB0">
        <w:rPr>
          <w:rFonts w:ascii="Simplified Arabic" w:eastAsiaTheme="minorEastAsia" w:hAnsi="Simplified Arabic" w:cs="Simplified Arabic"/>
          <w:sz w:val="28"/>
          <w:szCs w:val="28"/>
          <w:rtl/>
          <w:lang w:val="en-US" w:bidi="ar-EG"/>
        </w:rPr>
        <w:t>:</w:t>
      </w:r>
    </w:p>
    <w:p w:rsidR="00B917B2" w:rsidRPr="00375EB0" w:rsidRDefault="00B917B2" w:rsidP="00B917B2">
      <w:pPr>
        <w:bidi/>
        <w:spacing w:after="0" w:line="240" w:lineRule="auto"/>
        <w:ind w:firstLine="648"/>
        <w:jc w:val="both"/>
        <w:rPr>
          <w:rFonts w:ascii="Simplified Arabic" w:hAnsi="Simplified Arabic" w:cs="Simplified Arabic"/>
          <w:sz w:val="18"/>
          <w:szCs w:val="18"/>
          <w:vertAlign w:val="superscript"/>
          <w:rtl/>
          <w:lang w:val="en-US"/>
        </w:rPr>
      </w:pPr>
    </w:p>
    <w:p w:rsidR="00B917B2" w:rsidRPr="00375EB0" w:rsidRDefault="00B917B2" w:rsidP="00616254">
      <w:pPr>
        <w:numPr>
          <w:ilvl w:val="0"/>
          <w:numId w:val="2"/>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lastRenderedPageBreak/>
        <w:t>البعد الأول: النمو السكاني المرتفع</w:t>
      </w:r>
      <w:r w:rsidRPr="00375EB0">
        <w:rPr>
          <w:rFonts w:ascii="Simplified Arabic" w:eastAsia="Calibri" w:hAnsi="Simplified Arabic" w:cs="Simplified Arabic" w:hint="cs"/>
          <w:sz w:val="28"/>
          <w:szCs w:val="28"/>
          <w:rtl/>
          <w:lang w:val="en-US" w:bidi="ar-EG"/>
        </w:rPr>
        <w:t>.</w:t>
      </w:r>
    </w:p>
    <w:p w:rsidR="00B917B2" w:rsidRPr="00375EB0" w:rsidRDefault="00B917B2" w:rsidP="00616254">
      <w:pPr>
        <w:numPr>
          <w:ilvl w:val="0"/>
          <w:numId w:val="2"/>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البعد الثانى: سوء </w:t>
      </w:r>
      <w:r w:rsidRPr="00375EB0">
        <w:rPr>
          <w:rFonts w:ascii="Simplified Arabic" w:eastAsia="Calibri" w:hAnsi="Simplified Arabic" w:cs="Simplified Arabic" w:hint="cs"/>
          <w:sz w:val="28"/>
          <w:szCs w:val="28"/>
          <w:rtl/>
          <w:lang w:val="en-US" w:bidi="ar-EG"/>
        </w:rPr>
        <w:t>ال</w:t>
      </w:r>
      <w:r w:rsidRPr="00375EB0">
        <w:rPr>
          <w:rFonts w:ascii="Simplified Arabic" w:eastAsia="Calibri" w:hAnsi="Simplified Arabic" w:cs="Simplified Arabic"/>
          <w:sz w:val="28"/>
          <w:szCs w:val="28"/>
          <w:rtl/>
          <w:lang w:val="en-US" w:bidi="ar-EG"/>
        </w:rPr>
        <w:t xml:space="preserve">توزيع </w:t>
      </w:r>
      <w:r w:rsidRPr="00375EB0">
        <w:rPr>
          <w:rFonts w:ascii="Simplified Arabic" w:eastAsia="Calibri" w:hAnsi="Simplified Arabic" w:cs="Simplified Arabic" w:hint="cs"/>
          <w:sz w:val="28"/>
          <w:szCs w:val="28"/>
          <w:rtl/>
          <w:lang w:val="en-US" w:bidi="ar-EG"/>
        </w:rPr>
        <w:t>الجغرافي ل</w:t>
      </w:r>
      <w:r w:rsidRPr="00375EB0">
        <w:rPr>
          <w:rFonts w:ascii="Simplified Arabic" w:eastAsia="Calibri" w:hAnsi="Simplified Arabic" w:cs="Simplified Arabic"/>
          <w:sz w:val="28"/>
          <w:szCs w:val="28"/>
          <w:rtl/>
          <w:lang w:val="en-US" w:bidi="ar-EG"/>
        </w:rPr>
        <w:t>لسكان</w:t>
      </w:r>
      <w:r w:rsidRPr="00375EB0">
        <w:rPr>
          <w:rFonts w:ascii="Simplified Arabic" w:eastAsia="Calibri" w:hAnsi="Simplified Arabic" w:cs="Simplified Arabic" w:hint="cs"/>
          <w:sz w:val="28"/>
          <w:szCs w:val="28"/>
          <w:rtl/>
          <w:lang w:val="en-US" w:bidi="ar-EG"/>
        </w:rPr>
        <w:t>.</w:t>
      </w:r>
    </w:p>
    <w:p w:rsidR="00B917B2" w:rsidRPr="00375EB0" w:rsidRDefault="00B917B2" w:rsidP="00616254">
      <w:pPr>
        <w:numPr>
          <w:ilvl w:val="0"/>
          <w:numId w:val="2"/>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البعد الثالث: انخفاض (تدني) مستوي الخصائص السكانية</w:t>
      </w:r>
      <w:r w:rsidRPr="00375EB0">
        <w:rPr>
          <w:rFonts w:ascii="Simplified Arabic" w:eastAsia="Calibri" w:hAnsi="Simplified Arabic" w:cs="Simplified Arabic" w:hint="cs"/>
          <w:sz w:val="28"/>
          <w:szCs w:val="28"/>
          <w:rtl/>
          <w:lang w:val="en-US" w:bidi="ar-EG"/>
        </w:rPr>
        <w:t>.</w:t>
      </w:r>
    </w:p>
    <w:p w:rsidR="00B917B2" w:rsidRPr="00375EB0" w:rsidRDefault="00B917B2" w:rsidP="00B917B2">
      <w:pPr>
        <w:bidi/>
        <w:spacing w:before="120" w:after="0" w:line="240" w:lineRule="auto"/>
        <w:ind w:firstLine="648"/>
        <w:jc w:val="both"/>
        <w:rPr>
          <w:rFonts w:ascii="Simplified Arabic" w:eastAsia="Calibri" w:hAnsi="Simplified Arabic" w:cs="Simplified Arabic"/>
          <w:sz w:val="28"/>
          <w:szCs w:val="28"/>
          <w:rtl/>
          <w:lang w:val="en-US" w:bidi="ar-EG"/>
        </w:rPr>
      </w:pPr>
      <w:r w:rsidRPr="00375EB0">
        <w:rPr>
          <w:rFonts w:ascii="Simplified Arabic" w:eastAsiaTheme="minorEastAsia" w:hAnsi="Simplified Arabic" w:cs="Simplified Arabic"/>
          <w:sz w:val="28"/>
          <w:szCs w:val="28"/>
          <w:rtl/>
          <w:lang w:val="en-US" w:bidi="ar-EG"/>
        </w:rPr>
        <w:t xml:space="preserve">إلا أنه غالباً ما يتم تصوير المشكلة السكانية على أنها زيادة عددية فقط، بينما الأهم من ذلك عنصر الجودة متمثلا في الخصائص السكانية، فتدنى الخصائص السكانية يمثل انعكاسا حياً للمشكلات الاقتصادية التي تعانيها مصر من جراء النمو السكاني وعدم ارتقاء خطط التنمية للوفاء بحاجات المواطنين، وأبرز مثال على ذلك هو تدنى الخدمات التعليمية فقد تأثرت تأثيراً كبيراً متمثلة فى ارتفاع نسب الأميّة، </w:t>
      </w:r>
      <w:r w:rsidRPr="00375EB0">
        <w:rPr>
          <w:rFonts w:ascii="Simplified Arabic" w:eastAsiaTheme="minorEastAsia" w:hAnsi="Simplified Arabic" w:cs="Simplified Arabic"/>
          <w:sz w:val="28"/>
          <w:szCs w:val="28"/>
          <w:rtl/>
          <w:lang w:val="en-US"/>
        </w:rPr>
        <w:t>كما أن الزيادة السكانية لها عواقبها الخطيرة على المجتمع ومنها امتصاص كل عوائد التنمية والإنتاج مما يؤدى إلى انخفاض الدخل القومى وانخفاض مستوى المعيشة وإعاقة تقدم المجتمع،</w:t>
      </w:r>
      <w:r w:rsidRPr="00375EB0">
        <w:rPr>
          <w:rFonts w:ascii="Simplified Arabic" w:eastAsiaTheme="minorEastAsia" w:hAnsi="Simplified Arabic" w:cs="Simplified Arabic" w:hint="cs"/>
          <w:sz w:val="28"/>
          <w:szCs w:val="28"/>
          <w:rtl/>
          <w:lang w:val="en-US"/>
        </w:rPr>
        <w:t xml:space="preserve"> </w:t>
      </w:r>
      <w:r w:rsidRPr="00375EB0">
        <w:rPr>
          <w:rFonts w:ascii="Simplified Arabic" w:eastAsia="Calibri" w:hAnsi="Simplified Arabic" w:cs="Simplified Arabic"/>
          <w:sz w:val="28"/>
          <w:szCs w:val="28"/>
          <w:rtl/>
          <w:lang w:val="en-US" w:bidi="ar-EG"/>
        </w:rPr>
        <w:t>وقد كان لظهور المشكلة السكانية في مصر الأثر المباشر على مستوى معيشة الأفراد وجودة الخدمات التي يحصلون عليها، فالزيادة السكانية تلتهم كل الجهود المبذولة في شتى المجالات على المستويين الاجتماعي والاقتصادي.</w:t>
      </w:r>
    </w:p>
    <w:p w:rsidR="00B917B2" w:rsidRPr="00375EB0" w:rsidRDefault="00B917B2" w:rsidP="00B917B2">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ومن هذا المنطلق كان لزاماً تنأول المشكلة السكانية ب</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بعادها الثلاثة حيث أنها تؤثر وتتأثر بمشكلة الدراسة فزيادة السكان في المراحل العمرية المختلفة يتبعها زيادة في خريجي مراحل التعليم المختلفة مع ضعف الإمكانات الاقتصادية وعدم قدرة الاقتصاد علي استيعاب تلك الزيادة بتوفير فرص العمل الملائمة فترتفع نسب البطالة بصفة عامة والبطالة بين المتعلمين بصفة خاصة بما ينتج عنها من ظواهر سلبية خطيرة تعيق نمو المجتمع وتقدمه كما سبق الإشارة</w:t>
      </w:r>
      <w:r w:rsidRPr="00375EB0">
        <w:rPr>
          <w:rFonts w:ascii="Simplified Arabic" w:eastAsia="Calibri" w:hAnsi="Simplified Arabic" w:cs="Simplified Arabic"/>
          <w:sz w:val="28"/>
          <w:szCs w:val="28"/>
          <w:vertAlign w:val="superscript"/>
          <w:rtl/>
          <w:lang w:val="en-US" w:bidi="ar-EG"/>
        </w:rPr>
        <w:footnoteReference w:id="4"/>
      </w:r>
      <w:r w:rsidRPr="00375EB0">
        <w:rPr>
          <w:rFonts w:ascii="Simplified Arabic" w:eastAsia="Calibri" w:hAnsi="Simplified Arabic" w:cs="Simplified Arabic"/>
          <w:sz w:val="28"/>
          <w:szCs w:val="28"/>
          <w:rtl/>
          <w:lang w:val="en-US" w:bidi="ar-EG"/>
        </w:rPr>
        <w:t>.</w:t>
      </w:r>
    </w:p>
    <w:p w:rsidR="00B917B2" w:rsidRPr="00375EB0" w:rsidRDefault="00B917B2" w:rsidP="00B917B2">
      <w:pPr>
        <w:bidi/>
        <w:spacing w:before="120" w:after="0" w:line="240" w:lineRule="auto"/>
        <w:jc w:val="both"/>
        <w:rPr>
          <w:rFonts w:ascii="Simplified Arabic" w:eastAsia="Calibri" w:hAnsi="Simplified Arabic" w:cs="Simplified Arabic"/>
          <w:b/>
          <w:bCs/>
          <w:sz w:val="30"/>
          <w:szCs w:val="30"/>
          <w:rtl/>
          <w:lang w:val="en-US" w:bidi="ar-EG"/>
        </w:rPr>
      </w:pPr>
      <w:r w:rsidRPr="00375EB0">
        <w:rPr>
          <w:rFonts w:ascii="Simplified Arabic" w:hAnsi="Simplified Arabic" w:cs="Simplified Arabic"/>
          <w:noProof/>
          <w:rtl/>
          <w:lang w:val="en-US"/>
        </w:rPr>
        <mc:AlternateContent>
          <mc:Choice Requires="wps">
            <w:drawing>
              <wp:anchor distT="0" distB="0" distL="114300" distR="114300" simplePos="0" relativeHeight="251660288" behindDoc="0" locked="0" layoutInCell="1" allowOverlap="1" wp14:anchorId="08F05628" wp14:editId="0725EBBD">
                <wp:simplePos x="0" y="0"/>
                <wp:positionH relativeFrom="column">
                  <wp:posOffset>-1941195</wp:posOffset>
                </wp:positionH>
                <wp:positionV relativeFrom="paragraph">
                  <wp:posOffset>442595</wp:posOffset>
                </wp:positionV>
                <wp:extent cx="572135" cy="257175"/>
                <wp:effectExtent l="0" t="0" r="0" b="9525"/>
                <wp:wrapNone/>
                <wp:docPr id="8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B2" w:rsidRDefault="00B917B2" w:rsidP="00B917B2">
                            <w:pPr>
                              <w:jc w:val="center"/>
                              <w:rPr>
                                <w:rtl/>
                                <w:lang w:bidi="ar-EG"/>
                              </w:rPr>
                            </w:pPr>
                            <w:r>
                              <w:rPr>
                                <w:rFonts w:hint="cs"/>
                                <w:rtl/>
                                <w:lang w:bidi="ar-EG"/>
                              </w:rPr>
                              <w:t>-15-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F05628" id="_x0000_t202" coordsize="21600,21600" o:spt="202" path="m,l,21600r21600,l21600,xe">
                <v:stroke joinstyle="miter"/>
                <v:path gradientshapeok="t" o:connecttype="rect"/>
              </v:shapetype>
              <v:shape id="Text Box 141" o:spid="_x0000_s1026" type="#_x0000_t202" style="position:absolute;left:0;text-align:left;margin-left:-152.85pt;margin-top:34.85pt;width:45.0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idtAIAALs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" filled="f" stroked="f">
                <v:textbox>
                  <w:txbxContent>
                    <w:p w:rsidR="00B917B2" w:rsidRDefault="00B917B2" w:rsidP="00B917B2">
                      <w:pPr>
                        <w:jc w:val="center"/>
                        <w:rPr>
                          <w:rtl/>
                          <w:lang w:bidi="ar-EG"/>
                        </w:rPr>
                      </w:pPr>
                      <w:r>
                        <w:rPr>
                          <w:rFonts w:hint="cs"/>
                          <w:rtl/>
                          <w:lang w:bidi="ar-EG"/>
                        </w:rPr>
                        <w:t>-15-</w:t>
                      </w:r>
                    </w:p>
                  </w:txbxContent>
                </v:textbox>
              </v:shape>
            </w:pict>
          </mc:Fallback>
        </mc:AlternateContent>
      </w:r>
      <w:r w:rsidRPr="00375EB0">
        <w:rPr>
          <w:rFonts w:ascii="Simplified Arabic" w:eastAsia="Calibri" w:hAnsi="Simplified Arabic" w:cs="Simplified Arabic"/>
          <w:b/>
          <w:bCs/>
          <w:sz w:val="32"/>
          <w:szCs w:val="32"/>
          <w:rtl/>
          <w:lang w:val="en-US" w:bidi="ar-EG"/>
        </w:rPr>
        <w:t xml:space="preserve">البعد الأول: </w:t>
      </w:r>
      <w:r w:rsidRPr="00375EB0">
        <w:rPr>
          <w:rFonts w:ascii="Simplified Arabic" w:eastAsia="Calibri" w:hAnsi="Simplified Arabic" w:cs="Simplified Arabic"/>
          <w:b/>
          <w:bCs/>
          <w:sz w:val="32"/>
          <w:szCs w:val="32"/>
          <w:u w:val="single"/>
          <w:rtl/>
          <w:lang w:val="en-US" w:bidi="ar-EG"/>
        </w:rPr>
        <w:t>النمو السكاني المرتفع</w:t>
      </w:r>
      <w:r w:rsidRPr="00375EB0">
        <w:rPr>
          <w:rFonts w:ascii="Simplified Arabic" w:eastAsia="Calibri" w:hAnsi="Simplified Arabic" w:cs="Simplified Arabic"/>
          <w:b/>
          <w:bCs/>
          <w:sz w:val="30"/>
          <w:szCs w:val="30"/>
          <w:rtl/>
          <w:lang w:val="en-US" w:bidi="ar-EG"/>
        </w:rPr>
        <w:t xml:space="preserve">: </w:t>
      </w:r>
    </w:p>
    <w:p w:rsidR="00B917B2" w:rsidRPr="00375EB0" w:rsidRDefault="00B917B2" w:rsidP="00B917B2">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كما هو معروف أن معدل النمو السكاني هو محصلة تفاعل ثلاث عمليات رئيسية هى (الموإليد، الوفيات، والهجرة الخارجية)، تشير البيانات الى أن عدد السكان فى مصر بلغ حوإلي 94,8 مليون نسمة فى عام 2017 بالإضافة إلى حوإلي 9,5 </w:t>
      </w:r>
      <w:r w:rsidRPr="00375EB0">
        <w:rPr>
          <w:rFonts w:ascii="Simplified Arabic" w:eastAsia="Calibri" w:hAnsi="Simplified Arabic" w:cs="Simplified Arabic"/>
          <w:sz w:val="28"/>
          <w:szCs w:val="28"/>
          <w:rtl/>
          <w:lang w:val="en-US" w:bidi="ar-EG"/>
        </w:rPr>
        <w:lastRenderedPageBreak/>
        <w:t>مليون نسمة يعيشون بالخــارج طبقـا لتقديرات وزارة الخارجية، وبذلك يصل إجمإلي عدد السكان بالداخل والخارج حوإلي 104 مليون نسمة.</w:t>
      </w:r>
    </w:p>
    <w:p w:rsidR="00B917B2" w:rsidRPr="00375EB0" w:rsidRDefault="00B917B2" w:rsidP="00B917B2">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Theme="minorEastAsia" w:hAnsi="Simplified Arabic" w:cs="Simplified Arabic"/>
          <w:sz w:val="28"/>
          <w:szCs w:val="28"/>
          <w:rtl/>
          <w:lang w:val="en-US"/>
        </w:rPr>
        <w:t>وتنبع هذه الزيادة بصورة أساسية من ارتفاع نسب الموإليد نتيجة نسب الخصوبة المرتفعة</w:t>
      </w:r>
      <w:r w:rsidRPr="00375EB0">
        <w:rPr>
          <w:rFonts w:ascii="Simplified Arabic" w:eastAsiaTheme="minorEastAsia" w:hAnsi="Simplified Arabic" w:cs="Simplified Arabic"/>
          <w:sz w:val="28"/>
          <w:szCs w:val="28"/>
          <w:rtl/>
          <w:lang w:val="en-US" w:bidi="ar-EG"/>
        </w:rPr>
        <w:t xml:space="preserve"> مقارنة بانخفاض نسب الوفيات</w:t>
      </w:r>
      <w:r w:rsidRPr="00375EB0">
        <w:rPr>
          <w:rFonts w:ascii="Simplified Arabic" w:eastAsiaTheme="minorEastAsia" w:hAnsi="Simplified Arabic" w:cs="Simplified Arabic"/>
          <w:sz w:val="28"/>
          <w:szCs w:val="28"/>
          <w:rtl/>
          <w:lang w:val="en-US"/>
        </w:rPr>
        <w:t xml:space="preserve"> حيث بلغت 6,1 لكل ألف من السكان عام 2017، كما بلغت نسبة الموإليد 28,6 لكل ألف من السكان عام 2017، </w:t>
      </w:r>
      <w:r w:rsidRPr="00375EB0">
        <w:rPr>
          <w:rFonts w:ascii="Simplified Arabic" w:eastAsia="Calibri" w:hAnsi="Simplified Arabic" w:cs="Simplified Arabic"/>
          <w:sz w:val="28"/>
          <w:szCs w:val="28"/>
          <w:rtl/>
          <w:lang w:val="en-US" w:bidi="ar-EG"/>
        </w:rPr>
        <w:t>إلا أن انخفاض نسب الوفيات جاء بشكل أكبر من الانخفاض في نسب الخصوبة مما أدى إلى تسريع معدل نمو السكان، وهو ما يعرف بالتحول الديموجرافي وفي هذه المرحلة تتنامى فرصة النافذة الديموجرافية حيث يتميز الهرم</w:t>
      </w:r>
      <w:r w:rsidRPr="00375EB0">
        <w:rPr>
          <w:rFonts w:ascii="Simplified Arabic" w:eastAsia="Calibri" w:hAnsi="Simplified Arabic" w:cs="Simplified Arabic"/>
          <w:sz w:val="28"/>
          <w:szCs w:val="28"/>
          <w:vertAlign w:val="superscript"/>
          <w:rtl/>
          <w:lang w:val="en-US" w:bidi="ar-EG"/>
        </w:rPr>
        <w:footnoteReference w:id="5"/>
      </w:r>
      <w:r w:rsidRPr="00375EB0">
        <w:rPr>
          <w:rFonts w:ascii="Simplified Arabic" w:eastAsia="Calibri" w:hAnsi="Simplified Arabic" w:cs="Simplified Arabic"/>
          <w:sz w:val="28"/>
          <w:szCs w:val="28"/>
          <w:rtl/>
          <w:lang w:val="en-US" w:bidi="ar-EG"/>
        </w:rPr>
        <w:t xml:space="preserve"> السكاني لمصر بان قاعدته عريضة هذه القاعدة تمثل السكان دون سن 15عاما، الذين بلغت نسبتهم 40٪ من اجمإلي السكان، هذه الفئه سوف تدخل تباعاً إلي سن العمل الأمر الذي يتطلب خدمات تعليمية وصحية جيدة ناهيك عن ضرورة خلق فرص عمل تباعاً تستوعب هذه الأعداد الكبيرة،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ضف إلي هذا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 عدد السكان في سن العمل يقارب ثلثي عدد السكان أى (ارتفاع نسبة قوة العمل إلى حجم السكان)، وبالتالي ترتفع نسب التشغيل، إلى جانب ارتفاع نسب الادخار التي تقوم بها هذه الفئة من السكان، مما يُحَسِّن من مؤشرات الأداء الكلي ولا يحدث ذلك إلا إذا تم الاستفادة من النافذة الديموجرافية بصورة صحيحة والاستثمار فيها بشكل صحيح بتقديم خدمات تعليمية وصحية جيدة وتوفير فرص عمل تلائم هذه المخرجات.</w:t>
      </w:r>
    </w:p>
    <w:p w:rsidR="00B917B2" w:rsidRPr="00375EB0" w:rsidRDefault="00B917B2" w:rsidP="00616254">
      <w:pPr>
        <w:pStyle w:val="ListParagraph"/>
        <w:numPr>
          <w:ilvl w:val="0"/>
          <w:numId w:val="10"/>
        </w:numPr>
        <w:tabs>
          <w:tab w:val="left" w:pos="1226"/>
        </w:tabs>
        <w:spacing w:before="120" w:after="0" w:line="240" w:lineRule="auto"/>
        <w:jc w:val="both"/>
        <w:rPr>
          <w:rFonts w:ascii="Simplified Arabic" w:eastAsiaTheme="minorEastAsia" w:hAnsi="Simplified Arabic" w:cs="Simplified Arabic"/>
          <w:b/>
          <w:bCs/>
          <w:sz w:val="30"/>
          <w:szCs w:val="30"/>
          <w:u w:val="single"/>
          <w:rtl/>
        </w:rPr>
      </w:pPr>
      <w:r w:rsidRPr="00375EB0">
        <w:rPr>
          <w:rFonts w:ascii="Simplified Arabic" w:eastAsiaTheme="minorEastAsia" w:hAnsi="Simplified Arabic" w:cs="Simplified Arabic"/>
          <w:b/>
          <w:bCs/>
          <w:sz w:val="30"/>
          <w:szCs w:val="30"/>
          <w:u w:val="single"/>
          <w:rtl/>
        </w:rPr>
        <w:t>عدد السكان المتزايد</w:t>
      </w:r>
    </w:p>
    <w:p w:rsidR="00B917B2" w:rsidRPr="00375EB0" w:rsidRDefault="00B917B2" w:rsidP="00B917B2">
      <w:pPr>
        <w:bidi/>
        <w:spacing w:after="240" w:line="240" w:lineRule="auto"/>
        <w:ind w:firstLine="720"/>
        <w:jc w:val="both"/>
        <w:rPr>
          <w:rFonts w:ascii="Simplified Arabic" w:eastAsiaTheme="minorEastAsia" w:hAnsi="Simplified Arabic" w:cs="Simplified Arabic"/>
          <w:sz w:val="28"/>
          <w:szCs w:val="28"/>
          <w:rtl/>
          <w:lang w:val="en-US"/>
        </w:rPr>
      </w:pPr>
      <w:r w:rsidRPr="00375EB0">
        <w:rPr>
          <w:rFonts w:ascii="Simplified Arabic" w:eastAsiaTheme="minorEastAsia" w:hAnsi="Simplified Arabic" w:cs="Simplified Arabic"/>
          <w:sz w:val="28"/>
          <w:szCs w:val="28"/>
          <w:rtl/>
          <w:lang w:val="en-US"/>
        </w:rPr>
        <w:t>زاد عدد سكان مصر</w:t>
      </w:r>
      <w:r w:rsidRPr="00375EB0">
        <w:rPr>
          <w:rFonts w:ascii="Simplified Arabic" w:eastAsiaTheme="minorEastAsia" w:hAnsi="Simplified Arabic" w:cs="Simplified Arabic"/>
          <w:sz w:val="28"/>
          <w:szCs w:val="28"/>
          <w:lang w:val="en-US"/>
        </w:rPr>
        <w:t xml:space="preserve"> </w:t>
      </w:r>
      <w:r w:rsidRPr="00375EB0">
        <w:rPr>
          <w:rFonts w:ascii="Simplified Arabic" w:eastAsiaTheme="minorEastAsia" w:hAnsi="Simplified Arabic" w:cs="Simplified Arabic"/>
          <w:sz w:val="28"/>
          <w:szCs w:val="28"/>
          <w:rtl/>
          <w:lang w:val="en-US"/>
        </w:rPr>
        <w:t>من 80,4 مليون نسمة عام 2010 ليصل إلي 95,2 مليون نسمة منصف عام 2017 بنسبة زيادة بلغت 18,4٪ من إجمالى السكان كما يوضح شكل (2-1).</w:t>
      </w:r>
    </w:p>
    <w:p w:rsidR="00B917B2" w:rsidRPr="00375EB0" w:rsidRDefault="00B917B2" w:rsidP="00B917B2">
      <w:pPr>
        <w:rPr>
          <w:rFonts w:ascii="Simplified Arabic" w:eastAsiaTheme="minorEastAsia" w:hAnsi="Simplified Arabic" w:cs="Simplified Arabic"/>
          <w:b/>
          <w:bCs/>
          <w:kern w:val="24"/>
          <w:rtl/>
          <w:lang w:eastAsia="en-GB" w:bidi="ar-EG"/>
        </w:rPr>
      </w:pPr>
      <w:r w:rsidRPr="00375EB0">
        <w:rPr>
          <w:rFonts w:ascii="Simplified Arabic" w:eastAsiaTheme="minorEastAsia" w:hAnsi="Simplified Arabic" w:cs="Simplified Arabic"/>
          <w:b/>
          <w:bCs/>
          <w:kern w:val="24"/>
          <w:rtl/>
          <w:lang w:eastAsia="en-GB" w:bidi="ar-EG"/>
        </w:rPr>
        <w:br w:type="page"/>
      </w:r>
    </w:p>
    <w:p w:rsidR="00B917B2" w:rsidRPr="00375EB0" w:rsidRDefault="00B917B2" w:rsidP="00B917B2">
      <w:pPr>
        <w:bidi/>
        <w:spacing w:after="240" w:line="240" w:lineRule="auto"/>
        <w:jc w:val="center"/>
        <w:rPr>
          <w:rFonts w:ascii="Simplified Arabic" w:eastAsia="Times New Roman" w:hAnsi="Simplified Arabic" w:cs="Simplified Arabic"/>
          <w:lang w:eastAsia="en-GB"/>
        </w:rPr>
      </w:pPr>
      <w:r w:rsidRPr="00375EB0">
        <w:rPr>
          <w:rFonts w:ascii="Simplified Arabic" w:eastAsiaTheme="minorEastAsia" w:hAnsi="Simplified Arabic" w:cs="Simplified Arabic"/>
          <w:b/>
          <w:bCs/>
          <w:kern w:val="24"/>
          <w:rtl/>
          <w:lang w:eastAsia="en-GB" w:bidi="ar-EG"/>
        </w:rPr>
        <w:lastRenderedPageBreak/>
        <w:t>شكل (2-1) تقدير عدد السكان في منتصف العام (العدد بالمليون</w:t>
      </w:r>
      <w:r w:rsidRPr="00375EB0">
        <w:rPr>
          <w:rFonts w:ascii="Simplified Arabic" w:eastAsiaTheme="minorEastAsia" w:hAnsi="Simplified Arabic" w:cs="Simplified Arabic"/>
          <w:b/>
          <w:bCs/>
          <w:kern w:val="24"/>
          <w:lang w:val="en-US" w:eastAsia="en-GB"/>
        </w:rPr>
        <w:t>(</w:t>
      </w:r>
      <w:r w:rsidRPr="00375EB0">
        <w:rPr>
          <w:rFonts w:ascii="Simplified Arabic" w:eastAsiaTheme="minorEastAsia" w:hAnsi="Simplified Arabic" w:cs="Simplified Arabic"/>
          <w:b/>
          <w:bCs/>
          <w:kern w:val="24"/>
          <w:rtl/>
          <w:lang w:eastAsia="en-GB" w:bidi="ar-EG"/>
        </w:rPr>
        <w:t xml:space="preserve"> خلال الفترة (2010</w:t>
      </w:r>
      <w:r w:rsidRPr="00375EB0">
        <w:rPr>
          <w:rFonts w:ascii="Simplified Arabic" w:eastAsiaTheme="minorEastAsia" w:hAnsi="Simplified Arabic" w:cs="Simplified Arabic"/>
          <w:b/>
          <w:bCs/>
          <w:kern w:val="24"/>
          <w:lang w:eastAsia="en-GB"/>
        </w:rPr>
        <w:t xml:space="preserve"> </w:t>
      </w:r>
      <w:r w:rsidRPr="00375EB0">
        <w:rPr>
          <w:rFonts w:ascii="Simplified Arabic" w:eastAsiaTheme="minorEastAsia" w:hAnsi="Simplified Arabic" w:cs="Simplified Arabic"/>
          <w:b/>
          <w:bCs/>
          <w:kern w:val="24"/>
          <w:rtl/>
          <w:lang w:eastAsia="en-GB" w:bidi="ar-EG"/>
        </w:rPr>
        <w:t>–</w:t>
      </w:r>
      <w:r w:rsidRPr="00375EB0">
        <w:rPr>
          <w:rFonts w:ascii="Simplified Arabic" w:eastAsiaTheme="minorEastAsia" w:hAnsi="Simplified Arabic" w:cs="Simplified Arabic"/>
          <w:b/>
          <w:bCs/>
          <w:kern w:val="24"/>
          <w:lang w:eastAsia="en-GB"/>
        </w:rPr>
        <w:t xml:space="preserve"> </w:t>
      </w:r>
      <w:r w:rsidRPr="00375EB0">
        <w:rPr>
          <w:rFonts w:ascii="Simplified Arabic" w:eastAsiaTheme="minorEastAsia" w:hAnsi="Simplified Arabic" w:cs="Simplified Arabic"/>
          <w:b/>
          <w:bCs/>
          <w:kern w:val="24"/>
          <w:rtl/>
          <w:lang w:eastAsia="en-GB" w:bidi="ar-EG"/>
        </w:rPr>
        <w:t>2017)</w:t>
      </w:r>
    </w:p>
    <w:p w:rsidR="00B917B2" w:rsidRPr="00375EB0" w:rsidRDefault="00B917B2" w:rsidP="00B917B2">
      <w:pPr>
        <w:bidi/>
        <w:spacing w:line="240" w:lineRule="auto"/>
        <w:jc w:val="center"/>
        <w:rPr>
          <w:rFonts w:ascii="Simplified Arabic" w:eastAsiaTheme="minorEastAsia" w:hAnsi="Simplified Arabic" w:cs="Simplified Arabic"/>
          <w:sz w:val="28"/>
          <w:szCs w:val="28"/>
          <w:rtl/>
          <w:lang w:val="en-US"/>
        </w:rPr>
      </w:pPr>
      <w:r w:rsidRPr="00375EB0">
        <w:rPr>
          <w:rFonts w:ascii="Simplified Arabic" w:eastAsiaTheme="minorEastAsia" w:hAnsi="Simplified Arabic" w:cs="Simplified Arabic"/>
          <w:noProof/>
          <w:sz w:val="28"/>
          <w:szCs w:val="28"/>
          <w:rtl/>
          <w:lang w:val="en-US"/>
        </w:rPr>
        <w:drawing>
          <wp:inline distT="0" distB="0" distL="0" distR="0" wp14:anchorId="54D175C5" wp14:editId="029FE4AE">
            <wp:extent cx="4621530" cy="1898015"/>
            <wp:effectExtent l="0" t="0" r="7620" b="698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917B2" w:rsidRPr="00375EB0" w:rsidRDefault="00B917B2" w:rsidP="006C76AB">
      <w:pPr>
        <w:bidi/>
        <w:spacing w:line="240" w:lineRule="auto"/>
        <w:ind w:left="963" w:hanging="709"/>
        <w:rPr>
          <w:rFonts w:ascii="Simplified Arabic" w:eastAsiaTheme="minorEastAsia" w:hAnsi="Simplified Arabic" w:cs="Simplified Arabic"/>
          <w:sz w:val="24"/>
          <w:szCs w:val="24"/>
          <w:lang w:val="en-US"/>
        </w:rPr>
      </w:pPr>
      <w:r w:rsidRPr="00375EB0">
        <w:rPr>
          <w:rFonts w:ascii="Simplified Arabic" w:eastAsiaTheme="minorEastAsia" w:hAnsi="Simplified Arabic" w:cs="Simplified Arabic"/>
          <w:b/>
          <w:bCs/>
          <w:rtl/>
          <w:lang w:val="en-US"/>
        </w:rPr>
        <w:t>المصدر</w:t>
      </w:r>
      <w:r w:rsidRPr="00375EB0">
        <w:rPr>
          <w:rFonts w:ascii="Simplified Arabic" w:eastAsiaTheme="minorEastAsia" w:hAnsi="Simplified Arabic" w:cs="Simplified Arabic"/>
          <w:rtl/>
          <w:lang w:val="en-US"/>
        </w:rPr>
        <w:t xml:space="preserve">: </w:t>
      </w:r>
      <w:bookmarkStart w:id="1" w:name="_Hlk58009191"/>
      <w:r w:rsidRPr="00375EB0">
        <w:rPr>
          <w:rFonts w:ascii="Simplified Arabic" w:eastAsiaTheme="minorEastAsia" w:hAnsi="Simplified Arabic" w:cs="Simplified Arabic"/>
          <w:rtl/>
          <w:lang w:val="en-US"/>
        </w:rPr>
        <w:t>الجهاز المركزى للتعبئة العامة والإحصاء، تقديرات السكان، والتعداد السكاني 2017.</w:t>
      </w:r>
      <w:bookmarkEnd w:id="1"/>
    </w:p>
    <w:p w:rsidR="00B917B2" w:rsidRPr="00375EB0" w:rsidRDefault="00B917B2" w:rsidP="00B917B2">
      <w:pPr>
        <w:bidi/>
        <w:spacing w:after="0" w:line="240" w:lineRule="auto"/>
        <w:ind w:firstLine="720"/>
        <w:jc w:val="both"/>
        <w:rPr>
          <w:rFonts w:ascii="Simplified Arabic" w:eastAsiaTheme="minorEastAsia" w:hAnsi="Simplified Arabic" w:cs="Simplified Arabic"/>
          <w:b/>
          <w:bCs/>
          <w:kern w:val="24"/>
          <w:sz w:val="24"/>
          <w:szCs w:val="24"/>
          <w:rtl/>
          <w:lang w:val="en-US" w:bidi="ar-EG"/>
        </w:rPr>
      </w:pPr>
      <w:r w:rsidRPr="00375EB0">
        <w:rPr>
          <w:rFonts w:ascii="Simplified Arabic" w:eastAsiaTheme="minorEastAsia" w:hAnsi="Simplified Arabic" w:cs="Simplified Arabic"/>
          <w:sz w:val="28"/>
          <w:szCs w:val="28"/>
          <w:rtl/>
          <w:lang w:val="en-US"/>
        </w:rPr>
        <w:t>ويوضح شكل (2-2) عدد السكان المتوقع الوصول إليه خلال الفترة (2017- 2052) من واقع الاسقاطات السكانية التي يقوم بها الجهاز المركزي للتعبئة العامة والاحصاء، حيث تشير البيانات إلي ارتفاع عدد السكان من حوإلي 95,2 مليون نسمة عام 2017 إلى 153,7 مليون نسمة عام 2052 بزيادة حوالى 58,2 مليون نسمة خلال الفترة، الأمر الذي يشير إلي الزيادة في أعداد الخريجين مع محدودية فرص العمل مما يترتب عليه زيادة نسبة البطالة بين المتعلمين، وتظل المشكلة قائمة.</w:t>
      </w:r>
    </w:p>
    <w:p w:rsidR="00B917B2" w:rsidRPr="00375EB0" w:rsidRDefault="00B917B2" w:rsidP="00B917B2">
      <w:pPr>
        <w:bidi/>
        <w:spacing w:before="120" w:after="0" w:line="240" w:lineRule="auto"/>
        <w:jc w:val="center"/>
        <w:rPr>
          <w:rFonts w:ascii="Simplified Arabic" w:eastAsia="Times New Roman" w:hAnsi="Simplified Arabic" w:cs="Simplified Arabic"/>
          <w:lang w:eastAsia="en-GB"/>
        </w:rPr>
      </w:pPr>
      <w:r w:rsidRPr="00375EB0">
        <w:rPr>
          <w:rFonts w:ascii="Simplified Arabic" w:eastAsiaTheme="minorEastAsia" w:hAnsi="Simplified Arabic" w:cs="Simplified Arabic"/>
          <w:noProof/>
          <w:sz w:val="24"/>
          <w:szCs w:val="24"/>
          <w:rtl/>
          <w:lang w:val="en-US"/>
        </w:rPr>
        <w:drawing>
          <wp:anchor distT="0" distB="0" distL="114300" distR="114300" simplePos="0" relativeHeight="251661312" behindDoc="0" locked="0" layoutInCell="1" allowOverlap="1" wp14:anchorId="4B14A015" wp14:editId="714E1A4C">
            <wp:simplePos x="0" y="0"/>
            <wp:positionH relativeFrom="margin">
              <wp:align>right</wp:align>
            </wp:positionH>
            <wp:positionV relativeFrom="paragraph">
              <wp:posOffset>333375</wp:posOffset>
            </wp:positionV>
            <wp:extent cx="4667250" cy="2047240"/>
            <wp:effectExtent l="0" t="0" r="0" b="0"/>
            <wp:wrapTopAndBottom/>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375EB0">
        <w:rPr>
          <w:rFonts w:ascii="Simplified Arabic" w:eastAsiaTheme="minorEastAsia" w:hAnsi="Simplified Arabic" w:cs="Simplified Arabic"/>
          <w:b/>
          <w:bCs/>
          <w:kern w:val="24"/>
          <w:rtl/>
          <w:lang w:eastAsia="en-GB" w:bidi="ar-EG"/>
        </w:rPr>
        <w:t>شكل (2-2) عدد السكان المتوقع خلال الفترة (2017-2052)</w:t>
      </w:r>
    </w:p>
    <w:p w:rsidR="00B917B2" w:rsidRPr="00375EB0" w:rsidRDefault="00B917B2" w:rsidP="00B917B2">
      <w:pPr>
        <w:bidi/>
        <w:spacing w:after="0" w:line="240" w:lineRule="auto"/>
        <w:ind w:left="214"/>
        <w:rPr>
          <w:rFonts w:ascii="Simplified Arabic" w:eastAsiaTheme="minorEastAsia" w:hAnsi="Simplified Arabic" w:cs="Simplified Arabic"/>
          <w:sz w:val="10"/>
          <w:szCs w:val="10"/>
          <w:rtl/>
          <w:lang w:val="en-US" w:bidi="ar-EG"/>
        </w:rPr>
      </w:pPr>
    </w:p>
    <w:p w:rsidR="00B917B2" w:rsidRPr="00375EB0" w:rsidRDefault="00B917B2" w:rsidP="00B917B2">
      <w:pPr>
        <w:bidi/>
        <w:spacing w:after="0" w:line="240" w:lineRule="auto"/>
        <w:ind w:left="227"/>
        <w:rPr>
          <w:rFonts w:ascii="Simplified Arabic" w:eastAsiaTheme="minorEastAsia" w:hAnsi="Simplified Arabic" w:cs="Simplified Arabic"/>
          <w:rtl/>
          <w:lang w:val="en-US" w:bidi="ar-EG"/>
        </w:rPr>
      </w:pPr>
      <w:r w:rsidRPr="00375EB0">
        <w:rPr>
          <w:rFonts w:ascii="Simplified Arabic" w:eastAsiaTheme="minorEastAsia" w:hAnsi="Simplified Arabic" w:cs="Simplified Arabic"/>
          <w:b/>
          <w:bCs/>
          <w:rtl/>
          <w:lang w:val="en-US" w:bidi="ar-EG"/>
        </w:rPr>
        <w:t>المصدر</w:t>
      </w:r>
      <w:r w:rsidRPr="00375EB0">
        <w:rPr>
          <w:rFonts w:ascii="Simplified Arabic" w:eastAsiaTheme="minorEastAsia" w:hAnsi="Simplified Arabic" w:cs="Simplified Arabic"/>
          <w:rtl/>
          <w:lang w:val="en-US" w:bidi="ar-EG"/>
        </w:rPr>
        <w:t>: الجهاز المركزى للتعبئة العامة والإحصاء، الاسقاطات السكانية، (2018 – 2052).</w:t>
      </w:r>
    </w:p>
    <w:p w:rsidR="00B917B2" w:rsidRPr="00375EB0" w:rsidRDefault="00B917B2" w:rsidP="00B917B2">
      <w:pPr>
        <w:bidi/>
        <w:spacing w:after="0" w:line="240" w:lineRule="auto"/>
        <w:ind w:left="214"/>
        <w:rPr>
          <w:rFonts w:ascii="Simplified Arabic" w:eastAsiaTheme="minorEastAsia" w:hAnsi="Simplified Arabic" w:cs="Simplified Arabic"/>
          <w:sz w:val="18"/>
          <w:szCs w:val="18"/>
          <w:lang w:val="en-US" w:bidi="ar-EG"/>
        </w:rPr>
      </w:pPr>
    </w:p>
    <w:p w:rsidR="00B917B2" w:rsidRPr="00375EB0" w:rsidRDefault="00B917B2" w:rsidP="00616254">
      <w:pPr>
        <w:pStyle w:val="ListParagraph"/>
        <w:numPr>
          <w:ilvl w:val="0"/>
          <w:numId w:val="10"/>
        </w:numPr>
        <w:spacing w:after="0" w:line="240" w:lineRule="auto"/>
        <w:jc w:val="both"/>
        <w:rPr>
          <w:rFonts w:ascii="Simplified Arabic" w:eastAsiaTheme="minorEastAsia" w:hAnsi="Simplified Arabic" w:cs="Simplified Arabic"/>
          <w:sz w:val="30"/>
          <w:szCs w:val="30"/>
          <w:rtl/>
        </w:rPr>
      </w:pPr>
      <w:r w:rsidRPr="00375EB0">
        <w:rPr>
          <w:rFonts w:ascii="Simplified Arabic" w:eastAsia="Calibri" w:hAnsi="Simplified Arabic" w:cs="Simplified Arabic"/>
          <w:b/>
          <w:bCs/>
          <w:sz w:val="30"/>
          <w:szCs w:val="30"/>
          <w:u w:val="single"/>
          <w:rtl/>
          <w:lang w:bidi="ar-EG"/>
        </w:rPr>
        <w:lastRenderedPageBreak/>
        <w:t xml:space="preserve">التوزيع النسبي للسكان وفقا لفئات السن </w:t>
      </w:r>
    </w:p>
    <w:p w:rsidR="00B917B2" w:rsidRPr="00375EB0" w:rsidRDefault="00B917B2" w:rsidP="00B917B2">
      <w:pPr>
        <w:bidi/>
        <w:spacing w:after="12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يعتبر توزيع السكان وفقاً لفئات السن والنوع من أهم المتغيرات التي يجب أن تؤخذ في الاعتبار عند دراسة السكان لما لها من دور كبير في وصف وتحليل الظواهر الديموجرافية المختلفة، كما أنه يعتبر مؤشراً لاتجاهات النمو السكاني في المستقبل، وما يتبعها من توفير الخدمات المختلفة (خدمات تعليمية او صحية او فرص عمل ...</w:t>
      </w:r>
      <w:r w:rsidRPr="00375EB0">
        <w:rPr>
          <w:rFonts w:ascii="Simplified Arabic" w:eastAsia="Calibri" w:hAnsi="Simplified Arabic" w:cs="Simplified Arabic"/>
          <w:sz w:val="28"/>
          <w:szCs w:val="28"/>
          <w:lang w:val="en-US" w:bidi="ar-EG"/>
        </w:rPr>
        <w:t xml:space="preserve"> </w:t>
      </w:r>
      <w:r w:rsidRPr="00375EB0">
        <w:rPr>
          <w:rFonts w:ascii="Simplified Arabic" w:eastAsia="Calibri" w:hAnsi="Simplified Arabic" w:cs="Simplified Arabic"/>
          <w:sz w:val="28"/>
          <w:szCs w:val="28"/>
          <w:rtl/>
          <w:lang w:val="en-US" w:bidi="ar-EG"/>
        </w:rPr>
        <w:t>الخ) وفقاً لاحتياجات كل فئة عمرية.</w:t>
      </w:r>
    </w:p>
    <w:p w:rsidR="00B917B2" w:rsidRPr="00375EB0" w:rsidRDefault="00B917B2" w:rsidP="00B917B2">
      <w:pPr>
        <w:bidi/>
        <w:spacing w:after="12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noProof/>
          <w:sz w:val="24"/>
          <w:szCs w:val="24"/>
          <w:lang w:val="en-US"/>
        </w:rPr>
        <mc:AlternateContent>
          <mc:Choice Requires="wps">
            <w:drawing>
              <wp:anchor distT="0" distB="0" distL="114300" distR="114300" simplePos="0" relativeHeight="251669504" behindDoc="0" locked="0" layoutInCell="1" allowOverlap="1" wp14:anchorId="5C53D031" wp14:editId="1666C7F0">
                <wp:simplePos x="0" y="0"/>
                <wp:positionH relativeFrom="margin">
                  <wp:align>left</wp:align>
                </wp:positionH>
                <wp:positionV relativeFrom="paragraph">
                  <wp:posOffset>3004185</wp:posOffset>
                </wp:positionV>
                <wp:extent cx="3000375" cy="428625"/>
                <wp:effectExtent l="0" t="0" r="9525" b="9525"/>
                <wp:wrapSquare wrapText="bothSides"/>
                <wp:docPr id="193" name="Text Box 193"/>
                <wp:cNvGraphicFramePr/>
                <a:graphic xmlns:a="http://schemas.openxmlformats.org/drawingml/2006/main">
                  <a:graphicData uri="http://schemas.microsoft.com/office/word/2010/wordprocessingShape">
                    <wps:wsp>
                      <wps:cNvSpPr txBox="1"/>
                      <wps:spPr>
                        <a:xfrm>
                          <a:off x="0" y="0"/>
                          <a:ext cx="3000375" cy="428625"/>
                        </a:xfrm>
                        <a:prstGeom prst="rect">
                          <a:avLst/>
                        </a:prstGeom>
                        <a:solidFill>
                          <a:schemeClr val="lt1"/>
                        </a:solidFill>
                        <a:ln w="6350">
                          <a:noFill/>
                        </a:ln>
                      </wps:spPr>
                      <wps:txbx>
                        <w:txbxContent>
                          <w:p w:rsidR="00B917B2" w:rsidRPr="00854F1C" w:rsidRDefault="00B917B2" w:rsidP="00B917B2">
                            <w:pPr>
                              <w:bidi/>
                              <w:ind w:left="603" w:hanging="603"/>
                              <w:jc w:val="both"/>
                              <w:rPr>
                                <w:sz w:val="20"/>
                                <w:szCs w:val="20"/>
                                <w:lang w:bidi="ar-EG"/>
                              </w:rPr>
                            </w:pPr>
                            <w:r w:rsidRPr="00854F1C">
                              <w:rPr>
                                <w:rFonts w:hint="cs"/>
                                <w:b/>
                                <w:bCs/>
                                <w:sz w:val="20"/>
                                <w:szCs w:val="20"/>
                                <w:rtl/>
                                <w:lang w:bidi="ar-EG"/>
                              </w:rPr>
                              <w:t>المصدر</w:t>
                            </w:r>
                            <w:r>
                              <w:rPr>
                                <w:rFonts w:hint="cs"/>
                                <w:sz w:val="20"/>
                                <w:szCs w:val="20"/>
                                <w:rtl/>
                                <w:lang w:bidi="ar-EG"/>
                              </w:rPr>
                              <w:t>: الجهاز المركزي للتعبئة العامة والاحصاء، التعداد العام للسكان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3D031" id="Text Box 193" o:spid="_x0000_s1027" type="#_x0000_t202" style="position:absolute;left:0;text-align:left;margin-left:0;margin-top:236.55pt;width:236.25pt;height:33.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" fillcolor="white [3201]" stroked="f" strokeweight=".5pt">
                <v:textbox>
                  <w:txbxContent>
                    <w:p w:rsidR="00B917B2" w:rsidRPr="00854F1C" w:rsidRDefault="00B917B2" w:rsidP="00B917B2">
                      <w:pPr>
                        <w:bidi/>
                        <w:ind w:left="603" w:hanging="603"/>
                        <w:jc w:val="both"/>
                        <w:rPr>
                          <w:sz w:val="20"/>
                          <w:szCs w:val="20"/>
                          <w:lang w:bidi="ar-EG"/>
                        </w:rPr>
                      </w:pPr>
                      <w:r w:rsidRPr="00854F1C">
                        <w:rPr>
                          <w:rFonts w:hint="cs"/>
                          <w:b/>
                          <w:bCs/>
                          <w:sz w:val="20"/>
                          <w:szCs w:val="20"/>
                          <w:rtl/>
                          <w:lang w:bidi="ar-EG"/>
                        </w:rPr>
                        <w:t>المصدر</w:t>
                      </w:r>
                      <w:r>
                        <w:rPr>
                          <w:rFonts w:hint="cs"/>
                          <w:sz w:val="20"/>
                          <w:szCs w:val="20"/>
                          <w:rtl/>
                          <w:lang w:bidi="ar-EG"/>
                        </w:rPr>
                        <w:t>: الجهاز المركزي للتعبئة العامة والاحصاء، التعداد العام للسكان 2017</w:t>
                      </w:r>
                    </w:p>
                  </w:txbxContent>
                </v:textbox>
                <w10:wrap type="square" anchorx="margin"/>
              </v:shape>
            </w:pict>
          </mc:Fallback>
        </mc:AlternateContent>
      </w:r>
      <w:r w:rsidRPr="00375EB0">
        <w:rPr>
          <w:rFonts w:ascii="Simplified Arabic" w:eastAsia="Calibri" w:hAnsi="Simplified Arabic" w:cs="Simplified Arabic"/>
          <w:noProof/>
          <w:sz w:val="24"/>
          <w:szCs w:val="24"/>
          <w:lang w:val="en-US"/>
        </w:rPr>
        <w:drawing>
          <wp:anchor distT="0" distB="0" distL="114300" distR="114300" simplePos="0" relativeHeight="251662336" behindDoc="0" locked="0" layoutInCell="1" allowOverlap="1" wp14:anchorId="0010F764" wp14:editId="25EF6975">
            <wp:simplePos x="0" y="0"/>
            <wp:positionH relativeFrom="margin">
              <wp:align>left</wp:align>
            </wp:positionH>
            <wp:positionV relativeFrom="paragraph">
              <wp:posOffset>62230</wp:posOffset>
            </wp:positionV>
            <wp:extent cx="3048000" cy="2952750"/>
            <wp:effectExtent l="0" t="0" r="0" b="0"/>
            <wp:wrapSquare wrapText="bothSides"/>
            <wp:docPr id="19"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375EB0">
        <w:rPr>
          <w:rFonts w:ascii="Simplified Arabic" w:eastAsia="Calibri" w:hAnsi="Simplified Arabic" w:cs="Simplified Arabic"/>
          <w:sz w:val="28"/>
          <w:szCs w:val="28"/>
          <w:rtl/>
          <w:lang w:val="en-US" w:bidi="ar-EG"/>
        </w:rPr>
        <w:t>يوض</w:t>
      </w:r>
      <w:r w:rsidRPr="00375EB0">
        <w:rPr>
          <w:rFonts w:ascii="Simplified Arabic" w:eastAsia="Calibri" w:hAnsi="Simplified Arabic" w:cs="Simplified Arabic" w:hint="cs"/>
          <w:sz w:val="28"/>
          <w:szCs w:val="28"/>
          <w:rtl/>
          <w:lang w:val="en-US" w:bidi="ar-EG"/>
        </w:rPr>
        <w:t>ـــــــــــــــــــ</w:t>
      </w:r>
      <w:r w:rsidRPr="00375EB0">
        <w:rPr>
          <w:rFonts w:ascii="Simplified Arabic" w:eastAsia="Calibri" w:hAnsi="Simplified Arabic" w:cs="Simplified Arabic"/>
          <w:sz w:val="28"/>
          <w:szCs w:val="28"/>
          <w:rtl/>
          <w:lang w:val="en-US" w:bidi="ar-EG"/>
        </w:rPr>
        <w:t>ح الش</w:t>
      </w:r>
      <w:r w:rsidRPr="00375EB0">
        <w:rPr>
          <w:rFonts w:ascii="Simplified Arabic" w:eastAsia="Calibri" w:hAnsi="Simplified Arabic" w:cs="Simplified Arabic" w:hint="cs"/>
          <w:sz w:val="28"/>
          <w:szCs w:val="28"/>
          <w:rtl/>
          <w:lang w:val="en-US" w:bidi="ar-EG"/>
        </w:rPr>
        <w:t>ـــ</w:t>
      </w:r>
      <w:r w:rsidRPr="00375EB0">
        <w:rPr>
          <w:rFonts w:ascii="Simplified Arabic" w:eastAsia="Calibri" w:hAnsi="Simplified Arabic" w:cs="Simplified Arabic"/>
          <w:sz w:val="28"/>
          <w:szCs w:val="28"/>
          <w:rtl/>
          <w:lang w:val="en-US" w:bidi="ar-EG"/>
        </w:rPr>
        <w:t>كل (2-3) التوزيع النسبي للسكان وفقاً لفئات السن طبقاً لبيانات تعداد 2017 ان نسبة السكان بالفئة العمرية (اقل من 15 سنة) تشكل ما يقرب من ثلث السكان، في حين سجلت الفئة العمرية المنتجة (15-64</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سنة) 64,6٪ أما نسبة كبــــــــــــــــــــــــــــــار السن (65 سنة فأكثر) بلغت 3,4٪، وتشير نسبة صغار السن وكبار السن إلي السكان الذين تتم اعالتهم، وكلما اتسعت قاعدة الهرم السكانى كلما ارتفع معدل الاعالة، وهذا يرتبط بمعدل الموإليد ومعدل الوفيات.</w:t>
      </w:r>
    </w:p>
    <w:p w:rsidR="00B917B2" w:rsidRPr="00375EB0" w:rsidRDefault="00B917B2" w:rsidP="00616254">
      <w:pPr>
        <w:pStyle w:val="ListParagraph"/>
        <w:numPr>
          <w:ilvl w:val="0"/>
          <w:numId w:val="10"/>
        </w:numPr>
        <w:spacing w:after="120" w:line="240" w:lineRule="auto"/>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الهرم السكاني</w:t>
      </w:r>
      <w:r w:rsidRPr="00375EB0">
        <w:rPr>
          <w:vertAlign w:val="superscript"/>
          <w:rtl/>
          <w:lang w:bidi="ar-EG"/>
        </w:rPr>
        <w:footnoteReference w:id="6"/>
      </w:r>
    </w:p>
    <w:p w:rsidR="00B917B2" w:rsidRPr="00375EB0" w:rsidRDefault="00B917B2" w:rsidP="00B917B2">
      <w:pPr>
        <w:bidi/>
        <w:spacing w:after="120" w:line="240" w:lineRule="auto"/>
        <w:ind w:left="170" w:firstLine="548"/>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يوضح شكل (2-4) الهرم السكانى طبقاً للفئات الخمسية لكل من الذكور والإناث وتعبر قاعدته عن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لاعمار الصغيرة، متدرجاً إلى الشباب ثم قمة الهرم لتعبر عن المسنين، ويتميز الهرم السكاني في مصر بقاعدة عريضة حيث يتميز المجتمع المصري </w:t>
      </w:r>
      <w:r w:rsidRPr="00375EB0">
        <w:rPr>
          <w:rFonts w:ascii="Simplified Arabic" w:eastAsia="Calibri" w:hAnsi="Simplified Arabic" w:cs="Simplified Arabic"/>
          <w:sz w:val="28"/>
          <w:szCs w:val="28"/>
          <w:rtl/>
          <w:lang w:val="en-US" w:bidi="ar-EG"/>
        </w:rPr>
        <w:lastRenderedPageBreak/>
        <w:t>بأنه مجتمع فتي مع تركز كبير للسكان  في الفئة العمرية أقل من 10 سنــوات، ثم تبدأ القاعدة في الضيق تدريجياً بتقدم العمر خلال الفئتين (10-14)، (15-19) ثم تزيد مساحتها مرة أخرى في الفئة العمرية (20-24)، وهذه الفئة تحمل الشباب في سن التخرج من التعليم الأمر الذي يتطلب توفير فرص عمل ملائمة لهم وإلا سينتهي الأمر إلي زيادة مضطردة في أعداد البطالة بين المتعلمين، كذلك الحال في الفئة العمرية (25-29) تلك الفئة التي تحمل في طياتها أيضاً أعداداً كبيرة من البطالة بين المتعلمين، ثم تضيق قاعدة الهرم مرة أخرى حتى تصل إلى أقلها في الفئات العمرية الكبيرة (قمة الهرم السكاني).</w:t>
      </w:r>
    </w:p>
    <w:p w:rsidR="00B917B2" w:rsidRPr="00375EB0" w:rsidRDefault="00B917B2" w:rsidP="00B917B2">
      <w:pPr>
        <w:bidi/>
        <w:spacing w:after="120" w:line="240" w:lineRule="auto"/>
        <w:ind w:left="170" w:firstLine="548"/>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بصفة عامة يتميز الهرم السكانى بالقاعدة العريضة من السكان فى الفئة العمرية (أقل من 30 سنة) الأمر الذي يتطلب المزيد من الجهد لتوفير فرص عمل لهذه الفئات وبخاصة المتعلمين منهم الذين تم تحمل تكلفتهم في مراحل التعليم المختلفة والاستثمار في</w:t>
      </w:r>
      <w:r w:rsidRPr="00375EB0">
        <w:rPr>
          <w:rFonts w:ascii="Simplified Arabic" w:eastAsia="Calibri" w:hAnsi="Simplified Arabic" w:cs="Simplified Arabic" w:hint="cs"/>
          <w:sz w:val="28"/>
          <w:szCs w:val="28"/>
          <w:rtl/>
          <w:lang w:val="en-US" w:bidi="ar-EG"/>
        </w:rPr>
        <w:t>ه</w:t>
      </w:r>
      <w:r w:rsidRPr="00375EB0">
        <w:rPr>
          <w:rFonts w:ascii="Simplified Arabic" w:eastAsia="Calibri" w:hAnsi="Simplified Arabic" w:cs="Simplified Arabic"/>
          <w:sz w:val="28"/>
          <w:szCs w:val="28"/>
          <w:rtl/>
          <w:lang w:val="en-US" w:bidi="ar-EG"/>
        </w:rPr>
        <w:t>م للحصول علي عوائد هذا الاستثمار.</w:t>
      </w:r>
    </w:p>
    <w:p w:rsidR="00B917B2" w:rsidRPr="00375EB0" w:rsidRDefault="00B917B2" w:rsidP="00B917B2">
      <w:pPr>
        <w:rPr>
          <w:rFonts w:ascii="Simplified Arabic" w:eastAsiaTheme="minorEastAsia" w:hAnsi="Simplified Arabic" w:cs="Simplified Arabic"/>
          <w:b/>
          <w:bCs/>
          <w:kern w:val="24"/>
          <w:sz w:val="26"/>
          <w:szCs w:val="26"/>
          <w:rtl/>
          <w:lang w:val="en-US" w:bidi="ar-EG"/>
        </w:rPr>
      </w:pPr>
    </w:p>
    <w:p w:rsidR="00B917B2" w:rsidRPr="00375EB0" w:rsidRDefault="00B917B2" w:rsidP="00B917B2">
      <w:pPr>
        <w:bidi/>
        <w:spacing w:after="0" w:line="240" w:lineRule="auto"/>
        <w:jc w:val="center"/>
        <w:rPr>
          <w:rFonts w:ascii="Simplified Arabic" w:eastAsia="Calibri" w:hAnsi="Simplified Arabic" w:cs="Simplified Arabic"/>
          <w:rtl/>
          <w:lang w:val="en-US" w:bidi="ar-EG"/>
        </w:rPr>
      </w:pPr>
      <w:r w:rsidRPr="00375EB0">
        <w:rPr>
          <w:rFonts w:ascii="Simplified Arabic" w:eastAsia="Times New Roman" w:hAnsi="Simplified Arabic" w:cs="Simplified Arabic"/>
          <w:noProof/>
          <w:sz w:val="12"/>
          <w:szCs w:val="12"/>
          <w:lang w:val="en-US"/>
        </w:rPr>
        <w:drawing>
          <wp:anchor distT="0" distB="0" distL="114300" distR="114300" simplePos="0" relativeHeight="251667456" behindDoc="0" locked="0" layoutInCell="1" allowOverlap="1" wp14:anchorId="6CAD74D6" wp14:editId="55681A38">
            <wp:simplePos x="0" y="0"/>
            <wp:positionH relativeFrom="margin">
              <wp:align>right</wp:align>
            </wp:positionH>
            <wp:positionV relativeFrom="paragraph">
              <wp:posOffset>377190</wp:posOffset>
            </wp:positionV>
            <wp:extent cx="4752975" cy="2419350"/>
            <wp:effectExtent l="0" t="0" r="0" b="0"/>
            <wp:wrapTopAndBottom/>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375EB0">
        <w:rPr>
          <w:rFonts w:ascii="Simplified Arabic" w:eastAsiaTheme="minorEastAsia" w:hAnsi="Simplified Arabic" w:cs="Simplified Arabic"/>
          <w:b/>
          <w:bCs/>
          <w:kern w:val="24"/>
          <w:rtl/>
          <w:lang w:val="en-US" w:bidi="ar-EG"/>
        </w:rPr>
        <w:t xml:space="preserve">شكل (2-4) </w:t>
      </w:r>
      <w:r w:rsidRPr="00375EB0">
        <w:rPr>
          <w:rFonts w:ascii="Simplified Arabic" w:eastAsiaTheme="minorEastAsia" w:hAnsi="Simplified Arabic" w:cs="Simplified Arabic"/>
          <w:b/>
          <w:bCs/>
          <w:kern w:val="24"/>
          <w:rtl/>
          <w:lang w:val="en-US" w:bidi="ar-AE"/>
        </w:rPr>
        <w:t xml:space="preserve">الهرم السكانى لجمهورية مصر العربية </w:t>
      </w:r>
      <w:r w:rsidRPr="00375EB0">
        <w:rPr>
          <w:rFonts w:ascii="Simplified Arabic" w:eastAsiaTheme="minorEastAsia" w:hAnsi="Simplified Arabic" w:cs="Simplified Arabic"/>
          <w:b/>
          <w:bCs/>
          <w:kern w:val="24"/>
          <w:rtl/>
          <w:lang w:val="en-US" w:bidi="ar-EG"/>
        </w:rPr>
        <w:t>2017</w:t>
      </w:r>
    </w:p>
    <w:p w:rsidR="00B917B2" w:rsidRPr="00375EB0" w:rsidRDefault="00B917B2" w:rsidP="00B917B2">
      <w:pPr>
        <w:bidi/>
        <w:spacing w:after="120" w:line="240" w:lineRule="auto"/>
        <w:contextualSpacing/>
        <w:jc w:val="both"/>
        <w:rPr>
          <w:rFonts w:ascii="Simplified Arabic" w:eastAsia="Calibri" w:hAnsi="Simplified Arabic" w:cs="Simplified Arabic"/>
          <w:sz w:val="24"/>
          <w:szCs w:val="24"/>
          <w:rtl/>
          <w:lang w:val="en-US" w:bidi="ar-EG"/>
        </w:rPr>
      </w:pPr>
      <w:r w:rsidRPr="00375EB0">
        <w:rPr>
          <w:rFonts w:ascii="Simplified Arabic" w:eastAsia="Calibri" w:hAnsi="Simplified Arabic" w:cs="Simplified Arabic"/>
          <w:b/>
          <w:bCs/>
          <w:rtl/>
          <w:lang w:val="en-US" w:bidi="ar-EG"/>
        </w:rPr>
        <w:t>المصـــــــــدر:</w:t>
      </w:r>
      <w:r w:rsidRPr="00375EB0">
        <w:rPr>
          <w:rFonts w:ascii="Simplified Arabic" w:eastAsia="Calibri" w:hAnsi="Simplified Arabic" w:cs="Simplified Arabic"/>
          <w:rtl/>
          <w:lang w:val="en-US" w:bidi="ar-EG"/>
        </w:rPr>
        <w:t>الجهاز المركزي للتعبئة العامة والاحصاء - التعداد العام للسكان والاسكان والمنشآت 2017.</w:t>
      </w:r>
    </w:p>
    <w:p w:rsidR="00B917B2" w:rsidRPr="00375EB0" w:rsidRDefault="00B917B2" w:rsidP="00B917B2">
      <w:pPr>
        <w:bidi/>
        <w:spacing w:after="0" w:line="240" w:lineRule="auto"/>
        <w:contextualSpacing/>
        <w:jc w:val="both"/>
        <w:rPr>
          <w:rFonts w:ascii="Simplified Arabic" w:eastAsia="Calibri" w:hAnsi="Simplified Arabic" w:cs="Simplified Arabic"/>
          <w:b/>
          <w:bCs/>
          <w:sz w:val="12"/>
          <w:szCs w:val="12"/>
          <w:rtl/>
          <w:lang w:val="en-US" w:bidi="ar-EG"/>
        </w:rPr>
      </w:pPr>
    </w:p>
    <w:p w:rsidR="00B917B2" w:rsidRPr="00375EB0" w:rsidRDefault="00B917B2" w:rsidP="00B917B2">
      <w:pPr>
        <w:bidi/>
        <w:spacing w:after="120" w:line="240" w:lineRule="auto"/>
        <w:contextualSpacing/>
        <w:jc w:val="both"/>
        <w:rPr>
          <w:rFonts w:ascii="Simplified Arabic" w:eastAsia="Calibri" w:hAnsi="Simplified Arabic" w:cs="Simplified Arabic"/>
          <w:b/>
          <w:bCs/>
          <w:sz w:val="32"/>
          <w:szCs w:val="32"/>
          <w:rtl/>
          <w:lang w:val="en-US" w:bidi="ar-EG"/>
        </w:rPr>
      </w:pPr>
    </w:p>
    <w:p w:rsidR="00B917B2" w:rsidRPr="00375EB0" w:rsidRDefault="00B917B2" w:rsidP="00B917B2">
      <w:pPr>
        <w:bidi/>
        <w:spacing w:after="120" w:line="240" w:lineRule="auto"/>
        <w:contextualSpacing/>
        <w:jc w:val="both"/>
        <w:rPr>
          <w:rFonts w:ascii="Simplified Arabic" w:eastAsia="Calibri" w:hAnsi="Simplified Arabic" w:cs="Simplified Arabic"/>
          <w:b/>
          <w:bCs/>
          <w:sz w:val="32"/>
          <w:szCs w:val="32"/>
          <w:rtl/>
          <w:lang w:val="en-US" w:bidi="ar-EG"/>
        </w:rPr>
      </w:pPr>
      <w:r w:rsidRPr="00375EB0">
        <w:rPr>
          <w:rFonts w:ascii="Simplified Arabic" w:eastAsia="Calibri" w:hAnsi="Simplified Arabic" w:cs="Simplified Arabic"/>
          <w:b/>
          <w:bCs/>
          <w:sz w:val="32"/>
          <w:szCs w:val="32"/>
          <w:rtl/>
          <w:lang w:val="en-US" w:bidi="ar-EG"/>
        </w:rPr>
        <w:lastRenderedPageBreak/>
        <w:t xml:space="preserve">البعد الثاني: </w:t>
      </w:r>
      <w:r w:rsidRPr="00375EB0">
        <w:rPr>
          <w:rFonts w:ascii="Simplified Arabic" w:eastAsia="Calibri" w:hAnsi="Simplified Arabic" w:cs="Simplified Arabic"/>
          <w:b/>
          <w:bCs/>
          <w:sz w:val="32"/>
          <w:szCs w:val="32"/>
          <w:u w:val="single"/>
          <w:rtl/>
          <w:lang w:val="en-US" w:bidi="ar-EG"/>
        </w:rPr>
        <w:t xml:space="preserve">سوء </w:t>
      </w:r>
      <w:r w:rsidRPr="00375EB0">
        <w:rPr>
          <w:rFonts w:ascii="Simplified Arabic" w:eastAsia="Calibri" w:hAnsi="Simplified Arabic" w:cs="Simplified Arabic" w:hint="cs"/>
          <w:b/>
          <w:bCs/>
          <w:sz w:val="32"/>
          <w:szCs w:val="32"/>
          <w:u w:val="single"/>
          <w:rtl/>
          <w:lang w:val="en-US" w:bidi="ar-EG"/>
        </w:rPr>
        <w:t>ال</w:t>
      </w:r>
      <w:r w:rsidRPr="00375EB0">
        <w:rPr>
          <w:rFonts w:ascii="Simplified Arabic" w:eastAsia="Calibri" w:hAnsi="Simplified Arabic" w:cs="Simplified Arabic"/>
          <w:b/>
          <w:bCs/>
          <w:sz w:val="32"/>
          <w:szCs w:val="32"/>
          <w:u w:val="single"/>
          <w:rtl/>
          <w:lang w:val="en-US" w:bidi="ar-EG"/>
        </w:rPr>
        <w:t>توزيع</w:t>
      </w:r>
      <w:r w:rsidRPr="00375EB0">
        <w:rPr>
          <w:rFonts w:ascii="Simplified Arabic" w:eastAsia="Calibri" w:hAnsi="Simplified Arabic" w:cs="Simplified Arabic" w:hint="cs"/>
          <w:b/>
          <w:bCs/>
          <w:sz w:val="32"/>
          <w:szCs w:val="32"/>
          <w:u w:val="single"/>
          <w:rtl/>
          <w:lang w:val="en-US" w:bidi="ar-EG"/>
        </w:rPr>
        <w:t xml:space="preserve"> الجغرافي</w:t>
      </w:r>
      <w:r w:rsidRPr="00375EB0">
        <w:rPr>
          <w:rFonts w:ascii="Simplified Arabic" w:eastAsia="Calibri" w:hAnsi="Simplified Arabic" w:cs="Simplified Arabic"/>
          <w:b/>
          <w:bCs/>
          <w:sz w:val="32"/>
          <w:szCs w:val="32"/>
          <w:u w:val="single"/>
          <w:rtl/>
          <w:lang w:val="en-US" w:bidi="ar-EG"/>
        </w:rPr>
        <w:t xml:space="preserve"> السكان</w:t>
      </w:r>
      <w:r w:rsidRPr="00375EB0">
        <w:rPr>
          <w:rFonts w:ascii="Simplified Arabic" w:eastAsia="Calibri" w:hAnsi="Simplified Arabic" w:cs="Simplified Arabic"/>
          <w:b/>
          <w:bCs/>
          <w:sz w:val="32"/>
          <w:szCs w:val="32"/>
          <w:rtl/>
          <w:lang w:val="en-US" w:bidi="ar-EG"/>
        </w:rPr>
        <w:t>:</w:t>
      </w:r>
    </w:p>
    <w:p w:rsidR="00B917B2" w:rsidRPr="00375EB0" w:rsidRDefault="00B917B2" w:rsidP="00616254">
      <w:pPr>
        <w:pStyle w:val="ListParagraph"/>
        <w:numPr>
          <w:ilvl w:val="0"/>
          <w:numId w:val="11"/>
        </w:numPr>
        <w:spacing w:before="120" w:after="120" w:line="240" w:lineRule="auto"/>
        <w:jc w:val="both"/>
        <w:rPr>
          <w:rFonts w:ascii="Simplified Arabic" w:eastAsia="Calibri" w:hAnsi="Simplified Arabic" w:cs="Simplified Arabic"/>
          <w:b/>
          <w:bCs/>
          <w:sz w:val="30"/>
          <w:szCs w:val="30"/>
          <w:rtl/>
          <w:lang w:bidi="ar-EG"/>
        </w:rPr>
      </w:pPr>
      <w:r w:rsidRPr="00375EB0">
        <w:rPr>
          <w:rFonts w:ascii="Simplified Arabic" w:eastAsia="Calibri" w:hAnsi="Simplified Arabic" w:cs="Simplified Arabic"/>
          <w:b/>
          <w:bCs/>
          <w:sz w:val="30"/>
          <w:szCs w:val="30"/>
          <w:u w:val="single"/>
          <w:rtl/>
          <w:lang w:bidi="ar-EG"/>
        </w:rPr>
        <w:t>الكثافة السكانية</w:t>
      </w:r>
      <w:r w:rsidRPr="00375EB0">
        <w:rPr>
          <w:rFonts w:ascii="Simplified Arabic" w:eastAsia="Calibri" w:hAnsi="Simplified Arabic" w:cs="Simplified Arabic"/>
          <w:b/>
          <w:bCs/>
          <w:sz w:val="30"/>
          <w:szCs w:val="30"/>
          <w:lang w:bidi="ar-EG"/>
        </w:rPr>
        <w:t>:</w:t>
      </w:r>
    </w:p>
    <w:p w:rsidR="00B917B2" w:rsidRPr="00375EB0" w:rsidRDefault="00B917B2" w:rsidP="00B917B2">
      <w:pPr>
        <w:bidi/>
        <w:spacing w:after="12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رغم أن المساحة الكلية لمصر تزد قليلا عن مليون كيلو متر مربع فان معظم السكان متركزون فى الشریط الضيق لوادي النيل والدلتا بالإضافة إلى الواحات القليلة فى وسط الصحراء، والمدن الجديدة التي أنشأت وتمثل المساحة المأهولة بالسكان نسبة ضئيلة، حوالى 7,8٪ من جملة المساحة، مما يترتب عليه معاناة مصر من كثافة سكانية عإلية</w:t>
      </w:r>
      <w:r w:rsidRPr="00375EB0">
        <w:rPr>
          <w:rFonts w:ascii="Simplified Arabic" w:eastAsia="Calibri" w:hAnsi="Simplified Arabic" w:cs="Simplified Arabic"/>
          <w:sz w:val="28"/>
          <w:szCs w:val="28"/>
          <w:vertAlign w:val="superscript"/>
          <w:rtl/>
          <w:lang w:val="en-US" w:bidi="ar-EG"/>
        </w:rPr>
        <w:footnoteReference w:id="7"/>
      </w:r>
      <w:r w:rsidRPr="00375EB0">
        <w:rPr>
          <w:rFonts w:ascii="Simplified Arabic" w:eastAsia="Calibri" w:hAnsi="Simplified Arabic" w:cs="Simplified Arabic"/>
          <w:sz w:val="28"/>
          <w:szCs w:val="28"/>
          <w:rtl/>
          <w:lang w:val="en-US" w:bidi="ar-EG"/>
        </w:rPr>
        <w:t>، بالمقارنة بمثيلتها من دول العالم.</w:t>
      </w:r>
    </w:p>
    <w:p w:rsidR="00B917B2" w:rsidRPr="00375EB0" w:rsidRDefault="00B917B2" w:rsidP="00B917B2">
      <w:pPr>
        <w:bidi/>
        <w:spacing w:after="120" w:line="240" w:lineRule="auto"/>
        <w:ind w:left="170" w:firstLine="72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وطبقا لبيانات السكان عام 2017 فقد بلغت الكثافة السكانية فى مصر على أساس المساحة المأهولة 1162,9 نسمة فى الكيلو متر المربع، وتزداد هذه الكثافة كثيرا عن ذلك المتوسط في بعض المحافظات، حيث بلغت فى القاهرة حوإلي 38,5 ألف نسمة فى الكيلو متر المربع، وقد انعكست الكثافة المتفاوتة للسكان فى المحافظات والمناطق المختلفة بمصر على اختلال توزيع السكان بين الریف 57,3٪ والحضر 42,8٪، هذه الكثافة الكبيرة في بعض المحافظات تؤدي إلي خلق عب</w:t>
      </w:r>
      <w:r w:rsidRPr="00375EB0">
        <w:rPr>
          <w:rFonts w:ascii="Simplified Arabic" w:eastAsia="Calibri" w:hAnsi="Simplified Arabic" w:cs="Simplified Arabic" w:hint="cs"/>
          <w:sz w:val="28"/>
          <w:szCs w:val="28"/>
          <w:vertAlign w:val="superscript"/>
          <w:rtl/>
          <w:lang w:val="en-US" w:bidi="ar-EG"/>
        </w:rPr>
        <w:t>ء</w:t>
      </w:r>
      <w:r w:rsidRPr="00375EB0">
        <w:rPr>
          <w:rFonts w:ascii="Simplified Arabic" w:eastAsia="Calibri" w:hAnsi="Simplified Arabic" w:cs="Simplified Arabic"/>
          <w:sz w:val="28"/>
          <w:szCs w:val="28"/>
          <w:rtl/>
          <w:lang w:val="en-US" w:bidi="ar-EG"/>
        </w:rPr>
        <w:t xml:space="preserve"> وضغط سكاني علي مدن تلك المحافظات في العديد من النواحي مثل المرافق والخدمات وزيادة التلوث البيئي وانتشار العشوائيات وغيرها من مشكلات اجتماعية واقتصادية.</w:t>
      </w:r>
    </w:p>
    <w:p w:rsidR="00B917B2" w:rsidRPr="00375EB0" w:rsidRDefault="00B917B2" w:rsidP="00616254">
      <w:pPr>
        <w:pStyle w:val="ListParagraph"/>
        <w:numPr>
          <w:ilvl w:val="0"/>
          <w:numId w:val="11"/>
        </w:numPr>
        <w:spacing w:after="0" w:line="240" w:lineRule="auto"/>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التوزيع السكاني وفقا لمحل الاقامة:</w:t>
      </w:r>
    </w:p>
    <w:p w:rsidR="00B917B2" w:rsidRPr="00375EB0" w:rsidRDefault="00B917B2" w:rsidP="00B917B2">
      <w:pPr>
        <w:bidi/>
        <w:spacing w:after="0" w:line="240" w:lineRule="auto"/>
        <w:ind w:left="360" w:firstLine="55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تشهد مصر نموا مضطردا في نسبة السكان بالمناطق الحضرية كنتيجة للهجرة الدائمة من الريف إلي الحضر لقلة فرص العمل بالمناطق الريفية ومن ثَمَّ زيادة نسبة البطالة بصفة عامة والبطالة بين المتعلمين بصفة خاصة كنتيجة حتمية للإقبال علي التعليم في الريف، واجتذاب الحياة في المدن لسكان الريف، مما نتج عنه ضغط شديد علي المرافق والخدمات.</w:t>
      </w:r>
    </w:p>
    <w:p w:rsidR="00B917B2" w:rsidRPr="00375EB0" w:rsidRDefault="00B917B2" w:rsidP="00B917B2">
      <w:pPr>
        <w:bidi/>
        <w:spacing w:after="0" w:line="240" w:lineRule="auto"/>
        <w:ind w:left="170" w:firstLine="720"/>
        <w:jc w:val="both"/>
        <w:rPr>
          <w:rFonts w:ascii="Simplified Arabic" w:eastAsia="Calibri" w:hAnsi="Simplified Arabic" w:cs="Simplified Arabic"/>
          <w:sz w:val="32"/>
          <w:szCs w:val="32"/>
          <w:rtl/>
          <w:lang w:val="en-US" w:bidi="ar-EG"/>
        </w:rPr>
      </w:pPr>
      <w:r w:rsidRPr="00375EB0">
        <w:rPr>
          <w:rFonts w:ascii="Simplified Arabic" w:eastAsia="Calibri" w:hAnsi="Simplified Arabic" w:cs="Simplified Arabic"/>
          <w:sz w:val="28"/>
          <w:szCs w:val="28"/>
          <w:rtl/>
          <w:lang w:val="en-US" w:bidi="ar-EG"/>
        </w:rPr>
        <w:t xml:space="preserve">وقد أشارت بيانات الجهاز المركزي للتعبئة العامة والاحصاء من التعدادات السكانية كما يوضحها شكل (2-5) إلى أن نسبة السكان المصريين بالحضر خلال </w:t>
      </w:r>
      <w:r w:rsidRPr="00375EB0">
        <w:rPr>
          <w:rFonts w:ascii="Simplified Arabic" w:eastAsia="Calibri" w:hAnsi="Simplified Arabic" w:cs="Simplified Arabic"/>
          <w:sz w:val="28"/>
          <w:szCs w:val="28"/>
          <w:rtl/>
          <w:lang w:val="en-US" w:bidi="ar-EG"/>
        </w:rPr>
        <w:lastRenderedPageBreak/>
        <w:t>تعدادات 1996، 2006، 2017 قد بلغت 42,6٪، 43,0٪، 42,2٪ على الترتيب، فى المقابل بلغت نسبة السكان فى الريف فى التعدادات الثلاث 57,4٪، 57,0٪، 57,8٪ على الترتيب، مما يعكس ثبات نسبة سكان الحضر والريف تقريبا في التعدادات الثلاث</w:t>
      </w:r>
      <w:r w:rsidRPr="00375EB0">
        <w:rPr>
          <w:rFonts w:ascii="Simplified Arabic" w:eastAsia="Calibri" w:hAnsi="Simplified Arabic" w:cs="Simplified Arabic"/>
          <w:sz w:val="32"/>
          <w:szCs w:val="32"/>
          <w:rtl/>
          <w:lang w:val="en-US" w:bidi="ar-EG"/>
        </w:rPr>
        <w:t>.</w:t>
      </w:r>
    </w:p>
    <w:p w:rsidR="00B917B2" w:rsidRPr="00375EB0" w:rsidRDefault="00B917B2" w:rsidP="00B917B2">
      <w:pPr>
        <w:bidi/>
        <w:spacing w:after="0" w:line="240" w:lineRule="auto"/>
        <w:jc w:val="center"/>
        <w:rPr>
          <w:rFonts w:ascii="Simplified Arabic" w:eastAsiaTheme="minorEastAsia" w:hAnsi="Simplified Arabic" w:cs="Simplified Arabic"/>
          <w:b/>
          <w:bCs/>
          <w:kern w:val="24"/>
          <w:sz w:val="26"/>
          <w:szCs w:val="26"/>
          <w:rtl/>
          <w:lang w:eastAsia="en-GB" w:bidi="ar-EG"/>
        </w:rPr>
      </w:pPr>
      <w:r w:rsidRPr="00375EB0">
        <w:rPr>
          <w:rFonts w:ascii="Simplified Arabic" w:eastAsia="Calibri" w:hAnsi="Simplified Arabic" w:cs="Simplified Arabic"/>
          <w:noProof/>
          <w:sz w:val="24"/>
          <w:szCs w:val="24"/>
          <w:lang w:val="en-US"/>
        </w:rPr>
        <w:drawing>
          <wp:anchor distT="0" distB="0" distL="114300" distR="114300" simplePos="0" relativeHeight="251665408" behindDoc="1" locked="0" layoutInCell="1" allowOverlap="1" wp14:anchorId="15C2C684" wp14:editId="6C466634">
            <wp:simplePos x="0" y="0"/>
            <wp:positionH relativeFrom="margin">
              <wp:align>right</wp:align>
            </wp:positionH>
            <wp:positionV relativeFrom="paragraph">
              <wp:posOffset>477520</wp:posOffset>
            </wp:positionV>
            <wp:extent cx="4495800" cy="1808480"/>
            <wp:effectExtent l="0" t="0" r="0" b="1270"/>
            <wp:wrapTight wrapText="bothSides">
              <wp:wrapPolygon edited="0">
                <wp:start x="92" y="0"/>
                <wp:lineTo x="0" y="683"/>
                <wp:lineTo x="0" y="20933"/>
                <wp:lineTo x="92" y="21388"/>
                <wp:lineTo x="21417" y="21388"/>
                <wp:lineTo x="21508" y="20933"/>
                <wp:lineTo x="21508" y="683"/>
                <wp:lineTo x="21417" y="0"/>
                <wp:lineTo x="92" y="0"/>
              </wp:wrapPolygon>
            </wp:wrapTight>
            <wp:docPr id="23"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375EB0">
        <w:rPr>
          <w:rFonts w:ascii="Simplified Arabic" w:eastAsiaTheme="minorEastAsia" w:hAnsi="Simplified Arabic" w:cs="Simplified Arabic"/>
          <w:b/>
          <w:bCs/>
          <w:kern w:val="24"/>
          <w:sz w:val="26"/>
          <w:szCs w:val="26"/>
          <w:rtl/>
          <w:lang w:eastAsia="en-GB" w:bidi="ar-EG"/>
        </w:rPr>
        <w:t>شكل (2-5) التوزيع النسبي للسكان المصريين بالحضر والريف بالتعدادات الثلاثة الأخيرة</w:t>
      </w:r>
    </w:p>
    <w:p w:rsidR="00B917B2" w:rsidRPr="00375EB0" w:rsidRDefault="00B917B2" w:rsidP="00B917B2">
      <w:pPr>
        <w:bidi/>
        <w:spacing w:after="0" w:line="240" w:lineRule="auto"/>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المصــــدر:</w:t>
      </w:r>
      <w:r w:rsidRPr="00375EB0">
        <w:rPr>
          <w:rFonts w:ascii="Simplified Arabic" w:eastAsia="Calibri" w:hAnsi="Simplified Arabic" w:cs="Simplified Arabic"/>
          <w:rtl/>
          <w:lang w:val="en-US" w:bidi="ar-EG"/>
        </w:rPr>
        <w:t>الجهاز المركزي للتعبئة العامة والاحصاء - التعداد العام للسكان والاسكان والمنشآت</w:t>
      </w:r>
    </w:p>
    <w:p w:rsidR="00B917B2" w:rsidRPr="00375EB0" w:rsidRDefault="00B917B2" w:rsidP="00B917B2">
      <w:pPr>
        <w:bidi/>
        <w:spacing w:after="0" w:line="240" w:lineRule="auto"/>
        <w:ind w:left="680"/>
        <w:jc w:val="both"/>
        <w:rPr>
          <w:rFonts w:ascii="Simplified Arabic" w:eastAsia="Calibri" w:hAnsi="Simplified Arabic" w:cs="Simplified Arabic"/>
          <w:b/>
          <w:bCs/>
          <w:sz w:val="28"/>
          <w:szCs w:val="28"/>
          <w:rtl/>
          <w:lang w:val="en-US" w:bidi="ar-EG"/>
        </w:rPr>
      </w:pPr>
      <w:r w:rsidRPr="00375EB0">
        <w:rPr>
          <w:rFonts w:ascii="Simplified Arabic" w:eastAsia="Calibri" w:hAnsi="Simplified Arabic" w:cs="Simplified Arabic"/>
          <w:rtl/>
          <w:lang w:val="en-US" w:bidi="ar-EG"/>
        </w:rPr>
        <w:t>(1996، 2006، 2017).</w:t>
      </w:r>
    </w:p>
    <w:p w:rsidR="00B917B2" w:rsidRPr="00375EB0" w:rsidRDefault="00B917B2" w:rsidP="00B917B2">
      <w:pPr>
        <w:bidi/>
        <w:spacing w:before="120" w:after="0" w:line="240" w:lineRule="auto"/>
        <w:jc w:val="both"/>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rtl/>
          <w:lang w:val="en-US" w:bidi="ar-EG"/>
        </w:rPr>
        <w:t xml:space="preserve">البعد الثالث: </w:t>
      </w:r>
      <w:r w:rsidRPr="00375EB0">
        <w:rPr>
          <w:rFonts w:ascii="Simplified Arabic" w:eastAsia="Calibri" w:hAnsi="Simplified Arabic" w:cs="Simplified Arabic"/>
          <w:b/>
          <w:bCs/>
          <w:sz w:val="32"/>
          <w:szCs w:val="32"/>
          <w:u w:val="single"/>
          <w:rtl/>
          <w:lang w:val="en-US" w:bidi="ar-EG"/>
        </w:rPr>
        <w:t>انخفاض مستوي الخصائص السكانية</w:t>
      </w:r>
    </w:p>
    <w:p w:rsidR="00B917B2" w:rsidRPr="00375EB0" w:rsidRDefault="00B917B2" w:rsidP="00B917B2">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يرتبط هذ البعد بالعديد من المؤشرات الاقتصادية والاجتماعية التي تمكن من قياس مستوي تلك الخصائص، سوف تتناول الدراسة في هذا الجانب ثلاثة مؤشرات تشمل الأمية، الفقر، والتسرب من التعليم.</w:t>
      </w:r>
    </w:p>
    <w:p w:rsidR="00B917B2" w:rsidRPr="00375EB0" w:rsidRDefault="00B917B2" w:rsidP="00616254">
      <w:pPr>
        <w:pStyle w:val="ListParagraph"/>
        <w:numPr>
          <w:ilvl w:val="0"/>
          <w:numId w:val="12"/>
        </w:numPr>
        <w:shd w:val="clear" w:color="auto" w:fill="FFFFFF"/>
        <w:spacing w:after="0" w:line="240" w:lineRule="auto"/>
        <w:ind w:left="473"/>
        <w:jc w:val="both"/>
        <w:rPr>
          <w:rFonts w:ascii="Simplified Arabic" w:eastAsiaTheme="minorEastAsia" w:hAnsi="Simplified Arabic" w:cs="Simplified Arabic"/>
          <w:b/>
          <w:bCs/>
          <w:sz w:val="30"/>
          <w:szCs w:val="30"/>
          <w:u w:val="single"/>
          <w:rtl/>
        </w:rPr>
      </w:pPr>
      <w:r w:rsidRPr="00375EB0">
        <w:rPr>
          <w:rFonts w:ascii="Simplified Arabic" w:eastAsiaTheme="minorEastAsia" w:hAnsi="Simplified Arabic" w:cs="Simplified Arabic"/>
          <w:b/>
          <w:bCs/>
          <w:sz w:val="30"/>
          <w:szCs w:val="30"/>
          <w:u w:val="single"/>
          <w:rtl/>
        </w:rPr>
        <w:t>الأمية</w:t>
      </w:r>
    </w:p>
    <w:p w:rsidR="00B917B2" w:rsidRPr="00375EB0" w:rsidRDefault="00B917B2" w:rsidP="00B917B2">
      <w:pPr>
        <w:shd w:val="clear" w:color="auto" w:fill="FFFFFF"/>
        <w:bidi/>
        <w:spacing w:after="0" w:line="240" w:lineRule="auto"/>
        <w:ind w:left="170" w:firstLine="720"/>
        <w:jc w:val="both"/>
        <w:rPr>
          <w:rFonts w:ascii="Simplified Arabic" w:hAnsi="Simplified Arabic" w:cs="Simplified Arabic"/>
          <w:rtl/>
          <w:lang w:val="en-US"/>
        </w:rPr>
      </w:pPr>
      <w:r w:rsidRPr="00375EB0">
        <w:rPr>
          <w:rFonts w:ascii="Simplified Arabic" w:eastAsiaTheme="minorEastAsia" w:hAnsi="Simplified Arabic" w:cs="Simplified Arabic"/>
          <w:sz w:val="28"/>
          <w:szCs w:val="28"/>
          <w:rtl/>
          <w:lang w:val="en-US"/>
        </w:rPr>
        <w:t>تشكل الزيادة السكانية المستمرة عاملاً هاماً من عوامل تفاقم المشكلة في ظل غياب اتخاذ الإجراءات الحاسمة لمحو الأمية فمنذ عام 2006 لم تنخفض نسبة الأمية سوى بنسبة منخفضة من 29,6</w:t>
      </w:r>
      <w:r w:rsidRPr="00375EB0">
        <w:rPr>
          <w:rFonts w:ascii="Simplified Arabic" w:hAnsi="Simplified Arabic" w:cs="Simplified Arabic"/>
          <w:rtl/>
          <w:lang w:val="en-US"/>
        </w:rPr>
        <w:t>٪</w:t>
      </w:r>
      <w:r w:rsidRPr="00375EB0">
        <w:rPr>
          <w:rFonts w:ascii="Simplified Arabic" w:eastAsiaTheme="minorEastAsia" w:hAnsi="Simplified Arabic" w:cs="Simplified Arabic"/>
          <w:sz w:val="28"/>
          <w:szCs w:val="28"/>
          <w:rtl/>
          <w:lang w:val="en-US"/>
        </w:rPr>
        <w:t xml:space="preserve"> إلى 25,8</w:t>
      </w:r>
      <w:r w:rsidRPr="00375EB0">
        <w:rPr>
          <w:rFonts w:ascii="Simplified Arabic" w:hAnsi="Simplified Arabic" w:cs="Simplified Arabic"/>
          <w:rtl/>
          <w:lang w:val="en-US"/>
        </w:rPr>
        <w:t>٪</w:t>
      </w:r>
      <w:r w:rsidRPr="00375EB0">
        <w:rPr>
          <w:rFonts w:ascii="Simplified Arabic" w:eastAsiaTheme="minorEastAsia" w:hAnsi="Simplified Arabic" w:cs="Simplified Arabic"/>
          <w:sz w:val="28"/>
          <w:szCs w:val="28"/>
          <w:rtl/>
          <w:lang w:val="en-US"/>
        </w:rPr>
        <w:t xml:space="preserve"> عام 2017، كما أنها أعلى للإناث مقارنة بالذكور فقد بلغت 30,8</w:t>
      </w:r>
      <w:r w:rsidRPr="00375EB0">
        <w:rPr>
          <w:rFonts w:ascii="Simplified Arabic" w:hAnsi="Simplified Arabic" w:cs="Simplified Arabic"/>
          <w:rtl/>
          <w:lang w:val="en-US"/>
        </w:rPr>
        <w:t>٪</w:t>
      </w:r>
      <w:r w:rsidRPr="00375EB0">
        <w:rPr>
          <w:rFonts w:ascii="Simplified Arabic" w:eastAsiaTheme="minorEastAsia" w:hAnsi="Simplified Arabic" w:cs="Simplified Arabic"/>
          <w:sz w:val="28"/>
          <w:szCs w:val="28"/>
          <w:rtl/>
          <w:lang w:val="en-US"/>
        </w:rPr>
        <w:t xml:space="preserve"> للإناث عام 2017 مقابل 21,2</w:t>
      </w:r>
      <w:r w:rsidRPr="00375EB0">
        <w:rPr>
          <w:rFonts w:ascii="Simplified Arabic" w:hAnsi="Simplified Arabic" w:cs="Simplified Arabic"/>
          <w:rtl/>
          <w:lang w:val="en-US"/>
        </w:rPr>
        <w:t>٪</w:t>
      </w:r>
      <w:r w:rsidRPr="00375EB0">
        <w:rPr>
          <w:rFonts w:ascii="Simplified Arabic" w:eastAsiaTheme="minorEastAsia" w:hAnsi="Simplified Arabic" w:cs="Simplified Arabic"/>
          <w:sz w:val="28"/>
          <w:szCs w:val="28"/>
          <w:rtl/>
          <w:lang w:val="en-US"/>
        </w:rPr>
        <w:t>، وهذا ما يوضحة شكل (2-6)</w:t>
      </w:r>
    </w:p>
    <w:p w:rsidR="00B917B2" w:rsidRPr="00375EB0" w:rsidRDefault="00B917B2" w:rsidP="00B917B2">
      <w:pPr>
        <w:shd w:val="clear" w:color="auto" w:fill="FFFFFF"/>
        <w:bidi/>
        <w:spacing w:before="120" w:after="0" w:line="240" w:lineRule="auto"/>
        <w:ind w:left="-1"/>
        <w:jc w:val="center"/>
        <w:rPr>
          <w:rFonts w:ascii="Simplified Arabic" w:eastAsiaTheme="minorEastAsia" w:hAnsi="Simplified Arabic" w:cs="Simplified Arabic"/>
          <w:sz w:val="28"/>
          <w:szCs w:val="28"/>
          <w:rtl/>
          <w:lang w:val="en-US"/>
        </w:rPr>
      </w:pPr>
      <w:r w:rsidRPr="00375EB0">
        <w:rPr>
          <w:rFonts w:ascii="Simplified Arabic" w:hAnsi="Simplified Arabic" w:cs="Simplified Arabic"/>
          <w:noProof/>
          <w:rtl/>
          <w:lang w:val="en-US"/>
        </w:rPr>
        <w:lastRenderedPageBreak/>
        <w:drawing>
          <wp:anchor distT="0" distB="0" distL="114300" distR="114300" simplePos="0" relativeHeight="251666432" behindDoc="1" locked="0" layoutInCell="1" allowOverlap="1" wp14:anchorId="63CBD831" wp14:editId="1E31C105">
            <wp:simplePos x="0" y="0"/>
            <wp:positionH relativeFrom="margin">
              <wp:align>right</wp:align>
            </wp:positionH>
            <wp:positionV relativeFrom="paragraph">
              <wp:posOffset>394335</wp:posOffset>
            </wp:positionV>
            <wp:extent cx="4738370" cy="1600200"/>
            <wp:effectExtent l="0" t="0" r="5080" b="0"/>
            <wp:wrapTopAndBottom/>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375EB0">
        <w:rPr>
          <w:rFonts w:ascii="Simplified Arabic" w:eastAsiaTheme="minorEastAsia" w:hAnsi="Simplified Arabic" w:cs="Simplified Arabic"/>
          <w:b/>
          <w:bCs/>
          <w:rtl/>
          <w:lang w:val="en-US"/>
        </w:rPr>
        <w:t>شكل (</w:t>
      </w:r>
      <w:r>
        <w:rPr>
          <w:rFonts w:ascii="Simplified Arabic" w:eastAsiaTheme="minorEastAsia" w:hAnsi="Simplified Arabic" w:cs="Simplified Arabic" w:hint="cs"/>
          <w:b/>
          <w:bCs/>
          <w:rtl/>
          <w:lang w:val="en-US"/>
        </w:rPr>
        <w:t xml:space="preserve">2 </w:t>
      </w:r>
      <w:r w:rsidRPr="00375EB0">
        <w:rPr>
          <w:rFonts w:ascii="Simplified Arabic" w:eastAsiaTheme="minorEastAsia" w:hAnsi="Simplified Arabic" w:cs="Simplified Arabic"/>
          <w:b/>
          <w:bCs/>
          <w:rtl/>
          <w:lang w:val="en-US"/>
        </w:rPr>
        <w:t xml:space="preserve">-6) </w:t>
      </w:r>
      <w:r w:rsidRPr="00375EB0">
        <w:rPr>
          <w:rFonts w:ascii="Simplified Arabic" w:eastAsiaTheme="minorEastAsia" w:hAnsi="Simplified Arabic" w:cs="Simplified Arabic" w:hint="cs"/>
          <w:b/>
          <w:bCs/>
          <w:rtl/>
          <w:lang w:val="en-US"/>
        </w:rPr>
        <w:t xml:space="preserve">تطور </w:t>
      </w:r>
      <w:r w:rsidRPr="00375EB0">
        <w:rPr>
          <w:rFonts w:ascii="Simplified Arabic" w:eastAsiaTheme="minorEastAsia" w:hAnsi="Simplified Arabic" w:cs="Simplified Arabic"/>
          <w:b/>
          <w:bCs/>
          <w:rtl/>
          <w:lang w:val="en-US"/>
        </w:rPr>
        <w:t>نسب الأمية للسكان (10 سنوات+)</w:t>
      </w:r>
      <w:r w:rsidRPr="00375EB0">
        <w:rPr>
          <w:rFonts w:ascii="Simplified Arabic" w:eastAsiaTheme="minorEastAsia" w:hAnsi="Simplified Arabic" w:cs="Simplified Arabic" w:hint="cs"/>
          <w:b/>
          <w:bCs/>
          <w:rtl/>
          <w:lang w:val="en-US"/>
        </w:rPr>
        <w:t xml:space="preserve"> حسب النوع (2006 </w:t>
      </w:r>
      <w:r w:rsidRPr="00375EB0">
        <w:rPr>
          <w:rFonts w:ascii="Simplified Arabic" w:eastAsiaTheme="minorEastAsia" w:hAnsi="Simplified Arabic" w:cs="Simplified Arabic"/>
          <w:b/>
          <w:bCs/>
          <w:rtl/>
          <w:lang w:val="en-US"/>
        </w:rPr>
        <w:t>–</w:t>
      </w:r>
      <w:r w:rsidRPr="00375EB0">
        <w:rPr>
          <w:rFonts w:ascii="Simplified Arabic" w:eastAsiaTheme="minorEastAsia" w:hAnsi="Simplified Arabic" w:cs="Simplified Arabic" w:hint="cs"/>
          <w:b/>
          <w:bCs/>
          <w:rtl/>
          <w:lang w:val="en-US"/>
        </w:rPr>
        <w:t xml:space="preserve"> 2017)</w:t>
      </w:r>
    </w:p>
    <w:p w:rsidR="00B917B2" w:rsidRPr="00375EB0" w:rsidRDefault="00B917B2" w:rsidP="00B917B2">
      <w:pPr>
        <w:shd w:val="clear" w:color="auto" w:fill="FFFFFF"/>
        <w:bidi/>
        <w:spacing w:before="120" w:after="120" w:line="240" w:lineRule="auto"/>
        <w:ind w:hanging="1"/>
        <w:jc w:val="both"/>
        <w:rPr>
          <w:rFonts w:ascii="Simplified Arabic" w:eastAsiaTheme="minorEastAsia" w:hAnsi="Simplified Arabic" w:cs="Simplified Arabic"/>
          <w:sz w:val="32"/>
          <w:szCs w:val="32"/>
          <w:rtl/>
          <w:lang w:val="en-US"/>
        </w:rPr>
      </w:pPr>
      <w:r w:rsidRPr="00375EB0">
        <w:rPr>
          <w:rFonts w:ascii="Simplified Arabic" w:eastAsiaTheme="minorEastAsia" w:hAnsi="Simplified Arabic" w:cs="Simplified Arabic"/>
          <w:b/>
          <w:bCs/>
          <w:rtl/>
          <w:lang w:val="en-US"/>
        </w:rPr>
        <w:t xml:space="preserve">المصدر: </w:t>
      </w:r>
      <w:r w:rsidRPr="00375EB0">
        <w:rPr>
          <w:rFonts w:ascii="Simplified Arabic" w:eastAsiaTheme="minorEastAsia" w:hAnsi="Simplified Arabic" w:cs="Simplified Arabic"/>
          <w:rtl/>
          <w:lang w:val="en-US"/>
        </w:rPr>
        <w:t>الجهاز المركزى للتعبئة العامة والإحصاء، (2006-2017).</w:t>
      </w:r>
    </w:p>
    <w:p w:rsidR="00B917B2" w:rsidRPr="00375EB0" w:rsidRDefault="00B917B2" w:rsidP="00616254">
      <w:pPr>
        <w:pStyle w:val="ListParagraph"/>
        <w:numPr>
          <w:ilvl w:val="0"/>
          <w:numId w:val="12"/>
        </w:numPr>
        <w:shd w:val="clear" w:color="auto" w:fill="FFFFFF"/>
        <w:spacing w:before="120" w:after="120" w:line="240" w:lineRule="auto"/>
        <w:ind w:left="417"/>
        <w:jc w:val="both"/>
        <w:rPr>
          <w:rFonts w:ascii="Simplified Arabic" w:eastAsiaTheme="minorEastAsia" w:hAnsi="Simplified Arabic" w:cs="Simplified Arabic"/>
          <w:sz w:val="32"/>
          <w:szCs w:val="32"/>
        </w:rPr>
      </w:pPr>
      <w:r w:rsidRPr="00375EB0">
        <w:rPr>
          <w:rFonts w:ascii="Simplified Arabic" w:eastAsiaTheme="minorEastAsia" w:hAnsi="Simplified Arabic" w:cs="Simplified Arabic"/>
          <w:b/>
          <w:bCs/>
          <w:sz w:val="30"/>
          <w:szCs w:val="30"/>
          <w:u w:val="single"/>
          <w:rtl/>
          <w:lang w:bidi="ar-EG"/>
        </w:rPr>
        <w:t>الفقــــــر</w:t>
      </w:r>
      <w:r w:rsidRPr="00375EB0">
        <w:rPr>
          <w:sz w:val="32"/>
          <w:szCs w:val="32"/>
          <w:vertAlign w:val="superscript"/>
          <w:rtl/>
          <w:lang w:bidi="ar-EG"/>
        </w:rPr>
        <w:footnoteReference w:id="8"/>
      </w:r>
    </w:p>
    <w:p w:rsidR="00B917B2" w:rsidRPr="00375EB0" w:rsidRDefault="00B917B2" w:rsidP="00B917B2">
      <w:pPr>
        <w:bidi/>
        <w:spacing w:after="120" w:line="240" w:lineRule="auto"/>
        <w:ind w:left="170" w:firstLine="720"/>
        <w:jc w:val="both"/>
        <w:rPr>
          <w:rFonts w:ascii="Simplified Arabic" w:eastAsiaTheme="minorEastAsia" w:hAnsi="Simplified Arabic" w:cs="Simplified Arabic"/>
          <w:sz w:val="28"/>
          <w:szCs w:val="28"/>
          <w:rtl/>
          <w:lang w:val="en-US" w:bidi="ar-EG"/>
        </w:rPr>
      </w:pPr>
      <w:r w:rsidRPr="00375EB0">
        <w:rPr>
          <w:rFonts w:ascii="Simplified Arabic" w:eastAsiaTheme="minorEastAsia" w:hAnsi="Simplified Arabic" w:cs="Simplified Arabic"/>
          <w:sz w:val="28"/>
          <w:szCs w:val="28"/>
          <w:rtl/>
          <w:lang w:val="en-US" w:bidi="ar-EG"/>
        </w:rPr>
        <w:t>كما كانت ومازالت نسب الأمية مرتفعة فإن نسبة الفقراء فى مصر فى تزايد مستمر فقد ارتفعت نسبة الفقراء من 17</w:t>
      </w:r>
      <w:r w:rsidRPr="00375EB0">
        <w:rPr>
          <w:rFonts w:ascii="Simplified Arabic" w:hAnsi="Simplified Arabic" w:cs="Simplified Arabic"/>
          <w:rtl/>
          <w:lang w:val="en-US"/>
        </w:rPr>
        <w:t>٪</w:t>
      </w:r>
      <w:r w:rsidRPr="00375EB0">
        <w:rPr>
          <w:rFonts w:ascii="Simplified Arabic" w:eastAsiaTheme="minorEastAsia" w:hAnsi="Simplified Arabic" w:cs="Simplified Arabic"/>
          <w:sz w:val="28"/>
          <w:szCs w:val="28"/>
          <w:rtl/>
          <w:lang w:val="en-US" w:bidi="ar-EG"/>
        </w:rPr>
        <w:t xml:space="preserve"> عام 1999/2000 إلى 26</w:t>
      </w:r>
      <w:r w:rsidRPr="00375EB0">
        <w:rPr>
          <w:rFonts w:ascii="Simplified Arabic" w:hAnsi="Simplified Arabic" w:cs="Simplified Arabic"/>
          <w:rtl/>
          <w:lang w:val="en-US"/>
        </w:rPr>
        <w:t>٪</w:t>
      </w:r>
      <w:r w:rsidRPr="00375EB0">
        <w:rPr>
          <w:rFonts w:ascii="Simplified Arabic" w:eastAsiaTheme="minorEastAsia" w:hAnsi="Simplified Arabic" w:cs="Simplified Arabic"/>
          <w:sz w:val="28"/>
          <w:szCs w:val="28"/>
          <w:rtl/>
          <w:lang w:val="en-US" w:bidi="ar-EG"/>
        </w:rPr>
        <w:t xml:space="preserve"> عــام 2012/2013 ثم إلى 27,8</w:t>
      </w:r>
      <w:r w:rsidRPr="00375EB0">
        <w:rPr>
          <w:rFonts w:ascii="Simplified Arabic" w:hAnsi="Simplified Arabic" w:cs="Simplified Arabic"/>
          <w:rtl/>
          <w:lang w:val="en-US"/>
        </w:rPr>
        <w:t>٪</w:t>
      </w:r>
      <w:r w:rsidRPr="00375EB0">
        <w:rPr>
          <w:rFonts w:ascii="Simplified Arabic" w:eastAsiaTheme="minorEastAsia" w:hAnsi="Simplified Arabic" w:cs="Simplified Arabic"/>
          <w:sz w:val="28"/>
          <w:szCs w:val="28"/>
          <w:rtl/>
          <w:lang w:val="en-US" w:bidi="ar-EG"/>
        </w:rPr>
        <w:t xml:space="preserve"> عــام 2015 لتصل إلي 32,5</w:t>
      </w:r>
      <w:r w:rsidRPr="00375EB0">
        <w:rPr>
          <w:rFonts w:ascii="Simplified Arabic" w:hAnsi="Simplified Arabic" w:cs="Simplified Arabic"/>
          <w:rtl/>
          <w:lang w:val="en-US"/>
        </w:rPr>
        <w:t>٪</w:t>
      </w:r>
      <w:r w:rsidRPr="00375EB0">
        <w:rPr>
          <w:rFonts w:ascii="Simplified Arabic" w:eastAsiaTheme="minorEastAsia" w:hAnsi="Simplified Arabic" w:cs="Simplified Arabic"/>
          <w:sz w:val="28"/>
          <w:szCs w:val="28"/>
          <w:rtl/>
          <w:lang w:val="en-US" w:bidi="ar-EG"/>
        </w:rPr>
        <w:t xml:space="preserve"> عام 2017/2018، وهـذا ما يوضحه الشكل (2-7).</w:t>
      </w:r>
    </w:p>
    <w:p w:rsidR="00B917B2" w:rsidRPr="00375EB0" w:rsidRDefault="00B917B2" w:rsidP="00B917B2">
      <w:pPr>
        <w:bidi/>
        <w:spacing w:before="120" w:after="120" w:line="240" w:lineRule="auto"/>
        <w:ind w:left="-1"/>
        <w:jc w:val="center"/>
        <w:rPr>
          <w:rFonts w:ascii="Simplified Arabic" w:eastAsiaTheme="minorEastAsia" w:hAnsi="Simplified Arabic" w:cs="Simplified Arabic"/>
          <w:sz w:val="28"/>
          <w:szCs w:val="28"/>
          <w:rtl/>
          <w:lang w:val="en-US"/>
        </w:rPr>
      </w:pPr>
      <w:r w:rsidRPr="00375EB0">
        <w:rPr>
          <w:rFonts w:ascii="Simplified Arabic" w:eastAsia="Times New Roman" w:hAnsi="Simplified Arabic" w:cs="Simplified Arabic"/>
          <w:noProof/>
          <w:sz w:val="28"/>
          <w:szCs w:val="28"/>
          <w:rtl/>
          <w:lang w:val="en-US"/>
        </w:rPr>
        <w:drawing>
          <wp:inline distT="0" distB="0" distL="0" distR="0" wp14:anchorId="75C6A1E6" wp14:editId="603DE086">
            <wp:extent cx="4743450" cy="2343150"/>
            <wp:effectExtent l="0" t="0" r="0" b="0"/>
            <wp:docPr id="2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917B2" w:rsidRPr="00375EB0" w:rsidRDefault="00B917B2" w:rsidP="00B917B2">
      <w:pPr>
        <w:bidi/>
        <w:spacing w:after="120"/>
        <w:ind w:left="45"/>
        <w:rPr>
          <w:rFonts w:ascii="Simplified Arabic" w:eastAsia="Calibri" w:hAnsi="Simplified Arabic" w:cs="Simplified Arabic"/>
          <w:sz w:val="24"/>
          <w:szCs w:val="24"/>
          <w:rtl/>
          <w:lang w:val="en-US" w:bidi="ar-EG"/>
        </w:rPr>
      </w:pPr>
      <w:r w:rsidRPr="00375EB0">
        <w:rPr>
          <w:rFonts w:ascii="Simplified Arabic" w:eastAsia="Calibri" w:hAnsi="Simplified Arabic" w:cs="Simplified Arabic"/>
          <w:b/>
          <w:bCs/>
          <w:sz w:val="24"/>
          <w:szCs w:val="24"/>
          <w:rtl/>
          <w:lang w:val="en-US" w:bidi="ar-EG"/>
        </w:rPr>
        <w:t xml:space="preserve">المصدر: </w:t>
      </w:r>
      <w:r w:rsidRPr="00375EB0">
        <w:rPr>
          <w:rFonts w:ascii="Simplified Arabic" w:eastAsia="Calibri" w:hAnsi="Simplified Arabic" w:cs="Simplified Arabic"/>
          <w:sz w:val="24"/>
          <w:szCs w:val="24"/>
          <w:rtl/>
          <w:lang w:val="en-US" w:bidi="ar-EG"/>
        </w:rPr>
        <w:t>الجهاز المركزي للتعبئة العامة والاحصاء</w:t>
      </w:r>
      <w:r w:rsidRPr="00375EB0">
        <w:rPr>
          <w:rFonts w:ascii="Simplified Arabic" w:eastAsia="Calibri" w:hAnsi="Simplified Arabic" w:cs="Simplified Arabic" w:hint="cs"/>
          <w:sz w:val="24"/>
          <w:szCs w:val="24"/>
          <w:rtl/>
          <w:lang w:val="en-US" w:bidi="ar-EG"/>
        </w:rPr>
        <w:t xml:space="preserve"> -</w:t>
      </w:r>
      <w:r w:rsidRPr="00375EB0">
        <w:rPr>
          <w:rFonts w:ascii="Simplified Arabic" w:eastAsia="Calibri" w:hAnsi="Simplified Arabic" w:cs="Simplified Arabic"/>
          <w:sz w:val="24"/>
          <w:szCs w:val="24"/>
          <w:rtl/>
          <w:lang w:val="en-US" w:bidi="ar-EG"/>
        </w:rPr>
        <w:t xml:space="preserve"> مسح الدخل والانفاق والاستهلاك</w:t>
      </w:r>
      <w:r w:rsidRPr="00375EB0">
        <w:rPr>
          <w:rFonts w:ascii="Simplified Arabic" w:eastAsia="Calibri" w:hAnsi="Simplified Arabic" w:cs="Simplified Arabic" w:hint="cs"/>
          <w:sz w:val="24"/>
          <w:szCs w:val="24"/>
          <w:rtl/>
          <w:lang w:val="en-US" w:bidi="ar-EG"/>
        </w:rPr>
        <w:t>.</w:t>
      </w:r>
    </w:p>
    <w:p w:rsidR="00B917B2" w:rsidRPr="00375EB0" w:rsidRDefault="00B917B2" w:rsidP="00B917B2">
      <w:pPr>
        <w:bidi/>
        <w:spacing w:after="120"/>
        <w:ind w:left="45"/>
        <w:rPr>
          <w:rFonts w:ascii="Simplified Arabic" w:eastAsia="Calibri" w:hAnsi="Simplified Arabic" w:cs="Simplified Arabic"/>
          <w:noProof/>
          <w:sz w:val="24"/>
          <w:szCs w:val="24"/>
          <w:lang w:eastAsia="en-GB"/>
        </w:rPr>
      </w:pPr>
    </w:p>
    <w:p w:rsidR="00B917B2" w:rsidRPr="00375EB0" w:rsidRDefault="00B917B2" w:rsidP="00616254">
      <w:pPr>
        <w:pStyle w:val="ListParagraph"/>
        <w:numPr>
          <w:ilvl w:val="0"/>
          <w:numId w:val="12"/>
        </w:numPr>
        <w:tabs>
          <w:tab w:val="left" w:pos="6497"/>
        </w:tabs>
        <w:spacing w:after="0" w:line="240" w:lineRule="auto"/>
        <w:ind w:left="417" w:right="-360"/>
        <w:jc w:val="both"/>
        <w:rPr>
          <w:rFonts w:ascii="Simplified Arabic" w:hAnsi="Simplified Arabic" w:cs="Simplified Arabic"/>
          <w:b/>
          <w:bCs/>
          <w:sz w:val="32"/>
          <w:szCs w:val="32"/>
          <w:u w:val="single"/>
          <w:rtl/>
          <w:lang w:bidi="ar-EG"/>
        </w:rPr>
      </w:pPr>
      <w:r w:rsidRPr="00375EB0">
        <w:rPr>
          <w:rFonts w:ascii="Simplified Arabic" w:eastAsiaTheme="minorEastAsia" w:hAnsi="Simplified Arabic" w:cs="Simplified Arabic"/>
          <w:sz w:val="32"/>
          <w:szCs w:val="32"/>
          <w:rtl/>
          <w:lang w:bidi="ar-EG"/>
        </w:rPr>
        <w:lastRenderedPageBreak/>
        <w:t>ا</w:t>
      </w:r>
      <w:r w:rsidRPr="00375EB0">
        <w:rPr>
          <w:rFonts w:ascii="Simplified Arabic" w:hAnsi="Simplified Arabic" w:cs="Simplified Arabic"/>
          <w:b/>
          <w:bCs/>
          <w:sz w:val="32"/>
          <w:szCs w:val="32"/>
          <w:u w:val="single"/>
          <w:rtl/>
          <w:lang w:bidi="ar-EG"/>
        </w:rPr>
        <w:t>لتسرب من التعليم</w:t>
      </w:r>
      <w:r w:rsidRPr="00375EB0">
        <w:rPr>
          <w:vertAlign w:val="superscript"/>
          <w:rtl/>
          <w:lang w:bidi="ar-EG"/>
        </w:rPr>
        <w:footnoteReference w:id="9"/>
      </w:r>
    </w:p>
    <w:p w:rsidR="00B917B2" w:rsidRPr="00375EB0" w:rsidRDefault="00B917B2" w:rsidP="00B917B2">
      <w:pPr>
        <w:autoSpaceDE w:val="0"/>
        <w:autoSpaceDN w:val="0"/>
        <w:bidi/>
        <w:adjustRightInd w:val="0"/>
        <w:spacing w:after="0" w:line="240" w:lineRule="auto"/>
        <w:ind w:left="170" w:firstLine="720"/>
        <w:jc w:val="both"/>
        <w:rPr>
          <w:rFonts w:ascii="Simplified Arabic" w:hAnsi="Simplified Arabic" w:cs="Simplified Arabic"/>
          <w:sz w:val="28"/>
          <w:szCs w:val="28"/>
          <w:rtl/>
          <w:lang w:val="en-US"/>
        </w:rPr>
      </w:pPr>
      <w:r w:rsidRPr="00375EB0">
        <w:rPr>
          <w:rFonts w:ascii="Simplified Arabic" w:hAnsi="Simplified Arabic" w:cs="Simplified Arabic"/>
          <w:sz w:val="28"/>
          <w:szCs w:val="28"/>
          <w:rtl/>
          <w:lang w:val="en-US" w:bidi="ar-EG"/>
        </w:rPr>
        <w:t>ويتم تنأول هذه النقطة كأحد مظاهر الخصائص السكانية المتدنية حيث هناك علاقات مباشرة ما بين حجم الأمية ونظام التعليم وبصفة خاصة في مراحل التعليم الأولي و</w:t>
      </w:r>
      <w:r w:rsidRPr="00375EB0">
        <w:rPr>
          <w:rFonts w:ascii="Simplified Arabic" w:hAnsi="Simplified Arabic" w:cs="Simplified Arabic"/>
          <w:sz w:val="28"/>
          <w:szCs w:val="28"/>
          <w:rtl/>
          <w:lang w:val="en-US"/>
        </w:rPr>
        <w:t xml:space="preserve">فى ظل غياب السياسات التعليمية الواضحة، وتدني نسب الالتحاق بالتعليم، وتردِّي نوعيته، وارتفاع نسبة التسرب من التعليم. </w:t>
      </w:r>
    </w:p>
    <w:p w:rsidR="00B917B2" w:rsidRPr="00375EB0" w:rsidRDefault="00B917B2" w:rsidP="00B917B2">
      <w:pPr>
        <w:autoSpaceDE w:val="0"/>
        <w:autoSpaceDN w:val="0"/>
        <w:bidi/>
        <w:adjustRightInd w:val="0"/>
        <w:spacing w:after="0" w:line="240" w:lineRule="auto"/>
        <w:ind w:left="170" w:firstLine="720"/>
        <w:jc w:val="both"/>
        <w:rPr>
          <w:rFonts w:ascii="Simplified Arabic" w:hAnsi="Simplified Arabic" w:cs="Simplified Arabic"/>
          <w:sz w:val="28"/>
          <w:szCs w:val="28"/>
          <w:rtl/>
          <w:lang w:val="en-US" w:bidi="ar-EG"/>
        </w:rPr>
      </w:pPr>
      <w:r w:rsidRPr="00375EB0">
        <w:rPr>
          <w:rFonts w:ascii="Simplified Arabic" w:hAnsi="Simplified Arabic" w:cs="Simplified Arabic"/>
          <w:sz w:val="28"/>
          <w:szCs w:val="28"/>
          <w:rtl/>
          <w:lang w:val="en-US" w:bidi="ar-EG"/>
        </w:rPr>
        <w:t>وكما يشير شكل (2-8) فإن هناك أعدادا هائلة من الأطفال المتسربين تدخل سنويًا في عداد الأميين، فأوضاع التعليم غالبا ما تعكس بشكل أو بآخر مظاهر الأمية وبالأخص في الفئات العمرية الأولى فقد بلغت نسبة التسرب للمرحلة الابتدائية 0,4</w:t>
      </w:r>
      <w:r w:rsidRPr="00375EB0">
        <w:rPr>
          <w:rFonts w:ascii="Simplified Arabic" w:hAnsi="Simplified Arabic" w:cs="Simplified Arabic"/>
          <w:rtl/>
          <w:lang w:val="en-US"/>
        </w:rPr>
        <w:t>٪</w:t>
      </w:r>
      <w:r w:rsidRPr="00375EB0">
        <w:rPr>
          <w:rFonts w:ascii="Simplified Arabic" w:hAnsi="Simplified Arabic" w:cs="Simplified Arabic"/>
          <w:sz w:val="28"/>
          <w:szCs w:val="28"/>
          <w:rtl/>
          <w:lang w:val="en-US" w:bidi="ar-EG"/>
        </w:rPr>
        <w:t xml:space="preserve"> ما بين عامي 2015/2016، 2016/2017 بينما بلغت النسبة 3,4</w:t>
      </w:r>
      <w:r w:rsidRPr="00375EB0">
        <w:rPr>
          <w:rFonts w:ascii="Simplified Arabic" w:hAnsi="Simplified Arabic" w:cs="Simplified Arabic"/>
          <w:rtl/>
          <w:lang w:val="en-US"/>
        </w:rPr>
        <w:t>٪</w:t>
      </w:r>
      <w:r w:rsidRPr="00375EB0">
        <w:rPr>
          <w:rFonts w:ascii="Simplified Arabic" w:hAnsi="Simplified Arabic" w:cs="Simplified Arabic"/>
          <w:sz w:val="28"/>
          <w:szCs w:val="28"/>
          <w:rtl/>
          <w:lang w:val="en-US" w:bidi="ar-EG"/>
        </w:rPr>
        <w:t xml:space="preserve"> للمرحلة الاعدادية.</w:t>
      </w:r>
    </w:p>
    <w:p w:rsidR="00B917B2" w:rsidRPr="00375EB0" w:rsidRDefault="00B917B2" w:rsidP="00B917B2">
      <w:pPr>
        <w:bidi/>
        <w:spacing w:before="240" w:after="0" w:line="240" w:lineRule="auto"/>
        <w:jc w:val="center"/>
        <w:rPr>
          <w:rFonts w:ascii="Simplified Arabic" w:eastAsia="Times New Roman" w:hAnsi="Simplified Arabic" w:cs="Simplified Arabic"/>
          <w:lang w:eastAsia="en-GB"/>
        </w:rPr>
      </w:pPr>
      <w:r w:rsidRPr="00375EB0">
        <w:rPr>
          <w:rFonts w:ascii="Simplified Arabic" w:eastAsia="Times New Roman" w:hAnsi="Simplified Arabic" w:cs="Simplified Arabic"/>
          <w:b/>
          <w:bCs/>
          <w:kern w:val="24"/>
          <w:rtl/>
          <w:lang w:eastAsia="en-GB" w:bidi="ar-EG"/>
        </w:rPr>
        <w:t>شكل (2-8) نسب التسرب للمرحلتين الابتدائية والاعدادية عامى 2015 / 2016 ـ 2016 / 2017</w:t>
      </w:r>
    </w:p>
    <w:p w:rsidR="00B917B2" w:rsidRPr="00375EB0" w:rsidRDefault="00B917B2" w:rsidP="00B917B2">
      <w:pPr>
        <w:bidi/>
        <w:spacing w:before="240" w:after="120" w:line="240" w:lineRule="auto"/>
        <w:jc w:val="center"/>
        <w:rPr>
          <w:rFonts w:ascii="Simplified Arabic" w:eastAsia="Times New Roman" w:hAnsi="Simplified Arabic" w:cs="Simplified Arabic"/>
          <w:b/>
          <w:bCs/>
          <w:sz w:val="32"/>
          <w:szCs w:val="32"/>
          <w:rtl/>
          <w:lang w:val="en-US" w:bidi="ar-EG"/>
        </w:rPr>
      </w:pPr>
      <w:r w:rsidRPr="00375EB0">
        <w:rPr>
          <w:rFonts w:ascii="Simplified Arabic" w:eastAsiaTheme="minorEastAsia" w:hAnsi="Simplified Arabic" w:cs="Simplified Arabic"/>
          <w:noProof/>
          <w:sz w:val="20"/>
          <w:szCs w:val="20"/>
          <w:rtl/>
          <w:lang w:val="en-US"/>
        </w:rPr>
        <w:drawing>
          <wp:inline distT="0" distB="0" distL="0" distR="0" wp14:anchorId="40DB6B24" wp14:editId="3CAA2496">
            <wp:extent cx="4402455" cy="1962150"/>
            <wp:effectExtent l="0" t="0" r="0" b="0"/>
            <wp:docPr id="2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917B2" w:rsidRPr="00375EB0" w:rsidRDefault="00B917B2" w:rsidP="00B917B2">
      <w:pPr>
        <w:bidi/>
        <w:rPr>
          <w:rtl/>
          <w:lang w:val="en-US" w:bidi="ar-EG"/>
        </w:rPr>
      </w:pPr>
      <w:r w:rsidRPr="00375EB0">
        <w:rPr>
          <w:rFonts w:cs="Arial" w:hint="cs"/>
          <w:b/>
          <w:bCs/>
          <w:rtl/>
        </w:rPr>
        <w:t>المصدر</w:t>
      </w:r>
      <w:r w:rsidRPr="00375EB0">
        <w:rPr>
          <w:rFonts w:cs="Arial" w:hint="cs"/>
          <w:rtl/>
        </w:rPr>
        <w:t xml:space="preserve">: </w:t>
      </w:r>
      <w:r w:rsidRPr="00375EB0">
        <w:rPr>
          <w:rFonts w:cs="Arial"/>
          <w:rtl/>
        </w:rPr>
        <w:t xml:space="preserve">وزارة التربية والتعليم، الكتاب الاحصائي السنوي، </w:t>
      </w:r>
      <w:r w:rsidRPr="00375EB0">
        <w:rPr>
          <w:rFonts w:cs="Arial" w:hint="cs"/>
          <w:rtl/>
        </w:rPr>
        <w:t>(</w:t>
      </w:r>
      <w:r w:rsidRPr="00375EB0">
        <w:t>2014-2015</w:t>
      </w:r>
      <w:r w:rsidRPr="00375EB0">
        <w:rPr>
          <w:rFonts w:cs="Arial"/>
          <w:rtl/>
        </w:rPr>
        <w:t>،</w:t>
      </w:r>
      <w:r w:rsidRPr="00375EB0">
        <w:rPr>
          <w:rFonts w:cs="Arial" w:hint="cs"/>
          <w:rtl/>
        </w:rPr>
        <w:t xml:space="preserve"> 2015-2016).</w:t>
      </w:r>
    </w:p>
    <w:p w:rsidR="00B917B2" w:rsidRPr="00375EB0" w:rsidRDefault="00B917B2" w:rsidP="00B917B2">
      <w:pPr>
        <w:bidi/>
        <w:spacing w:after="0" w:line="240" w:lineRule="auto"/>
        <w:ind w:left="721" w:hanging="721"/>
        <w:jc w:val="both"/>
        <w:rPr>
          <w:rFonts w:ascii="Simplified Arabic" w:eastAsia="Calibri" w:hAnsi="Simplified Arabic" w:cs="Simplified Arabic"/>
          <w:b/>
          <w:bCs/>
          <w:sz w:val="32"/>
          <w:szCs w:val="32"/>
          <w:u w:val="single"/>
          <w:rtl/>
          <w:lang w:val="en-US" w:bidi="ar-EG"/>
        </w:rPr>
      </w:pPr>
    </w:p>
    <w:p w:rsidR="00B917B2" w:rsidRPr="00375EB0" w:rsidRDefault="00B917B2" w:rsidP="00B917B2">
      <w:pPr>
        <w:bidi/>
        <w:spacing w:after="0" w:line="240" w:lineRule="auto"/>
        <w:ind w:left="721" w:hanging="721"/>
        <w:jc w:val="center"/>
        <w:rPr>
          <w:rFonts w:ascii="Simplified Arabic" w:eastAsia="Calibri" w:hAnsi="Simplified Arabic" w:cs="Simplified Arabic"/>
          <w:b/>
          <w:bCs/>
          <w:sz w:val="32"/>
          <w:szCs w:val="32"/>
          <w:u w:val="single"/>
          <w:rtl/>
          <w:lang w:val="en-US" w:bidi="ar-EG"/>
        </w:rPr>
      </w:pPr>
    </w:p>
    <w:p w:rsidR="00B917B2" w:rsidRPr="00375EB0" w:rsidRDefault="00B917B2" w:rsidP="00B917B2">
      <w:pPr>
        <w:bidi/>
        <w:spacing w:after="0" w:line="240" w:lineRule="auto"/>
        <w:ind w:left="721" w:hanging="721"/>
        <w:jc w:val="center"/>
        <w:rPr>
          <w:rFonts w:ascii="Simplified Arabic" w:eastAsia="Calibri" w:hAnsi="Simplified Arabic" w:cs="Simplified Arabic"/>
          <w:b/>
          <w:bCs/>
          <w:sz w:val="32"/>
          <w:szCs w:val="32"/>
          <w:u w:val="single"/>
          <w:rtl/>
          <w:lang w:val="en-US" w:bidi="ar-EG"/>
        </w:rPr>
      </w:pPr>
    </w:p>
    <w:p w:rsidR="00B917B2" w:rsidRPr="00375EB0" w:rsidRDefault="00B917B2" w:rsidP="00B917B2">
      <w:pPr>
        <w:bidi/>
        <w:spacing w:after="0" w:line="240" w:lineRule="auto"/>
        <w:ind w:left="721" w:hanging="721"/>
        <w:jc w:val="center"/>
        <w:rPr>
          <w:rFonts w:ascii="Simplified Arabic" w:eastAsia="Calibri" w:hAnsi="Simplified Arabic" w:cs="Simplified Arabic"/>
          <w:b/>
          <w:bCs/>
          <w:sz w:val="32"/>
          <w:szCs w:val="32"/>
          <w:u w:val="single"/>
          <w:rtl/>
          <w:lang w:val="en-US" w:bidi="ar-EG"/>
        </w:rPr>
      </w:pPr>
    </w:p>
    <w:p w:rsidR="00B917B2" w:rsidRPr="00375EB0" w:rsidRDefault="00B917B2" w:rsidP="00B917B2">
      <w:pPr>
        <w:bidi/>
        <w:spacing w:after="0" w:line="240" w:lineRule="auto"/>
        <w:ind w:left="721" w:hanging="721"/>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u w:val="single"/>
          <w:rtl/>
          <w:lang w:val="en-US" w:bidi="ar-EG"/>
        </w:rPr>
        <w:lastRenderedPageBreak/>
        <w:t>المبحث الثاني</w:t>
      </w:r>
    </w:p>
    <w:p w:rsidR="00B917B2" w:rsidRPr="00375EB0" w:rsidRDefault="00B917B2" w:rsidP="00B917B2">
      <w:pPr>
        <w:bidi/>
        <w:spacing w:after="0" w:line="240" w:lineRule="auto"/>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u w:val="single"/>
          <w:rtl/>
          <w:lang w:val="en-US" w:bidi="ar-EG"/>
        </w:rPr>
        <w:t>تحليل تطور قوة العمل والبطالة</w:t>
      </w:r>
    </w:p>
    <w:p w:rsidR="00B917B2" w:rsidRPr="00375EB0" w:rsidRDefault="00B917B2" w:rsidP="00B917B2">
      <w:pPr>
        <w:bidi/>
        <w:spacing w:after="0" w:line="240" w:lineRule="auto"/>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hint="cs"/>
          <w:b/>
          <w:bCs/>
          <w:sz w:val="30"/>
          <w:szCs w:val="30"/>
          <w:u w:val="single"/>
          <w:rtl/>
          <w:lang w:val="en-US" w:bidi="ar-EG"/>
        </w:rPr>
        <w:t>مُقدمة</w:t>
      </w:r>
    </w:p>
    <w:p w:rsidR="00B917B2" w:rsidRPr="00375EB0" w:rsidRDefault="00B917B2" w:rsidP="00B917B2">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يتنأول المبحث استعراض قوة العمل بصفة عامة باعتبارها الركيزة الأساسية للتنمية الاقتصادية فى المجتمع، فهي الجزء من السكان ذوي النشاط الاقتصادى، وتنقسم قوة العمل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لى المشتغلين، والمتعطلين.</w:t>
      </w:r>
    </w:p>
    <w:p w:rsidR="00B917B2" w:rsidRPr="00375EB0" w:rsidRDefault="00B917B2" w:rsidP="00B917B2">
      <w:pPr>
        <w:bidi/>
        <w:spacing w:after="12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 xml:space="preserve">كما </w:t>
      </w:r>
      <w:r w:rsidRPr="00375EB0">
        <w:rPr>
          <w:rFonts w:ascii="Simplified Arabic" w:eastAsia="Calibri" w:hAnsi="Simplified Arabic" w:cs="Simplified Arabic"/>
          <w:sz w:val="28"/>
          <w:szCs w:val="28"/>
          <w:rtl/>
          <w:lang w:val="en-US" w:bidi="ar-EG"/>
        </w:rPr>
        <w:t>يتن</w:t>
      </w:r>
      <w:r w:rsidRPr="00375EB0">
        <w:rPr>
          <w:rFonts w:ascii="Simplified Arabic" w:eastAsia="Calibri" w:hAnsi="Simplified Arabic" w:cs="Simplified Arabic" w:hint="cs"/>
          <w:sz w:val="28"/>
          <w:szCs w:val="28"/>
          <w:rtl/>
          <w:lang w:val="en-US" w:bidi="ar-EG"/>
        </w:rPr>
        <w:t>ا</w:t>
      </w:r>
      <w:r w:rsidRPr="00375EB0">
        <w:rPr>
          <w:rFonts w:ascii="Simplified Arabic" w:eastAsia="Calibri" w:hAnsi="Simplified Arabic" w:cs="Simplified Arabic"/>
          <w:sz w:val="28"/>
          <w:szCs w:val="28"/>
          <w:rtl/>
          <w:lang w:val="en-US" w:bidi="ar-EG"/>
        </w:rPr>
        <w:t xml:space="preserve">ول </w:t>
      </w:r>
      <w:r w:rsidRPr="00375EB0">
        <w:rPr>
          <w:rFonts w:ascii="Simplified Arabic" w:eastAsia="Calibri" w:hAnsi="Simplified Arabic" w:cs="Simplified Arabic" w:hint="cs"/>
          <w:sz w:val="28"/>
          <w:szCs w:val="28"/>
          <w:rtl/>
          <w:lang w:val="en-US" w:bidi="ar-EG"/>
        </w:rPr>
        <w:t>أيضاً</w:t>
      </w:r>
      <w:r w:rsidRPr="00375EB0">
        <w:rPr>
          <w:rFonts w:ascii="Simplified Arabic" w:eastAsia="Calibri" w:hAnsi="Simplified Arabic" w:cs="Simplified Arabic"/>
          <w:sz w:val="28"/>
          <w:szCs w:val="28"/>
          <w:rtl/>
          <w:lang w:val="en-US" w:bidi="ar-EG"/>
        </w:rPr>
        <w:t xml:space="preserve"> تحليل العمالة من حيث حجم قوة العمل والمشتغلين ونسب المساهمة في النشاط الاقتصادي وخصائص قوة العمل وفقا للتركيب العمري والنوعي والحالة التعليمية وتوزيع المشتغلين وفقا للحالة العملية والمهنة والنشاط الاقتصادي.</w:t>
      </w:r>
    </w:p>
    <w:p w:rsidR="00B917B2" w:rsidRPr="00375EB0" w:rsidRDefault="00B917B2" w:rsidP="00616254">
      <w:pPr>
        <w:pStyle w:val="ListParagraph"/>
        <w:numPr>
          <w:ilvl w:val="0"/>
          <w:numId w:val="16"/>
        </w:numPr>
        <w:spacing w:after="0" w:line="240" w:lineRule="auto"/>
        <w:ind w:left="360"/>
        <w:jc w:val="both"/>
        <w:rPr>
          <w:rFonts w:ascii="Simplified Arabic" w:eastAsia="Calibri" w:hAnsi="Simplified Arabic" w:cs="Simplified Arabic"/>
          <w:b/>
          <w:bCs/>
          <w:sz w:val="30"/>
          <w:szCs w:val="30"/>
          <w:rtl/>
          <w:lang w:bidi="ar-EG"/>
        </w:rPr>
      </w:pPr>
      <w:bookmarkStart w:id="2" w:name="_Hlk68947674"/>
      <w:r w:rsidRPr="00375EB0">
        <w:rPr>
          <w:rFonts w:ascii="Simplified Arabic" w:eastAsia="Calibri" w:hAnsi="Simplified Arabic" w:cs="Simplified Arabic"/>
          <w:b/>
          <w:bCs/>
          <w:sz w:val="30"/>
          <w:szCs w:val="30"/>
          <w:u w:val="single"/>
          <w:rtl/>
          <w:lang w:bidi="ar-EG"/>
        </w:rPr>
        <w:t>تحليل قوة العمل والمشتغلين</w:t>
      </w:r>
      <w:r w:rsidRPr="00375EB0">
        <w:rPr>
          <w:rFonts w:ascii="Simplified Arabic" w:eastAsia="Calibri" w:hAnsi="Simplified Arabic" w:cs="Simplified Arabic"/>
          <w:b/>
          <w:bCs/>
          <w:sz w:val="30"/>
          <w:szCs w:val="30"/>
          <w:rtl/>
          <w:lang w:bidi="ar-EG"/>
        </w:rPr>
        <w:t>:</w:t>
      </w:r>
    </w:p>
    <w:bookmarkEnd w:id="2"/>
    <w:p w:rsidR="00B917B2" w:rsidRPr="00375EB0" w:rsidRDefault="00B917B2" w:rsidP="00B917B2">
      <w:pPr>
        <w:bidi/>
        <w:spacing w:after="120" w:line="240" w:lineRule="auto"/>
        <w:ind w:left="170" w:firstLine="663"/>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يعرض جدول (2-1)، وشكل (2-9) قوة العمل، المشتغلين من الذكور والإناث خلال فترة الدراسة (2010-2017)، ووفقا لما تظهره البيانات</w:t>
      </w:r>
      <w:r w:rsidRPr="00375EB0">
        <w:rPr>
          <w:rFonts w:ascii="Simplified Arabic" w:eastAsia="Calibri" w:hAnsi="Simplified Arabic" w:cs="Simplified Arabic"/>
          <w:sz w:val="28"/>
          <w:szCs w:val="28"/>
          <w:vertAlign w:val="superscript"/>
          <w:rtl/>
          <w:lang w:val="en-US" w:bidi="ar-EG"/>
        </w:rPr>
        <w:footnoteReference w:id="10"/>
      </w:r>
      <w:r w:rsidRPr="00375EB0">
        <w:rPr>
          <w:rFonts w:ascii="Simplified Arabic" w:eastAsia="Calibri" w:hAnsi="Simplified Arabic" w:cs="Simplified Arabic" w:hint="cs"/>
          <w:sz w:val="28"/>
          <w:szCs w:val="28"/>
          <w:rtl/>
          <w:lang w:val="en-US" w:bidi="ar-EG"/>
        </w:rPr>
        <w:t>:</w:t>
      </w:r>
    </w:p>
    <w:p w:rsidR="00B917B2" w:rsidRPr="00375EB0" w:rsidRDefault="00B917B2" w:rsidP="00616254">
      <w:pPr>
        <w:pStyle w:val="ListParagraph"/>
        <w:numPr>
          <w:ilvl w:val="0"/>
          <w:numId w:val="15"/>
        </w:numPr>
        <w:spacing w:after="60" w:line="240" w:lineRule="auto"/>
        <w:ind w:left="538" w:hanging="368"/>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 xml:space="preserve">ارتفع عدد الأفراد داخل قوة العمل من 26,2 مليون فرد عام 2010 إلى 29,5 مليون فرد عام 2017 وبنسبة زيادة قدرها </w:t>
      </w:r>
      <w:r w:rsidRPr="00375EB0">
        <w:rPr>
          <w:rFonts w:ascii="Simplified Arabic" w:eastAsia="Calibri" w:hAnsi="Simplified Arabic" w:cs="Simplified Arabic"/>
          <w:sz w:val="28"/>
          <w:szCs w:val="28"/>
          <w:lang w:bidi="ar-EG"/>
        </w:rPr>
        <w:t>11,6</w:t>
      </w:r>
      <w:r w:rsidRPr="00375EB0">
        <w:rPr>
          <w:rFonts w:ascii="Simplified Arabic" w:eastAsia="Calibri" w:hAnsi="Simplified Arabic" w:cs="Simplified Arabic"/>
          <w:sz w:val="28"/>
          <w:szCs w:val="28"/>
          <w:rtl/>
          <w:lang w:bidi="ar-EG"/>
        </w:rPr>
        <w:t>٪.</w:t>
      </w:r>
    </w:p>
    <w:p w:rsidR="00B917B2" w:rsidRPr="00375EB0" w:rsidRDefault="00B917B2" w:rsidP="00616254">
      <w:pPr>
        <w:pStyle w:val="ListParagraph"/>
        <w:numPr>
          <w:ilvl w:val="0"/>
          <w:numId w:val="15"/>
        </w:numPr>
        <w:spacing w:after="60" w:line="240" w:lineRule="auto"/>
        <w:ind w:left="538" w:hanging="368"/>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 xml:space="preserve">ارتفع عدد المشتغلين من 23,8 مليون مشتغل عام 2010 إلى 26,0 مليون مشتغل عام 2017 وبنسبة زيادة قدرها </w:t>
      </w:r>
      <w:r w:rsidRPr="00375EB0">
        <w:rPr>
          <w:rFonts w:ascii="Simplified Arabic" w:eastAsia="Calibri" w:hAnsi="Simplified Arabic" w:cs="Simplified Arabic"/>
          <w:sz w:val="28"/>
          <w:szCs w:val="28"/>
          <w:lang w:bidi="ar-EG"/>
        </w:rPr>
        <w:t>9,1</w:t>
      </w:r>
      <w:r w:rsidRPr="00375EB0">
        <w:rPr>
          <w:rFonts w:ascii="Simplified Arabic" w:eastAsia="Calibri" w:hAnsi="Simplified Arabic" w:cs="Simplified Arabic"/>
          <w:sz w:val="28"/>
          <w:szCs w:val="28"/>
          <w:rtl/>
          <w:lang w:bidi="ar-EG"/>
        </w:rPr>
        <w:t>٪ خلال نفس الفترة.</w:t>
      </w:r>
    </w:p>
    <w:p w:rsidR="00B917B2" w:rsidRPr="00375EB0" w:rsidRDefault="00B917B2" w:rsidP="00616254">
      <w:pPr>
        <w:pStyle w:val="ListParagraph"/>
        <w:numPr>
          <w:ilvl w:val="0"/>
          <w:numId w:val="15"/>
        </w:numPr>
        <w:spacing w:after="60" w:line="240" w:lineRule="auto"/>
        <w:ind w:left="538" w:hanging="368"/>
        <w:jc w:val="both"/>
        <w:rPr>
          <w:rFonts w:ascii="Simplified Arabic" w:eastAsia="Calibri" w:hAnsi="Simplified Arabic" w:cs="Simplified Arabic"/>
          <w:sz w:val="32"/>
          <w:szCs w:val="32"/>
          <w:rtl/>
          <w:lang w:bidi="ar-EG"/>
        </w:rPr>
      </w:pPr>
      <w:r w:rsidRPr="00375EB0">
        <w:rPr>
          <w:rFonts w:ascii="Simplified Arabic" w:eastAsia="Calibri" w:hAnsi="Simplified Arabic" w:cs="Simplified Arabic"/>
          <w:sz w:val="28"/>
          <w:szCs w:val="28"/>
          <w:rtl/>
          <w:lang w:bidi="ar-EG"/>
        </w:rPr>
        <w:t>ارتفعت نسبة مساهمة الإناث سواء في قوة العمل أو المشتغلين عام 2017 مقارنة بعام 2010، حيث بلغت نسبة مشاركة الإناث في قوة العمل 23,8٪ عام 2017 مقابل 23,1٪ عام 2010، وبلغت نسبتهن كمشتغلات 20,7٪ عام 2017 مقابل 19,6٪ عام 2010.</w:t>
      </w:r>
    </w:p>
    <w:p w:rsidR="00B917B2" w:rsidRPr="00375EB0" w:rsidRDefault="00B917B2" w:rsidP="00B917B2">
      <w:pP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br w:type="page"/>
      </w:r>
    </w:p>
    <w:p w:rsidR="00B917B2" w:rsidRPr="00375EB0" w:rsidRDefault="00B917B2" w:rsidP="00B917B2">
      <w:pPr>
        <w:bidi/>
        <w:spacing w:before="120" w:after="0" w:line="240" w:lineRule="auto"/>
        <w:jc w:val="center"/>
        <w:rPr>
          <w:rFonts w:ascii="Simplified Arabic" w:eastAsia="Times New Roman" w:hAnsi="Simplified Arabic" w:cs="Simplified Arabic"/>
          <w:b/>
          <w:bCs/>
          <w:rtl/>
          <w:lang w:val="en-US"/>
        </w:rPr>
      </w:pPr>
      <w:r w:rsidRPr="00375EB0">
        <w:rPr>
          <w:rFonts w:ascii="Simplified Arabic" w:eastAsia="Calibri" w:hAnsi="Simplified Arabic" w:cs="Simplified Arabic"/>
          <w:b/>
          <w:bCs/>
          <w:rtl/>
          <w:lang w:val="en-US" w:bidi="ar-EG"/>
        </w:rPr>
        <w:lastRenderedPageBreak/>
        <w:t>جدول (2-1) تقدير قوة ا</w:t>
      </w:r>
      <w:r w:rsidRPr="00375EB0">
        <w:rPr>
          <w:rFonts w:ascii="Simplified Arabic" w:eastAsia="Times New Roman" w:hAnsi="Simplified Arabic" w:cs="Simplified Arabic"/>
          <w:b/>
          <w:bCs/>
          <w:rtl/>
          <w:lang w:val="en-US"/>
        </w:rPr>
        <w:t>لعمل (15 سنة فأكثر) والمشتغلين وفقاً للنوع (2010 - 2017)</w:t>
      </w:r>
    </w:p>
    <w:p w:rsidR="00B917B2" w:rsidRPr="00375EB0" w:rsidRDefault="00B917B2" w:rsidP="00B917B2">
      <w:pPr>
        <w:bidi/>
        <w:spacing w:after="0" w:line="240" w:lineRule="auto"/>
        <w:jc w:val="right"/>
        <w:rPr>
          <w:rFonts w:ascii="Simplified Arabic" w:eastAsia="Times New Roman" w:hAnsi="Simplified Arabic" w:cs="Simplified Arabic"/>
          <w:b/>
          <w:bCs/>
          <w:sz w:val="20"/>
          <w:szCs w:val="20"/>
          <w:rtl/>
          <w:lang w:val="en-US" w:bidi="ar-EG"/>
        </w:rPr>
      </w:pPr>
      <w:r w:rsidRPr="00375EB0">
        <w:rPr>
          <w:rFonts w:ascii="Simplified Arabic" w:eastAsia="Times New Roman" w:hAnsi="Simplified Arabic" w:cs="Simplified Arabic"/>
          <w:b/>
          <w:bCs/>
          <w:sz w:val="20"/>
          <w:szCs w:val="20"/>
          <w:rtl/>
          <w:lang w:val="en-US" w:bidi="ar-EG"/>
        </w:rPr>
        <w:t>(</w:t>
      </w:r>
      <w:r w:rsidRPr="00375EB0">
        <w:rPr>
          <w:rFonts w:ascii="Simplified Arabic" w:eastAsia="Times New Roman" w:hAnsi="Simplified Arabic" w:cs="Simplified Arabic"/>
          <w:b/>
          <w:bCs/>
          <w:sz w:val="20"/>
          <w:szCs w:val="20"/>
          <w:rtl/>
          <w:lang w:val="en-US"/>
        </w:rPr>
        <w:t>العدد</w:t>
      </w:r>
      <w:r w:rsidRPr="00375EB0">
        <w:rPr>
          <w:rFonts w:ascii="Simplified Arabic" w:eastAsia="Times New Roman" w:hAnsi="Simplified Arabic" w:cs="Simplified Arabic"/>
          <w:b/>
          <w:bCs/>
          <w:sz w:val="20"/>
          <w:szCs w:val="20"/>
          <w:rtl/>
          <w:lang w:val="en-US" w:bidi="ar-EG"/>
        </w:rPr>
        <w:t xml:space="preserve"> بالألف)</w:t>
      </w:r>
    </w:p>
    <w:tbl>
      <w:tblPr>
        <w:bidiVisual/>
        <w:tblW w:w="8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534"/>
        <w:gridCol w:w="778"/>
        <w:gridCol w:w="778"/>
        <w:gridCol w:w="778"/>
        <w:gridCol w:w="778"/>
        <w:gridCol w:w="778"/>
        <w:gridCol w:w="778"/>
        <w:gridCol w:w="778"/>
        <w:gridCol w:w="778"/>
        <w:gridCol w:w="778"/>
      </w:tblGrid>
      <w:tr w:rsidR="00B917B2" w:rsidRPr="00A01306" w:rsidTr="00A01306">
        <w:trPr>
          <w:trHeight w:val="170"/>
          <w:jc w:val="center"/>
        </w:trPr>
        <w:tc>
          <w:tcPr>
            <w:tcW w:w="656" w:type="dxa"/>
            <w:shd w:val="clear" w:color="auto" w:fill="auto"/>
            <w:noWrap/>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lang w:val="en-US"/>
              </w:rPr>
            </w:pPr>
            <w:r w:rsidRPr="00A01306">
              <w:rPr>
                <w:rFonts w:ascii="Simplified Arabic" w:eastAsia="Times New Roman" w:hAnsi="Simplified Arabic" w:cs="Simplified Arabic"/>
                <w:b/>
                <w:bCs/>
                <w:sz w:val="20"/>
                <w:szCs w:val="20"/>
                <w:rtl/>
                <w:lang w:val="en-US"/>
              </w:rPr>
              <w:t>البيان</w:t>
            </w:r>
          </w:p>
        </w:tc>
        <w:tc>
          <w:tcPr>
            <w:tcW w:w="792"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النوع</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2010</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2011</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2012</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2013</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2014</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2015</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2016</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2017</w:t>
            </w:r>
          </w:p>
        </w:tc>
        <w:tc>
          <w:tcPr>
            <w:tcW w:w="778"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bidi="ar-EG"/>
              </w:rPr>
              <w:t>نسبة التغير</w:t>
            </w:r>
            <w:r w:rsidRPr="00A01306">
              <w:rPr>
                <w:rFonts w:ascii="Simplified Arabic" w:eastAsia="Times New Roman" w:hAnsi="Simplified Arabic" w:cs="Simplified Arabic"/>
                <w:b/>
                <w:bCs/>
                <w:sz w:val="20"/>
                <w:szCs w:val="20"/>
                <w:rtl/>
                <w:lang w:val="en-US" w:bidi="ar-EG"/>
              </w:rPr>
              <w:br/>
              <w:t>2010-2017</w:t>
            </w:r>
          </w:p>
        </w:tc>
      </w:tr>
      <w:tr w:rsidR="00B917B2" w:rsidRPr="00A01306" w:rsidTr="00A01306">
        <w:trPr>
          <w:trHeight w:val="170"/>
          <w:jc w:val="center"/>
        </w:trPr>
        <w:tc>
          <w:tcPr>
            <w:tcW w:w="656" w:type="dxa"/>
            <w:vMerge w:val="restart"/>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قوة العـــمل</w:t>
            </w:r>
          </w:p>
        </w:tc>
        <w:tc>
          <w:tcPr>
            <w:tcW w:w="792"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ذكور</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20140</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20541</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20874</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21166</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lang w:val="en-US"/>
              </w:rPr>
              <w:t>21316</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21726</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21934</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22473</w:t>
            </w:r>
          </w:p>
        </w:tc>
        <w:tc>
          <w:tcPr>
            <w:tcW w:w="778" w:type="dxa"/>
            <w:shd w:val="clear" w:color="auto" w:fill="auto"/>
            <w:hideMark/>
          </w:tcPr>
          <w:p w:rsidR="00B917B2" w:rsidRPr="00A01306" w:rsidRDefault="00B917B2" w:rsidP="00B917B2">
            <w:pPr>
              <w:bidi/>
              <w:spacing w:after="0" w:line="240" w:lineRule="auto"/>
              <w:rPr>
                <w:rFonts w:ascii="Simplified Arabic" w:hAnsi="Simplified Arabic" w:cs="Simplified Arabic"/>
                <w:b/>
                <w:bCs/>
                <w:sz w:val="20"/>
                <w:szCs w:val="20"/>
              </w:rPr>
            </w:pPr>
            <w:r w:rsidRPr="00A01306">
              <w:rPr>
                <w:rFonts w:ascii="Simplified Arabic" w:hAnsi="Simplified Arabic" w:cs="Simplified Arabic"/>
                <w:b/>
                <w:bCs/>
                <w:sz w:val="20"/>
                <w:szCs w:val="20"/>
              </w:rPr>
              <w:t>11.6</w:t>
            </w:r>
          </w:p>
        </w:tc>
      </w:tr>
      <w:tr w:rsidR="00B917B2" w:rsidRPr="00A01306" w:rsidTr="00A01306">
        <w:trPr>
          <w:trHeight w:val="170"/>
          <w:jc w:val="center"/>
        </w:trPr>
        <w:tc>
          <w:tcPr>
            <w:tcW w:w="656" w:type="dxa"/>
            <w:vMerge/>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lang w:val="en-US"/>
              </w:rPr>
            </w:pPr>
          </w:p>
        </w:tc>
        <w:tc>
          <w:tcPr>
            <w:tcW w:w="792"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إناث</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6040</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5988</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6147</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6456</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6629</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6705</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7000</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7001</w:t>
            </w:r>
          </w:p>
        </w:tc>
        <w:tc>
          <w:tcPr>
            <w:tcW w:w="778" w:type="dxa"/>
            <w:shd w:val="clear" w:color="auto" w:fill="auto"/>
            <w:hideMark/>
          </w:tcPr>
          <w:p w:rsidR="00B917B2" w:rsidRPr="00A01306" w:rsidRDefault="00B917B2" w:rsidP="00B917B2">
            <w:pPr>
              <w:bidi/>
              <w:spacing w:after="0" w:line="240" w:lineRule="auto"/>
              <w:rPr>
                <w:rFonts w:ascii="Simplified Arabic" w:hAnsi="Simplified Arabic" w:cs="Simplified Arabic"/>
                <w:b/>
                <w:bCs/>
                <w:sz w:val="20"/>
                <w:szCs w:val="20"/>
              </w:rPr>
            </w:pPr>
            <w:r w:rsidRPr="00A01306">
              <w:rPr>
                <w:rFonts w:ascii="Simplified Arabic" w:hAnsi="Simplified Arabic" w:cs="Simplified Arabic"/>
                <w:b/>
                <w:bCs/>
                <w:sz w:val="20"/>
                <w:szCs w:val="20"/>
              </w:rPr>
              <w:t>15.9</w:t>
            </w:r>
          </w:p>
        </w:tc>
      </w:tr>
      <w:tr w:rsidR="00B917B2" w:rsidRPr="00A01306" w:rsidTr="00A01306">
        <w:trPr>
          <w:trHeight w:val="170"/>
          <w:jc w:val="center"/>
        </w:trPr>
        <w:tc>
          <w:tcPr>
            <w:tcW w:w="656" w:type="dxa"/>
            <w:vMerge/>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lang w:val="en-US"/>
              </w:rPr>
            </w:pPr>
          </w:p>
        </w:tc>
        <w:tc>
          <w:tcPr>
            <w:tcW w:w="792"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جملة</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26180</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26529</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27021</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27622</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27944</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28431</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28934</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29474</w:t>
            </w:r>
          </w:p>
        </w:tc>
        <w:tc>
          <w:tcPr>
            <w:tcW w:w="778" w:type="dxa"/>
            <w:shd w:val="clear" w:color="auto" w:fill="auto"/>
            <w:hideMark/>
          </w:tcPr>
          <w:p w:rsidR="00B917B2" w:rsidRPr="00A01306" w:rsidRDefault="00B917B2" w:rsidP="00B917B2">
            <w:pPr>
              <w:bidi/>
              <w:spacing w:after="0" w:line="240" w:lineRule="auto"/>
              <w:rPr>
                <w:rFonts w:ascii="Simplified Arabic" w:hAnsi="Simplified Arabic" w:cs="Simplified Arabic"/>
                <w:b/>
                <w:bCs/>
                <w:sz w:val="20"/>
                <w:szCs w:val="20"/>
              </w:rPr>
            </w:pPr>
            <w:r w:rsidRPr="00A01306">
              <w:rPr>
                <w:rFonts w:ascii="Simplified Arabic" w:hAnsi="Simplified Arabic" w:cs="Simplified Arabic"/>
                <w:b/>
                <w:bCs/>
                <w:sz w:val="20"/>
                <w:szCs w:val="20"/>
              </w:rPr>
              <w:t>12.6</w:t>
            </w:r>
          </w:p>
        </w:tc>
      </w:tr>
      <w:tr w:rsidR="00B917B2" w:rsidRPr="00A01306" w:rsidTr="00A01306">
        <w:trPr>
          <w:trHeight w:val="170"/>
          <w:jc w:val="center"/>
        </w:trPr>
        <w:tc>
          <w:tcPr>
            <w:tcW w:w="656" w:type="dxa"/>
            <w:vMerge w:val="restart"/>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المشتغـــلين</w:t>
            </w:r>
          </w:p>
        </w:tc>
        <w:tc>
          <w:tcPr>
            <w:tcW w:w="792"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ذكور</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19153</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18719</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18932</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19082</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19264</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19694</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19986</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20620</w:t>
            </w:r>
          </w:p>
        </w:tc>
        <w:tc>
          <w:tcPr>
            <w:tcW w:w="778" w:type="dxa"/>
            <w:shd w:val="clear" w:color="auto" w:fill="auto"/>
            <w:hideMark/>
          </w:tcPr>
          <w:p w:rsidR="00B917B2" w:rsidRPr="00A01306" w:rsidRDefault="00B917B2" w:rsidP="00B917B2">
            <w:pPr>
              <w:bidi/>
              <w:spacing w:after="0" w:line="240" w:lineRule="auto"/>
              <w:rPr>
                <w:rFonts w:ascii="Simplified Arabic" w:hAnsi="Simplified Arabic" w:cs="Simplified Arabic"/>
                <w:b/>
                <w:bCs/>
                <w:sz w:val="20"/>
                <w:szCs w:val="20"/>
              </w:rPr>
            </w:pPr>
            <w:r w:rsidRPr="00A01306">
              <w:rPr>
                <w:rFonts w:ascii="Simplified Arabic" w:hAnsi="Simplified Arabic" w:cs="Simplified Arabic"/>
                <w:b/>
                <w:bCs/>
                <w:sz w:val="20"/>
                <w:szCs w:val="20"/>
              </w:rPr>
              <w:t>7.7</w:t>
            </w:r>
          </w:p>
        </w:tc>
      </w:tr>
      <w:tr w:rsidR="00B917B2" w:rsidRPr="00A01306" w:rsidTr="00A01306">
        <w:trPr>
          <w:trHeight w:val="170"/>
          <w:jc w:val="center"/>
        </w:trPr>
        <w:tc>
          <w:tcPr>
            <w:tcW w:w="656" w:type="dxa"/>
            <w:vMerge/>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lang w:val="en-US"/>
              </w:rPr>
            </w:pPr>
          </w:p>
        </w:tc>
        <w:tc>
          <w:tcPr>
            <w:tcW w:w="792"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إناث</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4676</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4627</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4664</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4891</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5035</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5085</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5345</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5386</w:t>
            </w:r>
          </w:p>
        </w:tc>
        <w:tc>
          <w:tcPr>
            <w:tcW w:w="778" w:type="dxa"/>
            <w:shd w:val="clear" w:color="auto" w:fill="auto"/>
            <w:hideMark/>
          </w:tcPr>
          <w:p w:rsidR="00B917B2" w:rsidRPr="00A01306" w:rsidRDefault="00B917B2" w:rsidP="00B917B2">
            <w:pPr>
              <w:bidi/>
              <w:spacing w:after="0"/>
              <w:rPr>
                <w:rFonts w:ascii="Simplified Arabic" w:hAnsi="Simplified Arabic" w:cs="Simplified Arabic"/>
                <w:b/>
                <w:bCs/>
                <w:sz w:val="20"/>
                <w:szCs w:val="20"/>
              </w:rPr>
            </w:pPr>
            <w:r w:rsidRPr="00A01306">
              <w:rPr>
                <w:rFonts w:ascii="Simplified Arabic" w:hAnsi="Simplified Arabic" w:cs="Simplified Arabic"/>
                <w:b/>
                <w:bCs/>
                <w:sz w:val="20"/>
                <w:szCs w:val="20"/>
              </w:rPr>
              <w:t>15.2</w:t>
            </w:r>
          </w:p>
        </w:tc>
      </w:tr>
      <w:tr w:rsidR="00B917B2" w:rsidRPr="00A01306" w:rsidTr="00A01306">
        <w:trPr>
          <w:trHeight w:val="170"/>
          <w:jc w:val="center"/>
        </w:trPr>
        <w:tc>
          <w:tcPr>
            <w:tcW w:w="656" w:type="dxa"/>
            <w:vMerge/>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lang w:val="en-US"/>
              </w:rPr>
            </w:pPr>
          </w:p>
        </w:tc>
        <w:tc>
          <w:tcPr>
            <w:tcW w:w="792" w:type="dxa"/>
            <w:shd w:val="clear" w:color="auto" w:fill="auto"/>
            <w:vAlign w:val="center"/>
            <w:hideMark/>
          </w:tcPr>
          <w:p w:rsidR="00B917B2" w:rsidRPr="00A01306" w:rsidRDefault="00B917B2" w:rsidP="00B917B2">
            <w:pPr>
              <w:bidi/>
              <w:spacing w:after="0" w:line="240" w:lineRule="auto"/>
              <w:jc w:val="center"/>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جملة</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23829</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23346</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23596</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23973</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24299</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24779</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25331</w:t>
            </w:r>
          </w:p>
        </w:tc>
        <w:tc>
          <w:tcPr>
            <w:tcW w:w="778" w:type="dxa"/>
            <w:shd w:val="clear" w:color="auto" w:fill="auto"/>
            <w:vAlign w:val="center"/>
            <w:hideMark/>
          </w:tcPr>
          <w:p w:rsidR="00B917B2" w:rsidRPr="00A01306" w:rsidRDefault="00B917B2" w:rsidP="00B917B2">
            <w:pPr>
              <w:bidi/>
              <w:spacing w:after="0" w:line="240" w:lineRule="auto"/>
              <w:rPr>
                <w:rFonts w:ascii="Simplified Arabic" w:eastAsia="Times New Roman" w:hAnsi="Simplified Arabic" w:cs="Simplified Arabic"/>
                <w:b/>
                <w:bCs/>
                <w:sz w:val="20"/>
                <w:szCs w:val="20"/>
                <w:rtl/>
                <w:lang w:val="en-US"/>
              </w:rPr>
            </w:pPr>
            <w:r w:rsidRPr="00A01306">
              <w:rPr>
                <w:rFonts w:ascii="Simplified Arabic" w:eastAsia="Times New Roman" w:hAnsi="Simplified Arabic" w:cs="Simplified Arabic"/>
                <w:b/>
                <w:bCs/>
                <w:sz w:val="20"/>
                <w:szCs w:val="20"/>
                <w:rtl/>
                <w:lang w:val="en-US"/>
              </w:rPr>
              <w:t>26006</w:t>
            </w:r>
          </w:p>
        </w:tc>
        <w:tc>
          <w:tcPr>
            <w:tcW w:w="778" w:type="dxa"/>
            <w:shd w:val="clear" w:color="auto" w:fill="auto"/>
            <w:hideMark/>
          </w:tcPr>
          <w:p w:rsidR="00B917B2" w:rsidRPr="00A01306" w:rsidRDefault="00B917B2" w:rsidP="00B917B2">
            <w:pPr>
              <w:bidi/>
              <w:spacing w:after="0"/>
              <w:rPr>
                <w:b/>
                <w:bCs/>
                <w:sz w:val="20"/>
                <w:szCs w:val="20"/>
              </w:rPr>
            </w:pPr>
            <w:r w:rsidRPr="00A01306">
              <w:rPr>
                <w:rFonts w:ascii="Simplified Arabic" w:hAnsi="Simplified Arabic" w:cs="Simplified Arabic"/>
                <w:b/>
                <w:bCs/>
                <w:sz w:val="20"/>
                <w:szCs w:val="20"/>
              </w:rPr>
              <w:t>9.1</w:t>
            </w:r>
          </w:p>
        </w:tc>
      </w:tr>
    </w:tbl>
    <w:p w:rsidR="00B917B2" w:rsidRPr="00375EB0" w:rsidRDefault="00B917B2" w:rsidP="00B917B2">
      <w:pPr>
        <w:bidi/>
        <w:spacing w:after="120" w:line="240" w:lineRule="auto"/>
        <w:jc w:val="lowKashida"/>
        <w:rPr>
          <w:rFonts w:ascii="Simplified Arabic" w:eastAsia="Calibri" w:hAnsi="Simplified Arabic" w:cs="Simplified Arabic"/>
          <w:rtl/>
          <w:lang w:val="en-US"/>
        </w:rPr>
      </w:pPr>
      <w:r w:rsidRPr="00375EB0">
        <w:rPr>
          <w:rFonts w:ascii="Simplified Arabic" w:eastAsia="Calibri" w:hAnsi="Simplified Arabic" w:cs="Simplified Arabic"/>
          <w:b/>
          <w:bCs/>
          <w:rtl/>
          <w:lang w:val="en-US"/>
        </w:rPr>
        <w:t xml:space="preserve">المصدر: </w:t>
      </w:r>
      <w:r w:rsidRPr="00375EB0">
        <w:rPr>
          <w:rFonts w:ascii="Simplified Arabic" w:eastAsia="Calibri" w:hAnsi="Simplified Arabic" w:cs="Simplified Arabic"/>
          <w:rtl/>
          <w:lang w:val="en-US"/>
        </w:rPr>
        <w:t>الجهاز المركزي للتعبئة العامة والاحصاء- بحث القوى العاملة للسنوات (2010- 2017).</w:t>
      </w:r>
    </w:p>
    <w:p w:rsidR="00B917B2" w:rsidRPr="00375EB0" w:rsidRDefault="00B917B2" w:rsidP="00B917B2">
      <w:pPr>
        <w:bidi/>
        <w:spacing w:after="0"/>
        <w:jc w:val="center"/>
        <w:rPr>
          <w:rFonts w:ascii="Simplified Arabic" w:eastAsia="Calibri" w:hAnsi="Simplified Arabic" w:cs="Simplified Arabic"/>
          <w:b/>
          <w:bCs/>
          <w:sz w:val="28"/>
          <w:szCs w:val="28"/>
          <w:rtl/>
          <w:lang w:eastAsia="en-GB" w:bidi="ar-EG"/>
        </w:rPr>
      </w:pPr>
    </w:p>
    <w:p w:rsidR="00B917B2" w:rsidRPr="00375EB0" w:rsidRDefault="00B917B2" w:rsidP="00B917B2">
      <w:pPr>
        <w:bidi/>
        <w:spacing w:after="0"/>
        <w:jc w:val="center"/>
        <w:rPr>
          <w:rFonts w:ascii="Simplified Arabic" w:eastAsia="Times New Roman" w:hAnsi="Simplified Arabic" w:cs="Simplified Arabic"/>
          <w:sz w:val="24"/>
          <w:szCs w:val="24"/>
          <w:lang w:eastAsia="en-GB"/>
        </w:rPr>
      </w:pPr>
      <w:r w:rsidRPr="00375EB0">
        <w:rPr>
          <w:rFonts w:ascii="Simplified Arabic" w:eastAsia="Calibri" w:hAnsi="Simplified Arabic" w:cs="Simplified Arabic"/>
          <w:b/>
          <w:bCs/>
          <w:rtl/>
          <w:lang w:eastAsia="en-GB" w:bidi="ar-EG"/>
        </w:rPr>
        <w:t>شكل (2-9) تطور نسبة المشتغلين من قوة العمل خلال فترة الدراسة (2010 – 2017)</w:t>
      </w:r>
    </w:p>
    <w:p w:rsidR="00B917B2" w:rsidRPr="00375EB0" w:rsidRDefault="00B917B2" w:rsidP="00B917B2">
      <w:pPr>
        <w:bidi/>
        <w:spacing w:after="120" w:line="240" w:lineRule="auto"/>
        <w:jc w:val="lowKashida"/>
        <w:rPr>
          <w:rFonts w:ascii="Simplified Arabic" w:eastAsia="Calibri" w:hAnsi="Simplified Arabic" w:cs="Simplified Arabic"/>
          <w:sz w:val="24"/>
          <w:szCs w:val="24"/>
          <w:rtl/>
          <w:lang w:val="en-US"/>
        </w:rPr>
      </w:pPr>
      <w:r w:rsidRPr="00375EB0">
        <w:rPr>
          <w:rFonts w:ascii="Simplified Arabic" w:hAnsi="Simplified Arabic" w:cs="Simplified Arabic"/>
          <w:noProof/>
          <w:lang w:val="en-US"/>
        </w:rPr>
        <w:drawing>
          <wp:inline distT="0" distB="0" distL="0" distR="0" wp14:anchorId="664A6688" wp14:editId="4F4C59A7">
            <wp:extent cx="4676775" cy="20193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917B2" w:rsidRPr="00375EB0" w:rsidRDefault="00B917B2" w:rsidP="00B917B2">
      <w:pPr>
        <w:bidi/>
        <w:spacing w:after="0" w:line="240" w:lineRule="auto"/>
        <w:jc w:val="both"/>
        <w:rPr>
          <w:rFonts w:ascii="Simplified Arabic" w:eastAsia="Calibri" w:hAnsi="Simplified Arabic" w:cs="Simplified Arabic"/>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w:t>
      </w:r>
      <w:r w:rsidRPr="00375EB0">
        <w:rPr>
          <w:rFonts w:ascii="Simplified Arabic" w:eastAsia="Calibri" w:hAnsi="Simplified Arabic" w:cs="Simplified Arabic" w:hint="cs"/>
          <w:rtl/>
          <w:lang w:val="en-US" w:bidi="ar-EG"/>
        </w:rPr>
        <w:t>ا</w:t>
      </w:r>
      <w:r w:rsidRPr="00375EB0">
        <w:rPr>
          <w:rFonts w:ascii="Simplified Arabic" w:eastAsia="Calibri" w:hAnsi="Simplified Arabic" w:cs="Simplified Arabic"/>
          <w:rtl/>
          <w:lang w:val="en-US" w:bidi="ar-EG"/>
        </w:rPr>
        <w:t>ز المركزي للتعبئة العامة والاحصاء- بحث القوى العاملة سنوات 2010- 2017.</w:t>
      </w:r>
    </w:p>
    <w:p w:rsidR="00B917B2" w:rsidRPr="00375EB0" w:rsidRDefault="00B917B2" w:rsidP="00B917B2">
      <w:pPr>
        <w:bidi/>
        <w:spacing w:before="240" w:after="0" w:line="240" w:lineRule="auto"/>
        <w:contextualSpacing/>
        <w:rPr>
          <w:rFonts w:ascii="Simplified Arabic" w:eastAsia="Calibri" w:hAnsi="Simplified Arabic" w:cs="Simplified Arabic"/>
          <w:b/>
          <w:bCs/>
          <w:sz w:val="16"/>
          <w:szCs w:val="16"/>
          <w:u w:val="single"/>
          <w:lang w:val="en-US" w:bidi="ar-EG"/>
        </w:rPr>
      </w:pPr>
    </w:p>
    <w:p w:rsidR="00B917B2" w:rsidRPr="00375EB0" w:rsidRDefault="00B917B2" w:rsidP="00616254">
      <w:pPr>
        <w:pStyle w:val="ListParagraph"/>
        <w:numPr>
          <w:ilvl w:val="0"/>
          <w:numId w:val="16"/>
        </w:numPr>
        <w:spacing w:after="0" w:line="240" w:lineRule="auto"/>
        <w:ind w:left="360"/>
        <w:jc w:val="both"/>
        <w:rPr>
          <w:rFonts w:ascii="Simplified Arabic" w:eastAsia="Calibri" w:hAnsi="Simplified Arabic" w:cs="Simplified Arabic"/>
          <w:b/>
          <w:bCs/>
          <w:sz w:val="30"/>
          <w:szCs w:val="30"/>
          <w:u w:val="single"/>
          <w:lang w:bidi="ar-EG"/>
        </w:rPr>
      </w:pPr>
      <w:r w:rsidRPr="00375EB0">
        <w:rPr>
          <w:rFonts w:ascii="Simplified Arabic" w:eastAsia="Calibri" w:hAnsi="Simplified Arabic" w:cs="Simplified Arabic"/>
          <w:b/>
          <w:bCs/>
          <w:sz w:val="30"/>
          <w:szCs w:val="30"/>
          <w:u w:val="single"/>
          <w:rtl/>
          <w:lang w:bidi="ar-EG"/>
        </w:rPr>
        <w:t>نسبة التشغيل وفقا لفئات السن</w:t>
      </w:r>
    </w:p>
    <w:p w:rsidR="00B917B2" w:rsidRPr="00375EB0" w:rsidRDefault="00B917B2" w:rsidP="0049430E">
      <w:pPr>
        <w:bidi/>
        <w:spacing w:before="120" w:after="0" w:line="240" w:lineRule="auto"/>
        <w:ind w:left="170" w:firstLine="651"/>
        <w:contextualSpacing/>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sz w:val="28"/>
          <w:szCs w:val="28"/>
          <w:rtl/>
          <w:lang w:val="en-US" w:bidi="ar-EG"/>
        </w:rPr>
        <w:t xml:space="preserve">بلغت نسبة التشغيل على المستوى الإجمإلي 39,7٪ عام 2017، ترتفع بين الذكور مقارنة بالإناث لتصل إلى ما يقرب من 4 أمثال حيث كان 61,3٪ للذكور مقابل 16,9٪ للإناث، إلا أن هناك اتجاه متناقص لنسبة التشغيل بصفة عامة لكل </w:t>
      </w:r>
      <w:r w:rsidRPr="00375EB0">
        <w:rPr>
          <w:rFonts w:ascii="Simplified Arabic" w:eastAsia="Calibri" w:hAnsi="Simplified Arabic" w:cs="Simplified Arabic"/>
          <w:sz w:val="28"/>
          <w:szCs w:val="28"/>
          <w:rtl/>
          <w:lang w:val="en-US" w:bidi="ar-EG"/>
        </w:rPr>
        <w:lastRenderedPageBreak/>
        <w:t xml:space="preserve">من الذكور والإناث خلال فترة الدراسة من عام 2010 حتى 2017، لتصل إلى 39,7٪ عام 2017 بعد ان كانت 45,0٪ عام 2010 وفقاً لبيانات جدول (2-2). </w:t>
      </w:r>
    </w:p>
    <w:p w:rsidR="00B917B2" w:rsidRPr="00375EB0" w:rsidRDefault="00B917B2" w:rsidP="00B917B2">
      <w:pPr>
        <w:bidi/>
        <w:spacing w:before="120" w:after="12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جدول (2-2): تطور معدل التشغيل للأفراد (15 سنة فأكثر) وفقاً للنوع خلال الفترة 2010 - 2017</w:t>
      </w:r>
    </w:p>
    <w:tbl>
      <w:tblPr>
        <w:tblStyle w:val="LightShading-Accent4"/>
        <w:bidiVisual/>
        <w:tblW w:w="706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766"/>
        <w:gridCol w:w="1766"/>
        <w:gridCol w:w="1766"/>
        <w:gridCol w:w="1766"/>
      </w:tblGrid>
      <w:tr w:rsidR="00B917B2" w:rsidRPr="00375EB0" w:rsidTr="00B917B2">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السنوات</w:t>
            </w:r>
          </w:p>
        </w:tc>
        <w:tc>
          <w:tcPr>
            <w:tcW w:w="176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ذكور</w:t>
            </w:r>
          </w:p>
        </w:tc>
        <w:tc>
          <w:tcPr>
            <w:tcW w:w="176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إناث</w:t>
            </w:r>
          </w:p>
        </w:tc>
        <w:tc>
          <w:tcPr>
            <w:tcW w:w="1766" w:type="dxa"/>
            <w:tcBorders>
              <w:top w:val="none" w:sz="0" w:space="0" w:color="auto"/>
              <w:left w:val="none" w:sz="0" w:space="0" w:color="auto"/>
              <w:bottom w:val="none" w:sz="0" w:space="0" w:color="auto"/>
              <w:right w:val="none" w:sz="0" w:space="0" w:color="auto"/>
            </w:tcBorders>
            <w:shd w:val="clear" w:color="auto" w:fill="auto"/>
            <w:vAlign w:val="center"/>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rtl/>
              </w:rPr>
            </w:pPr>
            <w:r w:rsidRPr="00375EB0">
              <w:rPr>
                <w:rFonts w:ascii="Simplified Arabic" w:eastAsia="Times New Roman" w:hAnsi="Simplified Arabic" w:cs="Simplified Arabic"/>
                <w:color w:val="auto"/>
                <w:rtl/>
              </w:rPr>
              <w:t>جملة</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Pr>
              <w:t>2010</w:t>
            </w:r>
          </w:p>
        </w:tc>
        <w:tc>
          <w:tcPr>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71,3</w:t>
            </w:r>
          </w:p>
        </w:tc>
        <w:tc>
          <w:tcPr>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18,0</w:t>
            </w:r>
          </w:p>
        </w:tc>
        <w:tc>
          <w:tcPr>
            <w:tcW w:w="1766" w:type="dxa"/>
            <w:tcBorders>
              <w:left w:val="none" w:sz="0" w:space="0" w:color="auto"/>
              <w:right w:val="none" w:sz="0" w:space="0" w:color="auto"/>
            </w:tcBorders>
            <w:shd w:val="clear" w:color="auto" w:fill="auto"/>
            <w:vAlign w:val="center"/>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45,0</w:t>
            </w:r>
          </w:p>
        </w:tc>
      </w:tr>
      <w:tr w:rsidR="00B917B2" w:rsidRPr="00375EB0" w:rsidTr="00B917B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Pr>
              <w:t>2011</w:t>
            </w:r>
          </w:p>
        </w:tc>
        <w:tc>
          <w:tcPr>
            <w:tcW w:w="176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tl/>
                <w:lang w:bidi="ar-EG"/>
              </w:rPr>
            </w:pPr>
            <w:r w:rsidRPr="00375EB0">
              <w:rPr>
                <w:rFonts w:ascii="Simplified Arabic" w:eastAsia="Times New Roman" w:hAnsi="Simplified Arabic" w:cs="Simplified Arabic"/>
                <w:b/>
                <w:bCs/>
                <w:color w:val="auto"/>
              </w:rPr>
              <w:t>67,8</w:t>
            </w:r>
          </w:p>
        </w:tc>
        <w:tc>
          <w:tcPr>
            <w:tcW w:w="176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tl/>
                <w:lang w:bidi="ar-EG"/>
              </w:rPr>
            </w:pPr>
            <w:r w:rsidRPr="00375EB0">
              <w:rPr>
                <w:rFonts w:ascii="Simplified Arabic" w:eastAsia="Times New Roman" w:hAnsi="Simplified Arabic" w:cs="Simplified Arabic"/>
                <w:b/>
                <w:bCs/>
                <w:color w:val="auto"/>
              </w:rPr>
              <w:t>17,4</w:t>
            </w:r>
          </w:p>
        </w:tc>
        <w:tc>
          <w:tcPr>
            <w:tcW w:w="1766" w:type="dxa"/>
            <w:shd w:val="clear" w:color="auto" w:fill="auto"/>
            <w:vAlign w:val="center"/>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43,0</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Pr>
              <w:t>2012</w:t>
            </w:r>
          </w:p>
        </w:tc>
        <w:tc>
          <w:tcPr>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67,0</w:t>
            </w:r>
          </w:p>
        </w:tc>
        <w:tc>
          <w:tcPr>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17,0</w:t>
            </w:r>
          </w:p>
        </w:tc>
        <w:tc>
          <w:tcPr>
            <w:tcW w:w="1766" w:type="dxa"/>
            <w:tcBorders>
              <w:left w:val="none" w:sz="0" w:space="0" w:color="auto"/>
              <w:right w:val="none" w:sz="0" w:space="0" w:color="auto"/>
            </w:tcBorders>
            <w:shd w:val="clear" w:color="auto" w:fill="auto"/>
            <w:vAlign w:val="center"/>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42,4</w:t>
            </w:r>
          </w:p>
        </w:tc>
      </w:tr>
      <w:tr w:rsidR="00B917B2" w:rsidRPr="00375EB0" w:rsidTr="00B917B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Pr>
              <w:t>2013</w:t>
            </w:r>
          </w:p>
        </w:tc>
        <w:tc>
          <w:tcPr>
            <w:tcW w:w="176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66,2</w:t>
            </w:r>
          </w:p>
        </w:tc>
        <w:tc>
          <w:tcPr>
            <w:tcW w:w="176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17,4</w:t>
            </w:r>
          </w:p>
        </w:tc>
        <w:tc>
          <w:tcPr>
            <w:tcW w:w="1766" w:type="dxa"/>
            <w:shd w:val="clear" w:color="auto" w:fill="auto"/>
            <w:vAlign w:val="center"/>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42,1</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Pr>
              <w:t>2014</w:t>
            </w:r>
          </w:p>
        </w:tc>
        <w:tc>
          <w:tcPr>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65,4</w:t>
            </w:r>
          </w:p>
        </w:tc>
        <w:tc>
          <w:tcPr>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17,5</w:t>
            </w:r>
          </w:p>
        </w:tc>
        <w:tc>
          <w:tcPr>
            <w:tcW w:w="1766" w:type="dxa"/>
            <w:tcBorders>
              <w:left w:val="none" w:sz="0" w:space="0" w:color="auto"/>
              <w:right w:val="none" w:sz="0" w:space="0" w:color="auto"/>
            </w:tcBorders>
            <w:shd w:val="clear" w:color="auto" w:fill="auto"/>
            <w:vAlign w:val="center"/>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41,8</w:t>
            </w:r>
          </w:p>
        </w:tc>
      </w:tr>
      <w:tr w:rsidR="00B917B2" w:rsidRPr="00375EB0" w:rsidTr="00B917B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Pr>
              <w:t>2015</w:t>
            </w:r>
          </w:p>
        </w:tc>
        <w:tc>
          <w:tcPr>
            <w:tcW w:w="176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63,9</w:t>
            </w:r>
          </w:p>
        </w:tc>
        <w:tc>
          <w:tcPr>
            <w:tcW w:w="176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17,0</w:t>
            </w:r>
          </w:p>
        </w:tc>
        <w:tc>
          <w:tcPr>
            <w:tcW w:w="1766" w:type="dxa"/>
            <w:shd w:val="clear" w:color="auto" w:fill="auto"/>
            <w:vAlign w:val="center"/>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40,8</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Pr>
              <w:t>2016</w:t>
            </w:r>
          </w:p>
        </w:tc>
        <w:tc>
          <w:tcPr>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63,4</w:t>
            </w:r>
          </w:p>
        </w:tc>
        <w:tc>
          <w:tcPr>
            <w:tcW w:w="176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17,5</w:t>
            </w:r>
          </w:p>
        </w:tc>
        <w:tc>
          <w:tcPr>
            <w:tcW w:w="1766" w:type="dxa"/>
            <w:tcBorders>
              <w:left w:val="none" w:sz="0" w:space="0" w:color="auto"/>
              <w:right w:val="none" w:sz="0" w:space="0" w:color="auto"/>
            </w:tcBorders>
            <w:shd w:val="clear" w:color="auto" w:fill="auto"/>
            <w:vAlign w:val="center"/>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40,8</w:t>
            </w:r>
          </w:p>
        </w:tc>
      </w:tr>
      <w:tr w:rsidR="00B917B2" w:rsidRPr="00375EB0" w:rsidTr="00B917B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766" w:type="dxa"/>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Pr>
              <w:t>2017</w:t>
            </w:r>
          </w:p>
        </w:tc>
        <w:tc>
          <w:tcPr>
            <w:tcW w:w="176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61,3</w:t>
            </w:r>
          </w:p>
        </w:tc>
        <w:tc>
          <w:tcPr>
            <w:tcW w:w="176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16,9</w:t>
            </w:r>
          </w:p>
        </w:tc>
        <w:tc>
          <w:tcPr>
            <w:tcW w:w="1766" w:type="dxa"/>
            <w:shd w:val="clear" w:color="auto" w:fill="auto"/>
            <w:vAlign w:val="center"/>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rPr>
            </w:pPr>
            <w:r w:rsidRPr="00375EB0">
              <w:rPr>
                <w:rFonts w:ascii="Simplified Arabic" w:eastAsia="Times New Roman" w:hAnsi="Simplified Arabic" w:cs="Simplified Arabic"/>
                <w:b/>
                <w:bCs/>
                <w:color w:val="auto"/>
              </w:rPr>
              <w:t>39,7</w:t>
            </w:r>
          </w:p>
        </w:tc>
      </w:tr>
    </w:tbl>
    <w:p w:rsidR="00B917B2" w:rsidRPr="00375EB0" w:rsidRDefault="00B917B2" w:rsidP="00B917B2">
      <w:pPr>
        <w:bidi/>
        <w:spacing w:after="0" w:line="240" w:lineRule="auto"/>
        <w:ind w:left="424"/>
        <w:jc w:val="both"/>
        <w:rPr>
          <w:rFonts w:ascii="Simplified Arabic" w:eastAsia="Calibri" w:hAnsi="Simplified Arabic" w:cs="Simplified Arabic"/>
          <w:b/>
          <w:bCs/>
          <w:lang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w:t>
      </w:r>
      <w:r w:rsidRPr="00375EB0">
        <w:rPr>
          <w:rFonts w:ascii="Simplified Arabic" w:eastAsia="Calibri" w:hAnsi="Simplified Arabic" w:cs="Simplified Arabic" w:hint="cs"/>
          <w:rtl/>
          <w:lang w:val="en-US" w:bidi="ar-EG"/>
        </w:rPr>
        <w:t>ا</w:t>
      </w:r>
      <w:r w:rsidRPr="00375EB0">
        <w:rPr>
          <w:rFonts w:ascii="Simplified Arabic" w:eastAsia="Calibri" w:hAnsi="Simplified Arabic" w:cs="Simplified Arabic"/>
          <w:rtl/>
          <w:lang w:val="en-US" w:bidi="ar-EG"/>
        </w:rPr>
        <w:t>ز المركزي للتعبئة العامة والاحصاء- بحث القوى العاملة سنوات 2010- 2017.</w:t>
      </w:r>
    </w:p>
    <w:p w:rsidR="00B917B2" w:rsidRPr="00375EB0" w:rsidRDefault="00B917B2" w:rsidP="00B917B2">
      <w:pPr>
        <w:bidi/>
        <w:spacing w:before="120"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وتشير بيانات جدول (2-3) إلى نسب التشغيل وفقًا للفئات العُمرية ومن المُلاحظ أن نسب التشغيل للفئات العُمريـــــة (30 - 39) ،(40 - 49) هي الأعلى في حالة الذكور، في حين أن نسب التشغيل للفئات العُمرية (40 -49)، (50 - 59) هي نسب التشغيل الأعلى بين الفئات العُمرية للإناث.</w:t>
      </w:r>
    </w:p>
    <w:p w:rsidR="00B917B2" w:rsidRPr="00375EB0" w:rsidRDefault="00B917B2" w:rsidP="00B917B2">
      <w:pPr>
        <w:bidi/>
        <w:spacing w:before="240" w:after="0"/>
        <w:jc w:val="center"/>
        <w:rPr>
          <w:rFonts w:ascii="Simplified Arabic" w:eastAsia="Calibri" w:hAnsi="Simplified Arabic" w:cs="Simplified Arabic"/>
          <w:sz w:val="26"/>
          <w:szCs w:val="26"/>
          <w:rtl/>
          <w:lang w:val="en-US" w:bidi="ar-EG"/>
        </w:rPr>
      </w:pPr>
      <w:r w:rsidRPr="00375EB0">
        <w:rPr>
          <w:rFonts w:ascii="Simplified Arabic" w:hAnsi="Simplified Arabic" w:cs="Simplified Arabic"/>
          <w:b/>
          <w:bCs/>
          <w:rtl/>
          <w:lang w:val="en-US" w:bidi="ar-EG"/>
        </w:rPr>
        <w:t>جدول (2-3): نسب التشغيل طبقاً لفئات السن، والنوع عام 2017</w:t>
      </w:r>
    </w:p>
    <w:tbl>
      <w:tblPr>
        <w:tblStyle w:val="LightShading-Accent4"/>
        <w:bidiVisual/>
        <w:tblW w:w="6585"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907"/>
        <w:gridCol w:w="1810"/>
        <w:gridCol w:w="1276"/>
        <w:gridCol w:w="1592"/>
      </w:tblGrid>
      <w:tr w:rsidR="00B917B2" w:rsidRPr="00375EB0" w:rsidTr="00B917B2">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فئات السن</w:t>
            </w:r>
          </w:p>
        </w:tc>
        <w:tc>
          <w:tcPr>
            <w:tcW w:w="181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ذكور</w:t>
            </w:r>
          </w:p>
        </w:tc>
        <w:tc>
          <w:tcPr>
            <w:tcW w:w="127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إناث</w:t>
            </w:r>
          </w:p>
        </w:tc>
        <w:tc>
          <w:tcPr>
            <w:tcW w:w="159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جملة</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lang w:bidi="ar-EG"/>
              </w:rPr>
            </w:pPr>
            <w:r w:rsidRPr="00375EB0">
              <w:rPr>
                <w:rFonts w:ascii="Simplified Arabic" w:eastAsia="Times New Roman" w:hAnsi="Simplified Arabic" w:cs="Simplified Arabic"/>
                <w:color w:val="auto"/>
                <w:sz w:val="24"/>
                <w:szCs w:val="24"/>
                <w:rtl/>
                <w:lang w:bidi="ar-EG"/>
              </w:rPr>
              <w:t>15 – 19</w:t>
            </w:r>
          </w:p>
        </w:tc>
        <w:tc>
          <w:tcPr>
            <w:tcW w:w="1810"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17,9</w:t>
            </w:r>
          </w:p>
        </w:tc>
        <w:tc>
          <w:tcPr>
            <w:tcW w:w="127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6,8</w:t>
            </w:r>
          </w:p>
        </w:tc>
        <w:tc>
          <w:tcPr>
            <w:tcW w:w="1592"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12,7</w:t>
            </w:r>
          </w:p>
        </w:tc>
      </w:tr>
      <w:tr w:rsidR="00B917B2" w:rsidRPr="00375EB0" w:rsidTr="00B917B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20 -24</w:t>
            </w:r>
          </w:p>
        </w:tc>
        <w:tc>
          <w:tcPr>
            <w:tcW w:w="1810"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39,8</w:t>
            </w:r>
          </w:p>
        </w:tc>
        <w:tc>
          <w:tcPr>
            <w:tcW w:w="127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16,6</w:t>
            </w:r>
          </w:p>
        </w:tc>
        <w:tc>
          <w:tcPr>
            <w:tcW w:w="1592"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28,8</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lang w:bidi="ar-EG"/>
              </w:rPr>
            </w:pPr>
            <w:r w:rsidRPr="00375EB0">
              <w:rPr>
                <w:rFonts w:ascii="Simplified Arabic" w:eastAsia="Times New Roman" w:hAnsi="Simplified Arabic" w:cs="Simplified Arabic"/>
                <w:color w:val="auto"/>
                <w:sz w:val="24"/>
                <w:szCs w:val="24"/>
                <w:rtl/>
                <w:lang w:bidi="ar-EG"/>
              </w:rPr>
              <w:t>25 – 29</w:t>
            </w:r>
          </w:p>
        </w:tc>
        <w:tc>
          <w:tcPr>
            <w:tcW w:w="1810"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77,7</w:t>
            </w:r>
          </w:p>
        </w:tc>
        <w:tc>
          <w:tcPr>
            <w:tcW w:w="127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20,8</w:t>
            </w:r>
          </w:p>
        </w:tc>
        <w:tc>
          <w:tcPr>
            <w:tcW w:w="1592"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49,0</w:t>
            </w:r>
          </w:p>
        </w:tc>
      </w:tr>
      <w:tr w:rsidR="00B917B2" w:rsidRPr="00375EB0" w:rsidTr="00B917B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30 – 39</w:t>
            </w:r>
          </w:p>
        </w:tc>
        <w:tc>
          <w:tcPr>
            <w:tcW w:w="1810"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92,9</w:t>
            </w:r>
          </w:p>
        </w:tc>
        <w:tc>
          <w:tcPr>
            <w:tcW w:w="127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20,5</w:t>
            </w:r>
          </w:p>
        </w:tc>
        <w:tc>
          <w:tcPr>
            <w:tcW w:w="1592"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56,1</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lang w:bidi="ar-EG"/>
              </w:rPr>
            </w:pPr>
            <w:r w:rsidRPr="00375EB0">
              <w:rPr>
                <w:rFonts w:ascii="Simplified Arabic" w:eastAsia="Times New Roman" w:hAnsi="Simplified Arabic" w:cs="Simplified Arabic"/>
                <w:color w:val="auto"/>
                <w:sz w:val="24"/>
                <w:szCs w:val="24"/>
                <w:rtl/>
                <w:lang w:bidi="ar-EG"/>
              </w:rPr>
              <w:t>40 – 49</w:t>
            </w:r>
          </w:p>
        </w:tc>
        <w:tc>
          <w:tcPr>
            <w:tcW w:w="1810"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92,1</w:t>
            </w:r>
          </w:p>
        </w:tc>
        <w:tc>
          <w:tcPr>
            <w:tcW w:w="127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23,3</w:t>
            </w:r>
          </w:p>
        </w:tc>
        <w:tc>
          <w:tcPr>
            <w:tcW w:w="1592"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lang w:bidi="ar-EG"/>
              </w:rPr>
            </w:pPr>
            <w:r w:rsidRPr="00375EB0">
              <w:rPr>
                <w:rFonts w:ascii="Simplified Arabic" w:eastAsia="Times New Roman" w:hAnsi="Simplified Arabic" w:cs="Simplified Arabic"/>
                <w:b/>
                <w:bCs/>
                <w:color w:val="auto"/>
                <w:sz w:val="24"/>
                <w:szCs w:val="24"/>
                <w:lang w:bidi="ar-EG"/>
              </w:rPr>
              <w:t>58,1</w:t>
            </w:r>
          </w:p>
        </w:tc>
      </w:tr>
      <w:tr w:rsidR="00B917B2" w:rsidRPr="00375EB0" w:rsidTr="00B917B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50 – 59</w:t>
            </w:r>
          </w:p>
        </w:tc>
        <w:tc>
          <w:tcPr>
            <w:tcW w:w="1810"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85,9</w:t>
            </w:r>
          </w:p>
        </w:tc>
        <w:tc>
          <w:tcPr>
            <w:tcW w:w="127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24,1</w:t>
            </w:r>
          </w:p>
        </w:tc>
        <w:tc>
          <w:tcPr>
            <w:tcW w:w="1592"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56,2</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60 – 64</w:t>
            </w:r>
          </w:p>
        </w:tc>
        <w:tc>
          <w:tcPr>
            <w:tcW w:w="1810"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41,3</w:t>
            </w:r>
          </w:p>
        </w:tc>
        <w:tc>
          <w:tcPr>
            <w:tcW w:w="127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6,9</w:t>
            </w:r>
          </w:p>
        </w:tc>
        <w:tc>
          <w:tcPr>
            <w:tcW w:w="1592"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25,5</w:t>
            </w:r>
          </w:p>
        </w:tc>
      </w:tr>
      <w:tr w:rsidR="00B917B2" w:rsidRPr="00375EB0" w:rsidTr="00B917B2">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65 +</w:t>
            </w:r>
          </w:p>
        </w:tc>
        <w:tc>
          <w:tcPr>
            <w:tcW w:w="1810"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22,2</w:t>
            </w:r>
          </w:p>
        </w:tc>
        <w:tc>
          <w:tcPr>
            <w:tcW w:w="127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2,7</w:t>
            </w:r>
          </w:p>
        </w:tc>
        <w:tc>
          <w:tcPr>
            <w:tcW w:w="1592"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13,1</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190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rPr>
                <w:rFonts w:ascii="Simplified Arabic" w:eastAsia="Times New Roman" w:hAnsi="Simplified Arabic" w:cs="Simplified Arabic"/>
                <w:color w:val="auto"/>
                <w:sz w:val="24"/>
                <w:szCs w:val="24"/>
              </w:rPr>
            </w:pPr>
            <w:r w:rsidRPr="00375EB0">
              <w:rPr>
                <w:rFonts w:ascii="Simplified Arabic" w:eastAsia="Times New Roman" w:hAnsi="Simplified Arabic" w:cs="Simplified Arabic"/>
                <w:color w:val="auto"/>
                <w:sz w:val="24"/>
                <w:szCs w:val="24"/>
                <w:rtl/>
              </w:rPr>
              <w:t>الإجمإلي</w:t>
            </w:r>
          </w:p>
        </w:tc>
        <w:tc>
          <w:tcPr>
            <w:tcW w:w="1810"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61,3</w:t>
            </w:r>
          </w:p>
        </w:tc>
        <w:tc>
          <w:tcPr>
            <w:tcW w:w="127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16,9</w:t>
            </w:r>
          </w:p>
        </w:tc>
        <w:tc>
          <w:tcPr>
            <w:tcW w:w="1592"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39,7</w:t>
            </w:r>
          </w:p>
        </w:tc>
      </w:tr>
    </w:tbl>
    <w:p w:rsidR="00B917B2" w:rsidRPr="00375EB0" w:rsidRDefault="00B917B2" w:rsidP="00B917B2">
      <w:pPr>
        <w:bidi/>
        <w:spacing w:before="120" w:after="120" w:line="240" w:lineRule="auto"/>
        <w:ind w:left="396"/>
        <w:jc w:val="both"/>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بحث القوى العاملة - 2017.</w:t>
      </w:r>
    </w:p>
    <w:p w:rsidR="00B917B2" w:rsidRPr="00375EB0" w:rsidRDefault="00B917B2" w:rsidP="00B917B2">
      <w:pPr>
        <w:bidi/>
        <w:spacing w:after="120" w:line="240" w:lineRule="auto"/>
        <w:ind w:left="1274"/>
        <w:jc w:val="both"/>
        <w:rPr>
          <w:rFonts w:ascii="Simplified Arabic" w:eastAsia="Calibri" w:hAnsi="Simplified Arabic" w:cs="Simplified Arabic"/>
          <w:b/>
          <w:bCs/>
          <w:sz w:val="28"/>
          <w:szCs w:val="28"/>
          <w:rtl/>
          <w:lang w:val="en-US" w:bidi="ar-EG"/>
        </w:rPr>
      </w:pPr>
    </w:p>
    <w:p w:rsidR="00B917B2" w:rsidRPr="00375EB0" w:rsidRDefault="00B917B2" w:rsidP="00616254">
      <w:pPr>
        <w:pStyle w:val="ListParagraph"/>
        <w:numPr>
          <w:ilvl w:val="0"/>
          <w:numId w:val="16"/>
        </w:numPr>
        <w:spacing w:before="120" w:after="0" w:line="240" w:lineRule="auto"/>
        <w:ind w:left="360"/>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lastRenderedPageBreak/>
        <w:t>معدل التشغيل طبقًا للحالة التعليمية والأقإليم الجغرافية عام 2017</w:t>
      </w:r>
    </w:p>
    <w:p w:rsidR="00B917B2" w:rsidRPr="00375EB0" w:rsidRDefault="00B917B2" w:rsidP="00B917B2">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تساعد دراسة توزيع القوي العاملة وفقا للحالة التعليمية على معرفة المستوي التعليمي لقوة العمل لكل من المشتغلين والمتعطلين وتحديد احتياجات سوق العمل ورسم الخطط والسياسيات المستقبلية للاستفادة الكاملة من الخريجين في جميع مستويات التعليم وتوفير فرص العمل لهم بما يسهم في نمو الاقتصاد القومي.</w:t>
      </w:r>
    </w:p>
    <w:p w:rsidR="00B917B2" w:rsidRPr="00375EB0" w:rsidRDefault="00B917B2" w:rsidP="00B917B2">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يوضح جدول (2-4) نسب التشغيل وفقًا للحالة التعليمية والنـوع لعام 2017، وتظهر بيـانات الجدول أن</w:t>
      </w:r>
      <w:r w:rsidRPr="00375EB0">
        <w:rPr>
          <w:rFonts w:ascii="Simplified Arabic" w:eastAsia="Calibri" w:hAnsi="Simplified Arabic" w:cs="Simplified Arabic" w:hint="cs"/>
          <w:sz w:val="28"/>
          <w:szCs w:val="28"/>
          <w:rtl/>
          <w:lang w:val="en-US" w:bidi="ar-EG"/>
        </w:rPr>
        <w:t>:</w:t>
      </w:r>
    </w:p>
    <w:p w:rsidR="00B917B2" w:rsidRPr="00375EB0" w:rsidRDefault="00B917B2" w:rsidP="00616254">
      <w:pPr>
        <w:pStyle w:val="ListParagraph"/>
        <w:numPr>
          <w:ilvl w:val="0"/>
          <w:numId w:val="18"/>
        </w:numPr>
        <w:spacing w:after="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أعلى نسبة لمعدل للتشغيل بلغ 62,3٪ بين الحاصلين على مؤهل فوق المتوسط والأقل مِن الجامعي، وارتفع بدرجة كبيرة بين الذكور ليصل إلى 81,5٪، مقابل 32,5٪ للإناث. </w:t>
      </w:r>
    </w:p>
    <w:p w:rsidR="00B917B2" w:rsidRPr="00375EB0" w:rsidRDefault="00B917B2" w:rsidP="00616254">
      <w:pPr>
        <w:pStyle w:val="ListParagraph"/>
        <w:numPr>
          <w:ilvl w:val="0"/>
          <w:numId w:val="18"/>
        </w:numPr>
        <w:spacing w:after="0" w:line="240" w:lineRule="auto"/>
        <w:ind w:left="538" w:hanging="368"/>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يلي ذلك معدل التشغيل بين الحاصلين على مؤهل جامعي (60٪) وارتفع بين الذكور ليصل إلى 72,3٪ مقابل 44,0٪ للإناث.</w:t>
      </w:r>
    </w:p>
    <w:p w:rsidR="00B917B2" w:rsidRPr="00375EB0" w:rsidRDefault="00B917B2" w:rsidP="00616254">
      <w:pPr>
        <w:pStyle w:val="ListParagraph"/>
        <w:numPr>
          <w:ilvl w:val="0"/>
          <w:numId w:val="18"/>
        </w:numPr>
        <w:spacing w:after="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معدل التشغيل ارتفع أيضا وبدرجة كبيرة للذكور الأميين (73,4٪) أو الذين يقرأون ويكتبون (83,3٪)، بينما لم يتعد النسبة 15٪ بين الإناث فى هاتين الفئتين.</w:t>
      </w:r>
    </w:p>
    <w:p w:rsidR="00B917B2" w:rsidRPr="00375EB0" w:rsidRDefault="00B917B2" w:rsidP="00B917B2">
      <w:pPr>
        <w:bidi/>
        <w:spacing w:before="240" w:after="120" w:line="240" w:lineRule="auto"/>
        <w:jc w:val="center"/>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rPr>
        <w:t>جدول (2-4): نسب التشغيل وفقا للحالة التعليمية والنوع عام 2017</w:t>
      </w:r>
    </w:p>
    <w:tbl>
      <w:tblPr>
        <w:tblStyle w:val="LightShading-Accent4"/>
        <w:bidiVisual/>
        <w:tblW w:w="7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65"/>
        <w:gridCol w:w="1558"/>
        <w:gridCol w:w="1558"/>
        <w:gridCol w:w="1559"/>
      </w:tblGrid>
      <w:tr w:rsidR="00B917B2" w:rsidRPr="00375EB0" w:rsidTr="0049430E">
        <w:trPr>
          <w:cnfStyle w:val="100000000000" w:firstRow="1" w:lastRow="0" w:firstColumn="0" w:lastColumn="0" w:oddVBand="0" w:evenVBand="0" w:oddHBand="0"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الحالة التعليمية</w:t>
            </w:r>
          </w:p>
        </w:tc>
        <w:tc>
          <w:tcPr>
            <w:tcW w:w="15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ذكور</w:t>
            </w:r>
          </w:p>
        </w:tc>
        <w:tc>
          <w:tcPr>
            <w:tcW w:w="15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إناث</w:t>
            </w:r>
          </w:p>
        </w:tc>
        <w:tc>
          <w:tcPr>
            <w:tcW w:w="1559"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جملة</w:t>
            </w:r>
          </w:p>
        </w:tc>
      </w:tr>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right w:val="none" w:sz="0" w:space="0" w:color="auto"/>
            </w:tcBorders>
            <w:shd w:val="clear" w:color="auto" w:fill="auto"/>
            <w:vAlign w:val="center"/>
            <w:hideMark/>
          </w:tcPr>
          <w:p w:rsidR="00B917B2" w:rsidRPr="00375EB0" w:rsidRDefault="00B917B2" w:rsidP="00B917B2">
            <w:pPr>
              <w:bidi/>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أمي</w:t>
            </w:r>
          </w:p>
        </w:tc>
        <w:tc>
          <w:tcPr>
            <w:tcW w:w="155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73,4</w:t>
            </w:r>
          </w:p>
        </w:tc>
        <w:tc>
          <w:tcPr>
            <w:tcW w:w="155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13,7</w:t>
            </w:r>
          </w:p>
        </w:tc>
        <w:tc>
          <w:tcPr>
            <w:tcW w:w="1559"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35,5</w:t>
            </w:r>
          </w:p>
        </w:tc>
      </w:tr>
      <w:tr w:rsidR="00B917B2" w:rsidRPr="00375EB0" w:rsidTr="0049430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shd w:val="clear" w:color="auto" w:fill="auto"/>
            <w:vAlign w:val="center"/>
            <w:hideMark/>
          </w:tcPr>
          <w:p w:rsidR="00B917B2" w:rsidRPr="00375EB0" w:rsidRDefault="00B917B2" w:rsidP="00B917B2">
            <w:pPr>
              <w:bidi/>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يقرأ ويكتب وشهادة محو الأمية</w:t>
            </w:r>
          </w:p>
        </w:tc>
        <w:tc>
          <w:tcPr>
            <w:tcW w:w="155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83,3</w:t>
            </w:r>
          </w:p>
        </w:tc>
        <w:tc>
          <w:tcPr>
            <w:tcW w:w="155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14,7</w:t>
            </w:r>
          </w:p>
        </w:tc>
        <w:tc>
          <w:tcPr>
            <w:tcW w:w="155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58,6</w:t>
            </w:r>
          </w:p>
        </w:tc>
      </w:tr>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right w:val="none" w:sz="0" w:space="0" w:color="auto"/>
            </w:tcBorders>
            <w:shd w:val="clear" w:color="auto" w:fill="auto"/>
            <w:vAlign w:val="center"/>
            <w:hideMark/>
          </w:tcPr>
          <w:p w:rsidR="00B917B2" w:rsidRPr="00375EB0" w:rsidRDefault="00B917B2" w:rsidP="00B917B2">
            <w:pPr>
              <w:bidi/>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مؤهل أقــــــل مـــــن المتوسط</w:t>
            </w:r>
          </w:p>
        </w:tc>
        <w:tc>
          <w:tcPr>
            <w:tcW w:w="155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35,4</w:t>
            </w:r>
          </w:p>
        </w:tc>
        <w:tc>
          <w:tcPr>
            <w:tcW w:w="155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9,3</w:t>
            </w:r>
          </w:p>
        </w:tc>
        <w:tc>
          <w:tcPr>
            <w:tcW w:w="1559"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23,4</w:t>
            </w:r>
          </w:p>
        </w:tc>
      </w:tr>
      <w:tr w:rsidR="00B917B2" w:rsidRPr="00375EB0" w:rsidTr="0049430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shd w:val="clear" w:color="auto" w:fill="auto"/>
            <w:vAlign w:val="center"/>
            <w:hideMark/>
          </w:tcPr>
          <w:p w:rsidR="00B917B2" w:rsidRPr="00375EB0" w:rsidRDefault="00B917B2" w:rsidP="00B917B2">
            <w:pPr>
              <w:bidi/>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ثانوية عامة وثانوية أزهرية</w:t>
            </w:r>
          </w:p>
        </w:tc>
        <w:tc>
          <w:tcPr>
            <w:tcW w:w="155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17,2</w:t>
            </w:r>
          </w:p>
        </w:tc>
        <w:tc>
          <w:tcPr>
            <w:tcW w:w="155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4,0</w:t>
            </w:r>
          </w:p>
        </w:tc>
        <w:tc>
          <w:tcPr>
            <w:tcW w:w="155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10,4</w:t>
            </w:r>
          </w:p>
        </w:tc>
      </w:tr>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right w:val="none" w:sz="0" w:space="0" w:color="auto"/>
            </w:tcBorders>
            <w:shd w:val="clear" w:color="auto" w:fill="auto"/>
            <w:vAlign w:val="center"/>
            <w:hideMark/>
          </w:tcPr>
          <w:p w:rsidR="00B917B2" w:rsidRPr="00375EB0" w:rsidRDefault="00B917B2" w:rsidP="00B917B2">
            <w:pPr>
              <w:bidi/>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مؤهل متوسط فنى</w:t>
            </w:r>
          </w:p>
        </w:tc>
        <w:tc>
          <w:tcPr>
            <w:tcW w:w="155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74,6</w:t>
            </w:r>
          </w:p>
        </w:tc>
        <w:tc>
          <w:tcPr>
            <w:tcW w:w="155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19,8</w:t>
            </w:r>
          </w:p>
        </w:tc>
        <w:tc>
          <w:tcPr>
            <w:tcW w:w="1559"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50,3</w:t>
            </w:r>
          </w:p>
        </w:tc>
      </w:tr>
      <w:tr w:rsidR="00B917B2" w:rsidRPr="00375EB0" w:rsidTr="0049430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shd w:val="clear" w:color="auto" w:fill="auto"/>
            <w:vAlign w:val="center"/>
            <w:hideMark/>
          </w:tcPr>
          <w:p w:rsidR="00B917B2" w:rsidRPr="00375EB0" w:rsidRDefault="00B917B2" w:rsidP="00B917B2">
            <w:pPr>
              <w:bidi/>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 xml:space="preserve">مؤهــــل فوق المتوسط </w:t>
            </w:r>
          </w:p>
        </w:tc>
        <w:tc>
          <w:tcPr>
            <w:tcW w:w="155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81,5</w:t>
            </w:r>
          </w:p>
        </w:tc>
        <w:tc>
          <w:tcPr>
            <w:tcW w:w="155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32,5</w:t>
            </w:r>
          </w:p>
        </w:tc>
        <w:tc>
          <w:tcPr>
            <w:tcW w:w="155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62,3</w:t>
            </w:r>
          </w:p>
        </w:tc>
      </w:tr>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tcBorders>
              <w:left w:val="none" w:sz="0" w:space="0" w:color="auto"/>
              <w:right w:val="none" w:sz="0" w:space="0" w:color="auto"/>
            </w:tcBorders>
            <w:shd w:val="clear" w:color="auto" w:fill="auto"/>
            <w:vAlign w:val="center"/>
            <w:hideMark/>
          </w:tcPr>
          <w:p w:rsidR="00B917B2" w:rsidRPr="00375EB0" w:rsidRDefault="00B917B2" w:rsidP="00B917B2">
            <w:pPr>
              <w:bidi/>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مؤهل جامعي فأعلى</w:t>
            </w:r>
          </w:p>
        </w:tc>
        <w:tc>
          <w:tcPr>
            <w:tcW w:w="155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72,3</w:t>
            </w:r>
          </w:p>
        </w:tc>
        <w:tc>
          <w:tcPr>
            <w:tcW w:w="155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44,0</w:t>
            </w:r>
          </w:p>
        </w:tc>
        <w:tc>
          <w:tcPr>
            <w:tcW w:w="1559"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60,0</w:t>
            </w:r>
          </w:p>
        </w:tc>
      </w:tr>
      <w:tr w:rsidR="00B917B2" w:rsidRPr="00375EB0" w:rsidTr="0049430E">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2665" w:type="dxa"/>
            <w:shd w:val="clear" w:color="auto" w:fill="auto"/>
            <w:vAlign w:val="center"/>
            <w:hideMark/>
          </w:tcPr>
          <w:p w:rsidR="00B917B2" w:rsidRPr="00375EB0" w:rsidRDefault="00B917B2" w:rsidP="00B917B2">
            <w:pPr>
              <w:bidi/>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الإجمإلي</w:t>
            </w:r>
          </w:p>
        </w:tc>
        <w:tc>
          <w:tcPr>
            <w:tcW w:w="155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61,3</w:t>
            </w:r>
          </w:p>
        </w:tc>
        <w:tc>
          <w:tcPr>
            <w:tcW w:w="155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16,9</w:t>
            </w:r>
          </w:p>
        </w:tc>
        <w:tc>
          <w:tcPr>
            <w:tcW w:w="155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4"/>
                <w:szCs w:val="24"/>
              </w:rPr>
            </w:pPr>
            <w:r w:rsidRPr="00375EB0">
              <w:rPr>
                <w:rFonts w:ascii="Simplified Arabic" w:eastAsia="Times New Roman" w:hAnsi="Simplified Arabic" w:cs="Simplified Arabic"/>
                <w:b/>
                <w:bCs/>
                <w:color w:val="auto"/>
                <w:sz w:val="24"/>
                <w:szCs w:val="24"/>
              </w:rPr>
              <w:t>39,7</w:t>
            </w:r>
          </w:p>
        </w:tc>
      </w:tr>
    </w:tbl>
    <w:p w:rsidR="00B917B2" w:rsidRPr="00375EB0" w:rsidRDefault="00B917B2" w:rsidP="00B917B2">
      <w:pPr>
        <w:bidi/>
        <w:spacing w:after="120" w:line="240" w:lineRule="auto"/>
        <w:jc w:val="both"/>
        <w:rPr>
          <w:rFonts w:ascii="Simplified Arabic" w:eastAsia="Calibri" w:hAnsi="Simplified Arabic" w:cs="Simplified Arabic"/>
          <w:b/>
          <w:bCs/>
          <w:sz w:val="32"/>
          <w:szCs w:val="32"/>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 xml:space="preserve">الجهاز المركزي للتعبئة العامة والاحصاء- </w:t>
      </w:r>
      <w:r w:rsidRPr="00375EB0">
        <w:rPr>
          <w:rFonts w:ascii="Simplified Arabic" w:eastAsia="Calibri" w:hAnsi="Simplified Arabic" w:cs="Simplified Arabic" w:hint="cs"/>
          <w:rtl/>
          <w:lang w:val="en-US" w:bidi="ar-EG"/>
        </w:rPr>
        <w:t>بحث</w:t>
      </w:r>
      <w:r w:rsidRPr="00375EB0">
        <w:rPr>
          <w:rFonts w:ascii="Simplified Arabic" w:eastAsia="Calibri" w:hAnsi="Simplified Arabic" w:cs="Simplified Arabic"/>
          <w:rtl/>
          <w:lang w:val="en-US" w:bidi="ar-EG"/>
        </w:rPr>
        <w:t xml:space="preserve"> القوى العاملة، 2017.</w:t>
      </w:r>
    </w:p>
    <w:p w:rsidR="00B917B2" w:rsidRPr="00375EB0" w:rsidRDefault="00B917B2" w:rsidP="00B917B2">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وتشير بيانات جدول (2-5) إلى نسب التشغيل في الأقإليــــــــــــــم الجغرافيـــــــــــــة وقد أوضحت البيانات أن</w:t>
      </w:r>
      <w:r w:rsidRPr="00375EB0">
        <w:rPr>
          <w:rFonts w:ascii="Simplified Arabic" w:eastAsia="Calibri" w:hAnsi="Simplified Arabic" w:cs="Simplified Arabic" w:hint="cs"/>
          <w:sz w:val="28"/>
          <w:szCs w:val="28"/>
          <w:rtl/>
          <w:lang w:val="en-US" w:bidi="ar-EG"/>
        </w:rPr>
        <w:t>:</w:t>
      </w:r>
    </w:p>
    <w:p w:rsidR="00B917B2" w:rsidRPr="00375EB0" w:rsidRDefault="00B917B2" w:rsidP="00616254">
      <w:pPr>
        <w:pStyle w:val="ListParagraph"/>
        <w:numPr>
          <w:ilvl w:val="0"/>
          <w:numId w:val="18"/>
        </w:numPr>
        <w:spacing w:after="0" w:line="240" w:lineRule="auto"/>
        <w:ind w:left="53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lastRenderedPageBreak/>
        <w:t>أعلى نسب التشغيل كانت في ريف الوجه البحري حيث بلغت 43,1٪، يتبعها حضر وريف محافظات الحدود بنسبة بلغت 42,9٪، 40,4٪ على الترتيب، بينما سجل حضر الوجه القبلي أقل نسب التشغيل بنسبة 35,4٪.</w:t>
      </w:r>
    </w:p>
    <w:p w:rsidR="00B917B2" w:rsidRPr="00375EB0" w:rsidRDefault="00B917B2" w:rsidP="00B917B2">
      <w:pPr>
        <w:bidi/>
        <w:spacing w:before="120" w:after="0"/>
        <w:jc w:val="center"/>
        <w:rPr>
          <w:rFonts w:ascii="Simplified Arabic" w:hAnsi="Simplified Arabic" w:cs="Simplified Arabic"/>
          <w:b/>
          <w:bCs/>
          <w:rtl/>
          <w:lang w:val="en-US"/>
        </w:rPr>
      </w:pPr>
      <w:r w:rsidRPr="00375EB0">
        <w:rPr>
          <w:rFonts w:ascii="Simplified Arabic" w:hAnsi="Simplified Arabic" w:cs="Simplified Arabic"/>
          <w:b/>
          <w:bCs/>
          <w:rtl/>
          <w:lang w:val="en-US"/>
        </w:rPr>
        <w:t>جدول (2- 5): نسب التشغيل للأقإليم الجغرافية والنوع عام 2017</w:t>
      </w:r>
    </w:p>
    <w:tbl>
      <w:tblPr>
        <w:tblStyle w:val="LightShading-Accent4"/>
        <w:bidiVisual/>
        <w:tblW w:w="715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253"/>
        <w:gridCol w:w="1517"/>
        <w:gridCol w:w="1598"/>
        <w:gridCol w:w="1786"/>
      </w:tblGrid>
      <w:tr w:rsidR="00B917B2" w:rsidRPr="00375EB0" w:rsidTr="00B917B2">
        <w:trPr>
          <w:cnfStyle w:val="100000000000" w:firstRow="1" w:lastRow="0" w:firstColumn="0" w:lastColumn="0" w:oddVBand="0" w:evenVBand="0" w:oddHBand="0"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rPr>
                <w:rFonts w:ascii="Simplified Arabic" w:hAnsi="Simplified Arabic" w:cs="Simplified Arabic"/>
                <w:color w:val="auto"/>
                <w:sz w:val="24"/>
                <w:szCs w:val="24"/>
              </w:rPr>
            </w:pPr>
            <w:r w:rsidRPr="00375EB0">
              <w:rPr>
                <w:rFonts w:ascii="Simplified Arabic" w:hAnsi="Simplified Arabic" w:cs="Simplified Arabic"/>
                <w:color w:val="auto"/>
                <w:sz w:val="24"/>
                <w:szCs w:val="24"/>
              </w:rPr>
              <w:br w:type="page"/>
            </w:r>
            <w:r w:rsidRPr="00375EB0">
              <w:rPr>
                <w:rFonts w:ascii="Simplified Arabic" w:hAnsi="Simplified Arabic" w:cs="Simplified Arabic"/>
                <w:color w:val="auto"/>
                <w:sz w:val="24"/>
                <w:szCs w:val="24"/>
                <w:rtl/>
              </w:rPr>
              <w:t>الأقإليم الجغرافية</w:t>
            </w:r>
          </w:p>
        </w:tc>
        <w:tc>
          <w:tcPr>
            <w:tcW w:w="1517"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ذكور</w:t>
            </w:r>
          </w:p>
        </w:tc>
        <w:tc>
          <w:tcPr>
            <w:tcW w:w="159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إناث</w:t>
            </w:r>
          </w:p>
        </w:tc>
        <w:tc>
          <w:tcPr>
            <w:tcW w:w="178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B917B2">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جملة</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tcBorders>
              <w:left w:val="none" w:sz="0" w:space="0" w:color="auto"/>
              <w:right w:val="none" w:sz="0" w:space="0" w:color="auto"/>
            </w:tcBorders>
            <w:shd w:val="clear" w:color="auto" w:fill="auto"/>
            <w:vAlign w:val="center"/>
            <w:hideMark/>
          </w:tcPr>
          <w:p w:rsidR="00B917B2" w:rsidRPr="00375EB0" w:rsidRDefault="00B917B2" w:rsidP="00B917B2">
            <w:pPr>
              <w:bidi/>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المحافظات الحضرية</w:t>
            </w:r>
          </w:p>
        </w:tc>
        <w:tc>
          <w:tcPr>
            <w:tcW w:w="151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58,8</w:t>
            </w:r>
          </w:p>
        </w:tc>
        <w:tc>
          <w:tcPr>
            <w:tcW w:w="159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15,4</w:t>
            </w:r>
          </w:p>
        </w:tc>
        <w:tc>
          <w:tcPr>
            <w:tcW w:w="178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37,4</w:t>
            </w:r>
          </w:p>
        </w:tc>
      </w:tr>
      <w:tr w:rsidR="00B917B2" w:rsidRPr="00375EB0" w:rsidTr="00B917B2">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shd w:val="clear" w:color="auto" w:fill="auto"/>
            <w:vAlign w:val="center"/>
            <w:hideMark/>
          </w:tcPr>
          <w:p w:rsidR="00B917B2" w:rsidRPr="00375EB0" w:rsidRDefault="00B917B2" w:rsidP="00B917B2">
            <w:pPr>
              <w:bidi/>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حضر الوجه البحري</w:t>
            </w:r>
          </w:p>
        </w:tc>
        <w:tc>
          <w:tcPr>
            <w:tcW w:w="1517"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59,4</w:t>
            </w:r>
          </w:p>
        </w:tc>
        <w:tc>
          <w:tcPr>
            <w:tcW w:w="159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16,7</w:t>
            </w:r>
          </w:p>
        </w:tc>
        <w:tc>
          <w:tcPr>
            <w:tcW w:w="178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38,4</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tcBorders>
              <w:left w:val="none" w:sz="0" w:space="0" w:color="auto"/>
              <w:right w:val="none" w:sz="0" w:space="0" w:color="auto"/>
            </w:tcBorders>
            <w:shd w:val="clear" w:color="auto" w:fill="auto"/>
            <w:vAlign w:val="center"/>
            <w:hideMark/>
          </w:tcPr>
          <w:p w:rsidR="00B917B2" w:rsidRPr="00375EB0" w:rsidRDefault="00B917B2" w:rsidP="00B917B2">
            <w:pPr>
              <w:bidi/>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ريف الوجه البحري</w:t>
            </w:r>
          </w:p>
        </w:tc>
        <w:tc>
          <w:tcPr>
            <w:tcW w:w="151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63,0</w:t>
            </w:r>
          </w:p>
        </w:tc>
        <w:tc>
          <w:tcPr>
            <w:tcW w:w="159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21,6</w:t>
            </w:r>
          </w:p>
        </w:tc>
        <w:tc>
          <w:tcPr>
            <w:tcW w:w="178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43,1</w:t>
            </w:r>
          </w:p>
        </w:tc>
      </w:tr>
      <w:tr w:rsidR="00B917B2" w:rsidRPr="00375EB0" w:rsidTr="00B917B2">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shd w:val="clear" w:color="auto" w:fill="auto"/>
            <w:vAlign w:val="center"/>
            <w:hideMark/>
          </w:tcPr>
          <w:p w:rsidR="00B917B2" w:rsidRPr="00375EB0" w:rsidRDefault="00B917B2" w:rsidP="00B917B2">
            <w:pPr>
              <w:bidi/>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حضر الوجه القبلي</w:t>
            </w:r>
          </w:p>
        </w:tc>
        <w:tc>
          <w:tcPr>
            <w:tcW w:w="1517"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55,8</w:t>
            </w:r>
          </w:p>
        </w:tc>
        <w:tc>
          <w:tcPr>
            <w:tcW w:w="159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14,2</w:t>
            </w:r>
          </w:p>
        </w:tc>
        <w:tc>
          <w:tcPr>
            <w:tcW w:w="178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35,4</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tcBorders>
              <w:left w:val="none" w:sz="0" w:space="0" w:color="auto"/>
              <w:right w:val="none" w:sz="0" w:space="0" w:color="auto"/>
            </w:tcBorders>
            <w:shd w:val="clear" w:color="auto" w:fill="auto"/>
            <w:vAlign w:val="center"/>
            <w:hideMark/>
          </w:tcPr>
          <w:p w:rsidR="00B917B2" w:rsidRPr="00375EB0" w:rsidRDefault="00B917B2" w:rsidP="00B917B2">
            <w:pPr>
              <w:bidi/>
              <w:ind w:left="22" w:hanging="22"/>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ريف الوجه القبلي</w:t>
            </w:r>
          </w:p>
        </w:tc>
        <w:tc>
          <w:tcPr>
            <w:tcW w:w="151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64,1</w:t>
            </w:r>
          </w:p>
        </w:tc>
        <w:tc>
          <w:tcPr>
            <w:tcW w:w="159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13,7</w:t>
            </w:r>
          </w:p>
        </w:tc>
        <w:tc>
          <w:tcPr>
            <w:tcW w:w="178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39,4</w:t>
            </w:r>
          </w:p>
        </w:tc>
      </w:tr>
      <w:tr w:rsidR="00B917B2" w:rsidRPr="00375EB0" w:rsidTr="00B917B2">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shd w:val="clear" w:color="auto" w:fill="auto"/>
            <w:vAlign w:val="center"/>
            <w:hideMark/>
          </w:tcPr>
          <w:p w:rsidR="00B917B2" w:rsidRPr="00375EB0" w:rsidRDefault="00B917B2" w:rsidP="00B917B2">
            <w:pPr>
              <w:bidi/>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حضـــــر محافظات الحـــــدود</w:t>
            </w:r>
          </w:p>
        </w:tc>
        <w:tc>
          <w:tcPr>
            <w:tcW w:w="1517"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64,3</w:t>
            </w:r>
          </w:p>
        </w:tc>
        <w:tc>
          <w:tcPr>
            <w:tcW w:w="159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14,0</w:t>
            </w:r>
          </w:p>
        </w:tc>
        <w:tc>
          <w:tcPr>
            <w:tcW w:w="178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42,9</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tcBorders>
              <w:left w:val="none" w:sz="0" w:space="0" w:color="auto"/>
              <w:right w:val="none" w:sz="0" w:space="0" w:color="auto"/>
            </w:tcBorders>
            <w:shd w:val="clear" w:color="auto" w:fill="auto"/>
            <w:vAlign w:val="center"/>
            <w:hideMark/>
          </w:tcPr>
          <w:p w:rsidR="00B917B2" w:rsidRPr="00375EB0" w:rsidRDefault="00B917B2" w:rsidP="00B917B2">
            <w:pPr>
              <w:bidi/>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ريف محافظات الحـــــدود</w:t>
            </w:r>
          </w:p>
        </w:tc>
        <w:tc>
          <w:tcPr>
            <w:tcW w:w="1517"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69,4</w:t>
            </w:r>
          </w:p>
        </w:tc>
        <w:tc>
          <w:tcPr>
            <w:tcW w:w="1598"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6,0</w:t>
            </w:r>
          </w:p>
        </w:tc>
        <w:tc>
          <w:tcPr>
            <w:tcW w:w="1786" w:type="dxa"/>
            <w:tcBorders>
              <w:left w:val="none" w:sz="0" w:space="0" w:color="auto"/>
              <w:right w:val="none" w:sz="0" w:space="0" w:color="auto"/>
            </w:tcBorders>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40,4</w:t>
            </w:r>
          </w:p>
        </w:tc>
      </w:tr>
      <w:tr w:rsidR="00B917B2" w:rsidRPr="00375EB0" w:rsidTr="00B917B2">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253" w:type="dxa"/>
            <w:shd w:val="clear" w:color="auto" w:fill="auto"/>
            <w:vAlign w:val="center"/>
            <w:hideMark/>
          </w:tcPr>
          <w:p w:rsidR="00B917B2" w:rsidRPr="00375EB0" w:rsidRDefault="00B917B2" w:rsidP="00B917B2">
            <w:pPr>
              <w:bidi/>
              <w:rPr>
                <w:rFonts w:ascii="Simplified Arabic" w:hAnsi="Simplified Arabic" w:cs="Simplified Arabic"/>
                <w:color w:val="auto"/>
                <w:sz w:val="24"/>
                <w:szCs w:val="24"/>
              </w:rPr>
            </w:pPr>
            <w:r w:rsidRPr="00375EB0">
              <w:rPr>
                <w:rFonts w:ascii="Simplified Arabic" w:hAnsi="Simplified Arabic" w:cs="Simplified Arabic"/>
                <w:color w:val="auto"/>
                <w:sz w:val="24"/>
                <w:szCs w:val="24"/>
                <w:rtl/>
              </w:rPr>
              <w:t>إجمإلي الجمهورية</w:t>
            </w:r>
          </w:p>
        </w:tc>
        <w:tc>
          <w:tcPr>
            <w:tcW w:w="1517"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61,3</w:t>
            </w:r>
          </w:p>
        </w:tc>
        <w:tc>
          <w:tcPr>
            <w:tcW w:w="159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16,9</w:t>
            </w:r>
          </w:p>
        </w:tc>
        <w:tc>
          <w:tcPr>
            <w:tcW w:w="1786"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color w:val="auto"/>
                <w:sz w:val="24"/>
                <w:szCs w:val="24"/>
              </w:rPr>
            </w:pPr>
            <w:r w:rsidRPr="00375EB0">
              <w:rPr>
                <w:rFonts w:ascii="Simplified Arabic" w:hAnsi="Simplified Arabic" w:cs="Simplified Arabic"/>
                <w:b/>
                <w:bCs/>
                <w:color w:val="auto"/>
                <w:sz w:val="24"/>
                <w:szCs w:val="24"/>
              </w:rPr>
              <w:t>39,7</w:t>
            </w:r>
          </w:p>
        </w:tc>
      </w:tr>
    </w:tbl>
    <w:p w:rsidR="00B917B2" w:rsidRPr="00375EB0" w:rsidRDefault="00B917B2" w:rsidP="00B917B2">
      <w:pPr>
        <w:bidi/>
        <w:spacing w:before="120" w:after="0" w:line="240" w:lineRule="auto"/>
        <w:contextualSpacing/>
        <w:jc w:val="both"/>
        <w:rPr>
          <w:rFonts w:ascii="Simplified Arabic" w:eastAsia="Calibri" w:hAnsi="Simplified Arabic" w:cs="Simplified Arabic"/>
          <w:b/>
          <w:bCs/>
          <w:sz w:val="6"/>
          <w:szCs w:val="6"/>
          <w:rtl/>
          <w:lang w:val="en-US" w:bidi="ar-EG"/>
        </w:rPr>
      </w:pPr>
    </w:p>
    <w:p w:rsidR="00B917B2" w:rsidRPr="00375EB0" w:rsidRDefault="00B917B2" w:rsidP="00B917B2">
      <w:pPr>
        <w:bidi/>
        <w:spacing w:before="120" w:after="0" w:line="240" w:lineRule="auto"/>
        <w:ind w:left="170"/>
        <w:contextualSpacing/>
        <w:jc w:val="both"/>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 xml:space="preserve">الجهاز المركزي للتعبئة العامة والاحصاء- </w:t>
      </w:r>
      <w:r w:rsidRPr="00375EB0">
        <w:rPr>
          <w:rFonts w:ascii="Simplified Arabic" w:eastAsia="Calibri" w:hAnsi="Simplified Arabic" w:cs="Simplified Arabic" w:hint="cs"/>
          <w:rtl/>
          <w:lang w:val="en-US" w:bidi="ar-EG"/>
        </w:rPr>
        <w:t>بحث</w:t>
      </w:r>
      <w:r w:rsidRPr="00375EB0">
        <w:rPr>
          <w:rFonts w:ascii="Simplified Arabic" w:eastAsia="Calibri" w:hAnsi="Simplified Arabic" w:cs="Simplified Arabic"/>
          <w:rtl/>
          <w:lang w:val="en-US" w:bidi="ar-EG"/>
        </w:rPr>
        <w:t xml:space="preserve"> القوى العاملة، 2017.</w:t>
      </w:r>
    </w:p>
    <w:p w:rsidR="00B917B2" w:rsidRPr="00375EB0" w:rsidRDefault="00B917B2" w:rsidP="00B917B2">
      <w:pPr>
        <w:bidi/>
        <w:spacing w:before="120" w:after="0" w:line="240" w:lineRule="auto"/>
        <w:ind w:left="170"/>
        <w:contextualSpacing/>
        <w:jc w:val="both"/>
        <w:rPr>
          <w:rFonts w:ascii="Simplified Arabic" w:eastAsia="Calibri" w:hAnsi="Simplified Arabic" w:cs="Simplified Arabic"/>
          <w:sz w:val="8"/>
          <w:szCs w:val="8"/>
          <w:lang w:val="en-US" w:bidi="ar-EG"/>
        </w:rPr>
      </w:pPr>
    </w:p>
    <w:p w:rsidR="00B917B2" w:rsidRPr="00375EB0" w:rsidRDefault="00B917B2" w:rsidP="00616254">
      <w:pPr>
        <w:pStyle w:val="ListParagraph"/>
        <w:numPr>
          <w:ilvl w:val="0"/>
          <w:numId w:val="16"/>
        </w:numPr>
        <w:spacing w:after="0" w:line="240" w:lineRule="auto"/>
        <w:ind w:left="360"/>
        <w:jc w:val="both"/>
        <w:rPr>
          <w:rFonts w:ascii="Simplified Arabic" w:eastAsia="Calibri" w:hAnsi="Simplified Arabic" w:cs="Simplified Arabic"/>
          <w:b/>
          <w:bCs/>
          <w:sz w:val="30"/>
          <w:szCs w:val="30"/>
          <w:u w:val="single"/>
          <w:rtl/>
          <w:lang w:bidi="ar-EG"/>
        </w:rPr>
      </w:pPr>
      <w:r w:rsidRPr="00375EB0">
        <w:rPr>
          <w:rFonts w:ascii="Simplified Arabic" w:eastAsia="Calibri" w:hAnsi="Simplified Arabic" w:cs="Simplified Arabic"/>
          <w:b/>
          <w:bCs/>
          <w:sz w:val="30"/>
          <w:szCs w:val="30"/>
          <w:u w:val="single"/>
          <w:rtl/>
          <w:lang w:bidi="ar-EG"/>
        </w:rPr>
        <w:t>توزيع المشتغلين وفقا للحالة التعليمية:</w:t>
      </w:r>
    </w:p>
    <w:p w:rsidR="00B917B2" w:rsidRPr="00375EB0" w:rsidRDefault="00B917B2" w:rsidP="00B917B2">
      <w:pPr>
        <w:bidi/>
        <w:spacing w:after="0" w:line="240" w:lineRule="auto"/>
        <w:ind w:left="17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 xml:space="preserve">يوضح جدول (2-6) التوزيع النسبى للمشتغلين (15 سنة فأكثر) وفقا للحالة التعليمية بصفة عامة لكل فئات المشتغلين لتوضيح حركة المشتغلين بحالتهم التعليمية المختلفة بما فيهم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 xml:space="preserve">صحاب المؤهلات العليا حسب النوع الاجتماعي للأعوام 2010، 2013، 2017، لتصوير حركة المشتغلين في بداية فترة الدراسة ومنتصفها ونهايتها وتشير البيانات الى أن: </w:t>
      </w:r>
    </w:p>
    <w:p w:rsidR="00B917B2" w:rsidRPr="00375EB0" w:rsidRDefault="00B917B2" w:rsidP="00616254">
      <w:pPr>
        <w:pStyle w:val="ListParagraph"/>
        <w:numPr>
          <w:ilvl w:val="0"/>
          <w:numId w:val="17"/>
        </w:numPr>
        <w:spacing w:after="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أكبر نسبة للمشتغلين فى عام 2017 كانت للحاصلين على مؤهل متوسط فني 31,1٪، ثم المشتغلين الأميين 20,1٪، ثم المشتغلين الحاصلين على مؤهل جامعي فأكثر بنسبة بلغت 17,2٪.</w:t>
      </w:r>
    </w:p>
    <w:p w:rsidR="00B917B2" w:rsidRPr="00375EB0" w:rsidRDefault="00B917B2" w:rsidP="00616254">
      <w:pPr>
        <w:pStyle w:val="ListParagraph"/>
        <w:numPr>
          <w:ilvl w:val="0"/>
          <w:numId w:val="17"/>
        </w:numPr>
        <w:spacing w:after="0" w:line="240" w:lineRule="auto"/>
        <w:ind w:left="538" w:hanging="368"/>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 xml:space="preserve">أقل نسبة تشغيل كانت للحاصلين على ثانوية عامة أو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زهرية بنسبة بلغت 1,9٪.</w:t>
      </w:r>
    </w:p>
    <w:p w:rsidR="00B917B2" w:rsidRPr="00375EB0" w:rsidRDefault="00B917B2" w:rsidP="00616254">
      <w:pPr>
        <w:pStyle w:val="ListParagraph"/>
        <w:numPr>
          <w:ilvl w:val="0"/>
          <w:numId w:val="17"/>
        </w:numPr>
        <w:spacing w:after="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انخفضت نسبة المشتغلين الأميين من 26,5٪ عام 2010 إلى 20,1٪ عام 2017، وفى المقابل ارتفعت نسبة المشتغلين الحاصلين على مؤهل متوسط فني </w:t>
      </w:r>
      <w:r w:rsidRPr="00375EB0">
        <w:rPr>
          <w:rFonts w:ascii="Simplified Arabic" w:eastAsia="Calibri" w:hAnsi="Simplified Arabic" w:cs="Simplified Arabic"/>
          <w:sz w:val="28"/>
          <w:szCs w:val="28"/>
          <w:rtl/>
          <w:lang w:bidi="ar-EG"/>
        </w:rPr>
        <w:lastRenderedPageBreak/>
        <w:t>من 29,9٪ عام 2010 إلى 31,1٪ عام 2017، وكذلك نسبة المشتغلين الحاصلين على مؤهل جامعي من 16,8٪ إلى 17,2٪، وأيضا المشتغلين الحاصلين على مؤهل فوق المتوسط من 4,4٪ إلى 4,7٪ خلال نفس الفترة.</w:t>
      </w:r>
    </w:p>
    <w:p w:rsidR="00B917B2" w:rsidRPr="00375EB0" w:rsidRDefault="00B917B2" w:rsidP="00616254">
      <w:pPr>
        <w:pStyle w:val="ListParagraph"/>
        <w:numPr>
          <w:ilvl w:val="0"/>
          <w:numId w:val="17"/>
        </w:numPr>
        <w:spacing w:after="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ارتفعت نسبة المشتغلات الأميات مقابل المشتغلين الأميين (23,8٪ مقابل 19,2٪) عام 2017، كذلك ارتفعت نسبة الإناث الحاصلات على مؤهل جامعي فأعلى مقارنة بالذكور (26,4٪ مقابل 14,8٪).</w:t>
      </w:r>
    </w:p>
    <w:p w:rsidR="00B917B2" w:rsidRPr="00375EB0" w:rsidRDefault="00B917B2" w:rsidP="0049430E">
      <w:pPr>
        <w:bidi/>
        <w:spacing w:before="60" w:after="60" w:line="240" w:lineRule="auto"/>
        <w:jc w:val="center"/>
        <w:rPr>
          <w:rFonts w:ascii="Simplified Arabic" w:eastAsia="Calibri" w:hAnsi="Simplified Arabic" w:cs="Simplified Arabic"/>
          <w:lang w:val="en-US"/>
        </w:rPr>
      </w:pPr>
      <w:r w:rsidRPr="00375EB0">
        <w:rPr>
          <w:rFonts w:ascii="Simplified Arabic" w:eastAsia="Calibri" w:hAnsi="Simplified Arabic" w:cs="Simplified Arabic"/>
          <w:b/>
          <w:bCs/>
          <w:rtl/>
          <w:lang w:val="en-US"/>
        </w:rPr>
        <w:t>جدول (2-6) التوزيع النسبي للمشتغلين طبقا للحالة التعليمية والنوع للأعوام (2010، 2013، 2017)</w:t>
      </w:r>
    </w:p>
    <w:tbl>
      <w:tblPr>
        <w:tblStyle w:val="LightShading-Accent4"/>
        <w:tblpPr w:leftFromText="180" w:rightFromText="180" w:vertAnchor="text" w:tblpXSpec="center" w:tblpY="1"/>
        <w:tblOverlap w:val="never"/>
        <w:bidiVisual/>
        <w:tblW w:w="864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688"/>
        <w:gridCol w:w="618"/>
        <w:gridCol w:w="617"/>
        <w:gridCol w:w="700"/>
        <w:gridCol w:w="617"/>
        <w:gridCol w:w="617"/>
        <w:gridCol w:w="665"/>
        <w:gridCol w:w="709"/>
        <w:gridCol w:w="709"/>
        <w:gridCol w:w="708"/>
      </w:tblGrid>
      <w:tr w:rsidR="00B917B2" w:rsidRPr="00375EB0" w:rsidTr="0049430E">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88" w:type="dxa"/>
            <w:vMerge w:val="restart"/>
            <w:tcBorders>
              <w:top w:val="none" w:sz="0" w:space="0" w:color="auto"/>
              <w:left w:val="none" w:sz="0" w:space="0" w:color="auto"/>
              <w:bottom w:val="none" w:sz="0" w:space="0" w:color="auto"/>
              <w:right w:val="none" w:sz="0" w:space="0" w:color="auto"/>
            </w:tcBorders>
            <w:shd w:val="clear" w:color="auto" w:fill="auto"/>
            <w:vAlign w:val="center"/>
          </w:tcPr>
          <w:p w:rsidR="00B917B2" w:rsidRPr="00375EB0" w:rsidRDefault="00B917B2" w:rsidP="0049430E">
            <w:pPr>
              <w:bidi/>
              <w:spacing w:after="0"/>
              <w:jc w:val="center"/>
              <w:rPr>
                <w:rFonts w:ascii="Simplified Arabic" w:eastAsia="Times New Roman" w:hAnsi="Simplified Arabic" w:cs="Simplified Arabic"/>
                <w:color w:val="auto"/>
                <w:rtl/>
                <w:lang w:bidi="ar-EG"/>
              </w:rPr>
            </w:pPr>
            <w:r w:rsidRPr="00375EB0">
              <w:rPr>
                <w:rFonts w:ascii="Simplified Arabic" w:eastAsia="Times New Roman" w:hAnsi="Simplified Arabic" w:cs="Simplified Arabic"/>
                <w:color w:val="auto"/>
                <w:rtl/>
              </w:rPr>
              <w:t>الحالة التعليمية</w:t>
            </w:r>
          </w:p>
        </w:tc>
        <w:tc>
          <w:tcPr>
            <w:tcW w:w="1935" w:type="dxa"/>
            <w:gridSpan w:val="3"/>
            <w:tcBorders>
              <w:top w:val="none" w:sz="0" w:space="0" w:color="auto"/>
              <w:left w:val="none" w:sz="0" w:space="0" w:color="auto"/>
              <w:bottom w:val="none" w:sz="0" w:space="0" w:color="auto"/>
              <w:right w:val="none" w:sz="0" w:space="0" w:color="auto"/>
            </w:tcBorders>
            <w:shd w:val="clear" w:color="auto" w:fill="auto"/>
            <w:vAlign w:val="center"/>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2010</w:t>
            </w:r>
          </w:p>
        </w:tc>
        <w:tc>
          <w:tcPr>
            <w:tcW w:w="1899" w:type="dxa"/>
            <w:gridSpan w:val="3"/>
            <w:tcBorders>
              <w:top w:val="none" w:sz="0" w:space="0" w:color="auto"/>
              <w:left w:val="none" w:sz="0" w:space="0" w:color="auto"/>
              <w:bottom w:val="none" w:sz="0" w:space="0" w:color="auto"/>
              <w:right w:val="none" w:sz="0" w:space="0" w:color="auto"/>
            </w:tcBorders>
            <w:shd w:val="clear" w:color="auto" w:fill="auto"/>
            <w:vAlign w:val="center"/>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rtl/>
                <w:lang w:bidi="ar-EG"/>
              </w:rPr>
            </w:pPr>
            <w:r w:rsidRPr="00375EB0">
              <w:rPr>
                <w:rFonts w:ascii="Simplified Arabic" w:eastAsia="Calibri" w:hAnsi="Simplified Arabic" w:cs="Simplified Arabic"/>
                <w:color w:val="auto"/>
                <w:rtl/>
              </w:rPr>
              <w:t>2013</w:t>
            </w:r>
          </w:p>
        </w:tc>
        <w:tc>
          <w:tcPr>
            <w:tcW w:w="2126" w:type="dxa"/>
            <w:gridSpan w:val="3"/>
            <w:tcBorders>
              <w:top w:val="none" w:sz="0" w:space="0" w:color="auto"/>
              <w:left w:val="none" w:sz="0" w:space="0" w:color="auto"/>
              <w:bottom w:val="none" w:sz="0" w:space="0" w:color="auto"/>
              <w:right w:val="none" w:sz="0" w:space="0" w:color="auto"/>
            </w:tcBorders>
            <w:shd w:val="clear" w:color="auto" w:fill="auto"/>
            <w:vAlign w:val="center"/>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rtl/>
              </w:rPr>
            </w:pPr>
            <w:r w:rsidRPr="00375EB0">
              <w:rPr>
                <w:rFonts w:ascii="Simplified Arabic" w:eastAsia="Calibri" w:hAnsi="Simplified Arabic" w:cs="Simplified Arabic"/>
                <w:color w:val="auto"/>
                <w:rtl/>
              </w:rPr>
              <w:t>2017</w:t>
            </w:r>
          </w:p>
        </w:tc>
      </w:tr>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88" w:type="dxa"/>
            <w:vMerge/>
            <w:tcBorders>
              <w:left w:val="none" w:sz="0" w:space="0" w:color="auto"/>
              <w:right w:val="none" w:sz="0" w:space="0" w:color="auto"/>
            </w:tcBorders>
            <w:shd w:val="clear" w:color="auto" w:fill="auto"/>
            <w:vAlign w:val="center"/>
          </w:tcPr>
          <w:p w:rsidR="00B917B2" w:rsidRPr="00375EB0" w:rsidRDefault="00B917B2" w:rsidP="0049430E">
            <w:pPr>
              <w:bidi/>
              <w:spacing w:after="0"/>
              <w:jc w:val="center"/>
              <w:rPr>
                <w:rFonts w:ascii="Simplified Arabic" w:eastAsia="Times New Roman" w:hAnsi="Simplified Arabic" w:cs="Simplified Arabic"/>
                <w:color w:val="auto"/>
              </w:rPr>
            </w:pPr>
          </w:p>
        </w:tc>
        <w:tc>
          <w:tcPr>
            <w:tcW w:w="618"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ذكور</w:t>
            </w:r>
          </w:p>
        </w:tc>
        <w:tc>
          <w:tcPr>
            <w:tcW w:w="617"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إناث</w:t>
            </w:r>
          </w:p>
        </w:tc>
        <w:tc>
          <w:tcPr>
            <w:tcW w:w="700"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جملة</w:t>
            </w:r>
          </w:p>
        </w:tc>
        <w:tc>
          <w:tcPr>
            <w:tcW w:w="617"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ذكور</w:t>
            </w:r>
          </w:p>
        </w:tc>
        <w:tc>
          <w:tcPr>
            <w:tcW w:w="617"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إناث</w:t>
            </w:r>
          </w:p>
        </w:tc>
        <w:tc>
          <w:tcPr>
            <w:tcW w:w="665"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جملة</w:t>
            </w:r>
          </w:p>
        </w:tc>
        <w:tc>
          <w:tcPr>
            <w:tcW w:w="709"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ذكور</w:t>
            </w:r>
          </w:p>
        </w:tc>
        <w:tc>
          <w:tcPr>
            <w:tcW w:w="709"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إناث</w:t>
            </w:r>
          </w:p>
        </w:tc>
        <w:tc>
          <w:tcPr>
            <w:tcW w:w="708"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جملة</w:t>
            </w:r>
          </w:p>
        </w:tc>
      </w:tr>
      <w:tr w:rsidR="00B917B2" w:rsidRPr="00375EB0" w:rsidTr="0049430E">
        <w:trPr>
          <w:trHeight w:hRule="exact" w:val="340"/>
        </w:trPr>
        <w:tc>
          <w:tcPr>
            <w:cnfStyle w:val="001000000000" w:firstRow="0" w:lastRow="0" w:firstColumn="1" w:lastColumn="0" w:oddVBand="0" w:evenVBand="0" w:oddHBand="0" w:evenHBand="0" w:firstRowFirstColumn="0" w:firstRowLastColumn="0" w:lastRowFirstColumn="0" w:lastRowLastColumn="0"/>
            <w:tcW w:w="2688" w:type="dxa"/>
            <w:shd w:val="clear" w:color="auto" w:fill="auto"/>
            <w:vAlign w:val="center"/>
          </w:tcPr>
          <w:p w:rsidR="00B917B2" w:rsidRPr="00375EB0" w:rsidRDefault="00B917B2" w:rsidP="0049430E">
            <w:pPr>
              <w:bidi/>
              <w:spacing w:after="0"/>
              <w:ind w:left="161"/>
              <w:jc w:val="lowKashida"/>
              <w:rPr>
                <w:rFonts w:ascii="Simplified Arabic" w:eastAsia="Times New Roman" w:hAnsi="Simplified Arabic" w:cs="Simplified Arabic"/>
                <w:color w:val="auto"/>
              </w:rPr>
            </w:pPr>
            <w:bookmarkStart w:id="3" w:name="_Hlk534873892"/>
            <w:r w:rsidRPr="00375EB0">
              <w:rPr>
                <w:rFonts w:ascii="Simplified Arabic" w:eastAsia="Times New Roman" w:hAnsi="Simplified Arabic" w:cs="Simplified Arabic"/>
                <w:color w:val="auto"/>
                <w:rtl/>
              </w:rPr>
              <w:t>أمي</w:t>
            </w:r>
          </w:p>
        </w:tc>
        <w:tc>
          <w:tcPr>
            <w:tcW w:w="618"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23,9</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37,0</w:t>
            </w:r>
          </w:p>
        </w:tc>
        <w:tc>
          <w:tcPr>
            <w:tcW w:w="700"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26,5</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23,4</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35,6</w:t>
            </w:r>
          </w:p>
        </w:tc>
        <w:tc>
          <w:tcPr>
            <w:tcW w:w="665"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25,9</w:t>
            </w:r>
          </w:p>
        </w:tc>
        <w:tc>
          <w:tcPr>
            <w:tcW w:w="709"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19,2</w:t>
            </w:r>
          </w:p>
        </w:tc>
        <w:tc>
          <w:tcPr>
            <w:tcW w:w="709"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23,8</w:t>
            </w:r>
          </w:p>
        </w:tc>
        <w:tc>
          <w:tcPr>
            <w:tcW w:w="708"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Pr>
            </w:pPr>
            <w:r w:rsidRPr="00375EB0">
              <w:rPr>
                <w:rFonts w:ascii="Simplified Arabic" w:eastAsia="Calibri" w:hAnsi="Simplified Arabic" w:cs="Simplified Arabic"/>
                <w:b/>
                <w:bCs/>
                <w:color w:val="auto"/>
                <w:sz w:val="20"/>
                <w:szCs w:val="20"/>
                <w:rtl/>
              </w:rPr>
              <w:t>20,1</w:t>
            </w:r>
          </w:p>
        </w:tc>
      </w:tr>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88" w:type="dxa"/>
            <w:tcBorders>
              <w:left w:val="none" w:sz="0" w:space="0" w:color="auto"/>
              <w:right w:val="none" w:sz="0" w:space="0" w:color="auto"/>
            </w:tcBorders>
            <w:shd w:val="clear" w:color="auto" w:fill="auto"/>
            <w:vAlign w:val="center"/>
          </w:tcPr>
          <w:p w:rsidR="00B917B2" w:rsidRPr="00375EB0" w:rsidRDefault="00B917B2" w:rsidP="0049430E">
            <w:pPr>
              <w:bidi/>
              <w:spacing w:after="0"/>
              <w:ind w:left="161"/>
              <w:jc w:val="lowKashida"/>
              <w:rPr>
                <w:rFonts w:ascii="Simplified Arabic" w:eastAsia="Times New Roman" w:hAnsi="Simplified Arabic" w:cs="Simplified Arabic"/>
                <w:color w:val="auto"/>
                <w:sz w:val="20"/>
                <w:szCs w:val="20"/>
              </w:rPr>
            </w:pPr>
            <w:r w:rsidRPr="00375EB0">
              <w:rPr>
                <w:rFonts w:ascii="Simplified Arabic" w:eastAsia="Times New Roman" w:hAnsi="Simplified Arabic" w:cs="Simplified Arabic"/>
                <w:color w:val="auto"/>
                <w:sz w:val="20"/>
                <w:szCs w:val="20"/>
                <w:rtl/>
              </w:rPr>
              <w:t>يقرأ ويكتب وشهادة محو الأمية</w:t>
            </w:r>
          </w:p>
        </w:tc>
        <w:tc>
          <w:tcPr>
            <w:tcW w:w="618"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11,4</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4,4</w:t>
            </w:r>
          </w:p>
        </w:tc>
        <w:tc>
          <w:tcPr>
            <w:tcW w:w="700"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10,0</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11,0</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3,6</w:t>
            </w:r>
          </w:p>
        </w:tc>
        <w:tc>
          <w:tcPr>
            <w:tcW w:w="665"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9,5</w:t>
            </w:r>
          </w:p>
        </w:tc>
        <w:tc>
          <w:tcPr>
            <w:tcW w:w="709"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12,4</w:t>
            </w:r>
          </w:p>
        </w:tc>
        <w:tc>
          <w:tcPr>
            <w:tcW w:w="709"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4,7</w:t>
            </w:r>
          </w:p>
        </w:tc>
        <w:tc>
          <w:tcPr>
            <w:tcW w:w="708"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Pr>
            </w:pPr>
            <w:r w:rsidRPr="00375EB0">
              <w:rPr>
                <w:rFonts w:ascii="Simplified Arabic" w:eastAsia="Calibri" w:hAnsi="Simplified Arabic" w:cs="Simplified Arabic"/>
                <w:b/>
                <w:bCs/>
                <w:color w:val="auto"/>
                <w:sz w:val="20"/>
                <w:szCs w:val="20"/>
                <w:rtl/>
              </w:rPr>
              <w:t>10,8</w:t>
            </w:r>
          </w:p>
        </w:tc>
      </w:tr>
      <w:tr w:rsidR="00B917B2" w:rsidRPr="00375EB0" w:rsidTr="0049430E">
        <w:trPr>
          <w:trHeight w:hRule="exact" w:val="340"/>
        </w:trPr>
        <w:tc>
          <w:tcPr>
            <w:cnfStyle w:val="001000000000" w:firstRow="0" w:lastRow="0" w:firstColumn="1" w:lastColumn="0" w:oddVBand="0" w:evenVBand="0" w:oddHBand="0" w:evenHBand="0" w:firstRowFirstColumn="0" w:firstRowLastColumn="0" w:lastRowFirstColumn="0" w:lastRowLastColumn="0"/>
            <w:tcW w:w="2688" w:type="dxa"/>
            <w:shd w:val="clear" w:color="auto" w:fill="auto"/>
            <w:vAlign w:val="center"/>
          </w:tcPr>
          <w:p w:rsidR="00B917B2" w:rsidRPr="00375EB0" w:rsidRDefault="00B917B2" w:rsidP="0049430E">
            <w:pPr>
              <w:bidi/>
              <w:spacing w:after="0"/>
              <w:ind w:left="161"/>
              <w:jc w:val="lowKashida"/>
              <w:rPr>
                <w:rFonts w:ascii="Simplified Arabic" w:eastAsia="Times New Roman" w:hAnsi="Simplified Arabic" w:cs="Simplified Arabic"/>
                <w:color w:val="auto"/>
                <w:sz w:val="20"/>
                <w:szCs w:val="20"/>
                <w:rtl/>
                <w:lang w:bidi="ar-EG"/>
              </w:rPr>
            </w:pPr>
            <w:r w:rsidRPr="00375EB0">
              <w:rPr>
                <w:rFonts w:ascii="Simplified Arabic" w:eastAsia="Times New Roman" w:hAnsi="Simplified Arabic" w:cs="Simplified Arabic"/>
                <w:color w:val="auto"/>
                <w:sz w:val="20"/>
                <w:szCs w:val="20"/>
                <w:rtl/>
              </w:rPr>
              <w:t>مؤهل أقــــــل مـــــن المتوسط</w:t>
            </w:r>
          </w:p>
        </w:tc>
        <w:tc>
          <w:tcPr>
            <w:tcW w:w="618"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12,7</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3,9</w:t>
            </w:r>
          </w:p>
        </w:tc>
        <w:tc>
          <w:tcPr>
            <w:tcW w:w="700"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10,9</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13,5</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5,2</w:t>
            </w:r>
          </w:p>
        </w:tc>
        <w:tc>
          <w:tcPr>
            <w:tcW w:w="665"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11,8</w:t>
            </w:r>
          </w:p>
        </w:tc>
        <w:tc>
          <w:tcPr>
            <w:tcW w:w="709"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14,6</w:t>
            </w:r>
          </w:p>
        </w:tc>
        <w:tc>
          <w:tcPr>
            <w:tcW w:w="709"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12,6</w:t>
            </w:r>
          </w:p>
        </w:tc>
        <w:tc>
          <w:tcPr>
            <w:tcW w:w="708"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Pr>
            </w:pPr>
            <w:r w:rsidRPr="00375EB0">
              <w:rPr>
                <w:rFonts w:ascii="Simplified Arabic" w:eastAsia="Calibri" w:hAnsi="Simplified Arabic" w:cs="Simplified Arabic"/>
                <w:b/>
                <w:bCs/>
                <w:color w:val="auto"/>
                <w:sz w:val="20"/>
                <w:szCs w:val="20"/>
                <w:rtl/>
              </w:rPr>
              <w:t>14,2</w:t>
            </w:r>
          </w:p>
        </w:tc>
      </w:tr>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88" w:type="dxa"/>
            <w:tcBorders>
              <w:left w:val="none" w:sz="0" w:space="0" w:color="auto"/>
              <w:right w:val="none" w:sz="0" w:space="0" w:color="auto"/>
            </w:tcBorders>
            <w:shd w:val="clear" w:color="auto" w:fill="auto"/>
            <w:vAlign w:val="center"/>
          </w:tcPr>
          <w:p w:rsidR="00B917B2" w:rsidRPr="00375EB0" w:rsidRDefault="00B917B2" w:rsidP="0049430E">
            <w:pPr>
              <w:bidi/>
              <w:spacing w:after="0"/>
              <w:ind w:left="161"/>
              <w:jc w:val="lowKashida"/>
              <w:rPr>
                <w:rFonts w:ascii="Simplified Arabic" w:eastAsia="Times New Roman" w:hAnsi="Simplified Arabic" w:cs="Simplified Arabic"/>
                <w:color w:val="auto"/>
                <w:sz w:val="20"/>
                <w:szCs w:val="20"/>
              </w:rPr>
            </w:pPr>
            <w:r w:rsidRPr="00375EB0">
              <w:rPr>
                <w:rFonts w:ascii="Simplified Arabic" w:eastAsia="Times New Roman" w:hAnsi="Simplified Arabic" w:cs="Simplified Arabic"/>
                <w:color w:val="auto"/>
                <w:sz w:val="20"/>
                <w:szCs w:val="20"/>
                <w:rtl/>
              </w:rPr>
              <w:t>ثانوية عامة وثانوية أزهرية</w:t>
            </w:r>
          </w:p>
        </w:tc>
        <w:tc>
          <w:tcPr>
            <w:tcW w:w="618"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0,6</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0,9</w:t>
            </w:r>
          </w:p>
        </w:tc>
        <w:tc>
          <w:tcPr>
            <w:tcW w:w="700"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1,5</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1,7</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0,6</w:t>
            </w:r>
          </w:p>
        </w:tc>
        <w:tc>
          <w:tcPr>
            <w:tcW w:w="665"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1,5</w:t>
            </w:r>
          </w:p>
        </w:tc>
        <w:tc>
          <w:tcPr>
            <w:tcW w:w="709"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1,9</w:t>
            </w:r>
          </w:p>
        </w:tc>
        <w:tc>
          <w:tcPr>
            <w:tcW w:w="709"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1,8</w:t>
            </w:r>
          </w:p>
        </w:tc>
        <w:tc>
          <w:tcPr>
            <w:tcW w:w="708"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Pr>
            </w:pPr>
            <w:r w:rsidRPr="00375EB0">
              <w:rPr>
                <w:rFonts w:ascii="Simplified Arabic" w:eastAsia="Calibri" w:hAnsi="Simplified Arabic" w:cs="Simplified Arabic"/>
                <w:b/>
                <w:bCs/>
                <w:color w:val="auto"/>
                <w:sz w:val="20"/>
                <w:szCs w:val="20"/>
                <w:rtl/>
              </w:rPr>
              <w:t>1,9</w:t>
            </w:r>
          </w:p>
        </w:tc>
      </w:tr>
      <w:tr w:rsidR="00B917B2" w:rsidRPr="00375EB0" w:rsidTr="0049430E">
        <w:trPr>
          <w:trHeight w:hRule="exact" w:val="340"/>
        </w:trPr>
        <w:tc>
          <w:tcPr>
            <w:cnfStyle w:val="001000000000" w:firstRow="0" w:lastRow="0" w:firstColumn="1" w:lastColumn="0" w:oddVBand="0" w:evenVBand="0" w:oddHBand="0" w:evenHBand="0" w:firstRowFirstColumn="0" w:firstRowLastColumn="0" w:lastRowFirstColumn="0" w:lastRowLastColumn="0"/>
            <w:tcW w:w="2688" w:type="dxa"/>
            <w:shd w:val="clear" w:color="auto" w:fill="auto"/>
            <w:vAlign w:val="center"/>
          </w:tcPr>
          <w:p w:rsidR="00B917B2" w:rsidRPr="00375EB0" w:rsidRDefault="00B917B2" w:rsidP="0049430E">
            <w:pPr>
              <w:bidi/>
              <w:spacing w:after="0"/>
              <w:ind w:left="161"/>
              <w:jc w:val="lowKashida"/>
              <w:rPr>
                <w:rFonts w:ascii="Simplified Arabic" w:eastAsia="Times New Roman" w:hAnsi="Simplified Arabic" w:cs="Simplified Arabic"/>
                <w:color w:val="auto"/>
                <w:sz w:val="20"/>
                <w:szCs w:val="20"/>
              </w:rPr>
            </w:pPr>
            <w:r w:rsidRPr="00375EB0">
              <w:rPr>
                <w:rFonts w:ascii="Simplified Arabic" w:eastAsia="Times New Roman" w:hAnsi="Simplified Arabic" w:cs="Simplified Arabic"/>
                <w:color w:val="auto"/>
                <w:sz w:val="20"/>
                <w:szCs w:val="20"/>
                <w:rtl/>
              </w:rPr>
              <w:t>مؤهل متوسط فني</w:t>
            </w:r>
          </w:p>
        </w:tc>
        <w:tc>
          <w:tcPr>
            <w:tcW w:w="618"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31,2</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24,5</w:t>
            </w:r>
          </w:p>
        </w:tc>
        <w:tc>
          <w:tcPr>
            <w:tcW w:w="700"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29,9</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31,6</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25,6</w:t>
            </w:r>
          </w:p>
        </w:tc>
        <w:tc>
          <w:tcPr>
            <w:tcW w:w="665"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30,4</w:t>
            </w:r>
          </w:p>
        </w:tc>
        <w:tc>
          <w:tcPr>
            <w:tcW w:w="709"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32,4</w:t>
            </w:r>
          </w:p>
        </w:tc>
        <w:tc>
          <w:tcPr>
            <w:tcW w:w="709"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26,1</w:t>
            </w:r>
          </w:p>
        </w:tc>
        <w:tc>
          <w:tcPr>
            <w:tcW w:w="708"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Pr>
            </w:pPr>
            <w:r w:rsidRPr="00375EB0">
              <w:rPr>
                <w:rFonts w:ascii="Simplified Arabic" w:eastAsia="Calibri" w:hAnsi="Simplified Arabic" w:cs="Simplified Arabic"/>
                <w:b/>
                <w:bCs/>
                <w:color w:val="auto"/>
                <w:sz w:val="20"/>
                <w:szCs w:val="20"/>
                <w:rtl/>
              </w:rPr>
              <w:t>31,1</w:t>
            </w:r>
          </w:p>
        </w:tc>
      </w:tr>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88" w:type="dxa"/>
            <w:tcBorders>
              <w:left w:val="none" w:sz="0" w:space="0" w:color="auto"/>
              <w:right w:val="none" w:sz="0" w:space="0" w:color="auto"/>
            </w:tcBorders>
            <w:shd w:val="clear" w:color="auto" w:fill="auto"/>
            <w:vAlign w:val="center"/>
          </w:tcPr>
          <w:p w:rsidR="00B917B2" w:rsidRPr="00375EB0" w:rsidRDefault="00B917B2" w:rsidP="0049430E">
            <w:pPr>
              <w:bidi/>
              <w:spacing w:after="0"/>
              <w:ind w:left="161"/>
              <w:jc w:val="lowKashida"/>
              <w:rPr>
                <w:rFonts w:ascii="Simplified Arabic" w:eastAsia="Times New Roman" w:hAnsi="Simplified Arabic" w:cs="Simplified Arabic"/>
                <w:color w:val="auto"/>
                <w:sz w:val="20"/>
                <w:szCs w:val="20"/>
              </w:rPr>
            </w:pPr>
            <w:r w:rsidRPr="00375EB0">
              <w:rPr>
                <w:rFonts w:ascii="Simplified Arabic" w:eastAsia="Times New Roman" w:hAnsi="Simplified Arabic" w:cs="Simplified Arabic"/>
                <w:color w:val="auto"/>
                <w:sz w:val="20"/>
                <w:szCs w:val="20"/>
                <w:rtl/>
              </w:rPr>
              <w:t>مؤهـل فوق متوسط وأقل من الجامعى</w:t>
            </w:r>
          </w:p>
        </w:tc>
        <w:tc>
          <w:tcPr>
            <w:tcW w:w="618"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4,2</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5,2</w:t>
            </w:r>
          </w:p>
        </w:tc>
        <w:tc>
          <w:tcPr>
            <w:tcW w:w="700"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4,4</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4,1</w:t>
            </w:r>
          </w:p>
        </w:tc>
        <w:tc>
          <w:tcPr>
            <w:tcW w:w="617"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4,5</w:t>
            </w:r>
          </w:p>
        </w:tc>
        <w:tc>
          <w:tcPr>
            <w:tcW w:w="665"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4,1</w:t>
            </w:r>
          </w:p>
        </w:tc>
        <w:tc>
          <w:tcPr>
            <w:tcW w:w="709"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4,7</w:t>
            </w:r>
          </w:p>
        </w:tc>
        <w:tc>
          <w:tcPr>
            <w:tcW w:w="709"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4,6</w:t>
            </w:r>
          </w:p>
        </w:tc>
        <w:tc>
          <w:tcPr>
            <w:tcW w:w="708" w:type="dxa"/>
            <w:tcBorders>
              <w:left w:val="none" w:sz="0" w:space="0" w:color="auto"/>
              <w:right w:val="none" w:sz="0" w:space="0" w:color="auto"/>
            </w:tcBorders>
            <w:shd w:val="clear" w:color="auto" w:fill="auto"/>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0"/>
                <w:szCs w:val="20"/>
              </w:rPr>
            </w:pPr>
            <w:r w:rsidRPr="00375EB0">
              <w:rPr>
                <w:rFonts w:ascii="Simplified Arabic" w:eastAsia="Calibri" w:hAnsi="Simplified Arabic" w:cs="Simplified Arabic"/>
                <w:b/>
                <w:bCs/>
                <w:color w:val="auto"/>
                <w:sz w:val="20"/>
                <w:szCs w:val="20"/>
                <w:rtl/>
              </w:rPr>
              <w:t>4,7</w:t>
            </w:r>
          </w:p>
        </w:tc>
      </w:tr>
      <w:tr w:rsidR="00B917B2" w:rsidRPr="00375EB0" w:rsidTr="0049430E">
        <w:trPr>
          <w:trHeight w:hRule="exact" w:val="340"/>
        </w:trPr>
        <w:tc>
          <w:tcPr>
            <w:cnfStyle w:val="001000000000" w:firstRow="0" w:lastRow="0" w:firstColumn="1" w:lastColumn="0" w:oddVBand="0" w:evenVBand="0" w:oddHBand="0" w:evenHBand="0" w:firstRowFirstColumn="0" w:firstRowLastColumn="0" w:lastRowFirstColumn="0" w:lastRowLastColumn="0"/>
            <w:tcW w:w="2688" w:type="dxa"/>
            <w:shd w:val="clear" w:color="auto" w:fill="auto"/>
            <w:vAlign w:val="center"/>
          </w:tcPr>
          <w:p w:rsidR="00B917B2" w:rsidRPr="00375EB0" w:rsidRDefault="00B917B2" w:rsidP="0049430E">
            <w:pPr>
              <w:bidi/>
              <w:spacing w:after="0"/>
              <w:ind w:left="161"/>
              <w:jc w:val="lowKashida"/>
              <w:rPr>
                <w:rFonts w:ascii="Simplified Arabic" w:eastAsia="Times New Roman" w:hAnsi="Simplified Arabic" w:cs="Simplified Arabic"/>
                <w:color w:val="auto"/>
                <w:sz w:val="20"/>
                <w:szCs w:val="20"/>
              </w:rPr>
            </w:pPr>
            <w:r w:rsidRPr="00375EB0">
              <w:rPr>
                <w:rFonts w:ascii="Simplified Arabic" w:eastAsia="Times New Roman" w:hAnsi="Simplified Arabic" w:cs="Simplified Arabic"/>
                <w:color w:val="auto"/>
                <w:sz w:val="20"/>
                <w:szCs w:val="20"/>
                <w:rtl/>
              </w:rPr>
              <w:t>مؤهل جامعي وفــوق الجامعى</w:t>
            </w:r>
          </w:p>
        </w:tc>
        <w:tc>
          <w:tcPr>
            <w:tcW w:w="618"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15,0</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24,1</w:t>
            </w:r>
          </w:p>
        </w:tc>
        <w:tc>
          <w:tcPr>
            <w:tcW w:w="700"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16,8</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14,7</w:t>
            </w:r>
          </w:p>
        </w:tc>
        <w:tc>
          <w:tcPr>
            <w:tcW w:w="617"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24,9</w:t>
            </w:r>
          </w:p>
        </w:tc>
        <w:tc>
          <w:tcPr>
            <w:tcW w:w="665"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16,8</w:t>
            </w:r>
          </w:p>
        </w:tc>
        <w:tc>
          <w:tcPr>
            <w:tcW w:w="709"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14,8</w:t>
            </w:r>
          </w:p>
        </w:tc>
        <w:tc>
          <w:tcPr>
            <w:tcW w:w="709"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tl/>
              </w:rPr>
            </w:pPr>
            <w:r w:rsidRPr="00375EB0">
              <w:rPr>
                <w:rFonts w:ascii="Simplified Arabic" w:eastAsia="Calibri" w:hAnsi="Simplified Arabic" w:cs="Simplified Arabic"/>
                <w:b/>
                <w:bCs/>
                <w:color w:val="auto"/>
                <w:sz w:val="20"/>
                <w:szCs w:val="20"/>
                <w:rtl/>
              </w:rPr>
              <w:t>26,4</w:t>
            </w:r>
          </w:p>
        </w:tc>
        <w:tc>
          <w:tcPr>
            <w:tcW w:w="708" w:type="dxa"/>
            <w:shd w:val="clear" w:color="auto" w:fill="auto"/>
          </w:tcPr>
          <w:p w:rsidR="00B917B2" w:rsidRPr="00375EB0" w:rsidRDefault="00B917B2" w:rsidP="0049430E">
            <w:pPr>
              <w:bidi/>
              <w:spacing w:after="0"/>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0"/>
                <w:szCs w:val="20"/>
              </w:rPr>
            </w:pPr>
            <w:r w:rsidRPr="00375EB0">
              <w:rPr>
                <w:rFonts w:ascii="Simplified Arabic" w:eastAsia="Calibri" w:hAnsi="Simplified Arabic" w:cs="Simplified Arabic"/>
                <w:b/>
                <w:bCs/>
                <w:color w:val="auto"/>
                <w:sz w:val="20"/>
                <w:szCs w:val="20"/>
                <w:rtl/>
              </w:rPr>
              <w:t>17,2</w:t>
            </w:r>
          </w:p>
        </w:tc>
      </w:tr>
      <w:bookmarkEnd w:id="3"/>
      <w:tr w:rsidR="00B917B2" w:rsidRPr="00375EB0" w:rsidTr="0049430E">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88" w:type="dxa"/>
            <w:tcBorders>
              <w:left w:val="none" w:sz="0" w:space="0" w:color="auto"/>
              <w:right w:val="none" w:sz="0" w:space="0" w:color="auto"/>
            </w:tcBorders>
            <w:shd w:val="clear" w:color="auto" w:fill="auto"/>
            <w:vAlign w:val="center"/>
          </w:tcPr>
          <w:p w:rsidR="00B917B2" w:rsidRPr="00375EB0" w:rsidRDefault="00B917B2" w:rsidP="0049430E">
            <w:pPr>
              <w:bidi/>
              <w:spacing w:after="0"/>
              <w:jc w:val="center"/>
              <w:rPr>
                <w:rFonts w:ascii="Simplified Arabic" w:eastAsia="Times New Roman" w:hAnsi="Simplified Arabic" w:cs="Simplified Arabic"/>
                <w:color w:val="auto"/>
                <w:rtl/>
              </w:rPr>
            </w:pPr>
            <w:r w:rsidRPr="00375EB0">
              <w:rPr>
                <w:rFonts w:ascii="Simplified Arabic" w:eastAsia="Times New Roman" w:hAnsi="Simplified Arabic" w:cs="Simplified Arabic"/>
                <w:color w:val="auto"/>
                <w:rtl/>
              </w:rPr>
              <w:t>الاجمالى</w:t>
            </w:r>
          </w:p>
        </w:tc>
        <w:tc>
          <w:tcPr>
            <w:tcW w:w="618"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c>
          <w:tcPr>
            <w:tcW w:w="617"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c>
          <w:tcPr>
            <w:tcW w:w="700"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c>
          <w:tcPr>
            <w:tcW w:w="617"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c>
          <w:tcPr>
            <w:tcW w:w="617"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c>
          <w:tcPr>
            <w:tcW w:w="665"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c>
          <w:tcPr>
            <w:tcW w:w="709"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c>
          <w:tcPr>
            <w:tcW w:w="709"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c>
          <w:tcPr>
            <w:tcW w:w="708" w:type="dxa"/>
            <w:tcBorders>
              <w:left w:val="none" w:sz="0" w:space="0" w:color="auto"/>
              <w:right w:val="none" w:sz="0" w:space="0" w:color="auto"/>
            </w:tcBorders>
            <w:shd w:val="clear" w:color="auto" w:fill="auto"/>
            <w:vAlign w:val="center"/>
          </w:tcPr>
          <w:p w:rsidR="00B917B2" w:rsidRPr="00375EB0" w:rsidRDefault="00B917B2" w:rsidP="0049430E">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tl/>
              </w:rPr>
            </w:pPr>
            <w:r w:rsidRPr="00375EB0">
              <w:rPr>
                <w:rFonts w:ascii="Simplified Arabic" w:eastAsia="Times New Roman" w:hAnsi="Simplified Arabic" w:cs="Simplified Arabic"/>
                <w:b/>
                <w:bCs/>
                <w:color w:val="auto"/>
                <w:sz w:val="20"/>
                <w:szCs w:val="20"/>
                <w:rtl/>
              </w:rPr>
              <w:t>100</w:t>
            </w:r>
          </w:p>
        </w:tc>
      </w:tr>
    </w:tbl>
    <w:p w:rsidR="00B917B2" w:rsidRPr="00375EB0" w:rsidRDefault="00B917B2" w:rsidP="00B917B2">
      <w:pPr>
        <w:bidi/>
        <w:spacing w:after="0" w:line="240" w:lineRule="auto"/>
        <w:ind w:left="-596"/>
        <w:rPr>
          <w:rFonts w:ascii="Simplified Arabic" w:eastAsia="Times New Roman" w:hAnsi="Simplified Arabic" w:cs="Simplified Arabic"/>
          <w:b/>
          <w:bCs/>
          <w:sz w:val="32"/>
          <w:szCs w:val="32"/>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 xml:space="preserve">الجهاز المركزي للتعبئة العامة والاحصاء- </w:t>
      </w:r>
      <w:r w:rsidRPr="00375EB0">
        <w:rPr>
          <w:rFonts w:ascii="Simplified Arabic" w:eastAsia="Calibri" w:hAnsi="Simplified Arabic" w:cs="Simplified Arabic" w:hint="cs"/>
          <w:rtl/>
          <w:lang w:val="en-US" w:bidi="ar-EG"/>
        </w:rPr>
        <w:t>بحث</w:t>
      </w:r>
      <w:r w:rsidRPr="00375EB0">
        <w:rPr>
          <w:rFonts w:ascii="Simplified Arabic" w:eastAsia="Calibri" w:hAnsi="Simplified Arabic" w:cs="Simplified Arabic"/>
          <w:rtl/>
          <w:lang w:val="en-US" w:bidi="ar-EG"/>
        </w:rPr>
        <w:t xml:space="preserve"> القوى العاملة، للسنوات</w:t>
      </w:r>
      <w:r w:rsidRPr="00375EB0">
        <w:rPr>
          <w:rFonts w:ascii="Simplified Arabic" w:eastAsia="Calibri" w:hAnsi="Simplified Arabic" w:cs="Simplified Arabic" w:hint="cs"/>
          <w:rtl/>
          <w:lang w:val="en-US" w:bidi="ar-EG"/>
        </w:rPr>
        <w:t xml:space="preserve"> </w:t>
      </w:r>
      <w:r w:rsidRPr="00375EB0">
        <w:rPr>
          <w:rFonts w:ascii="Simplified Arabic" w:eastAsia="Calibri" w:hAnsi="Simplified Arabic" w:cs="Simplified Arabic"/>
          <w:rtl/>
          <w:lang w:val="en-US" w:bidi="ar-EG"/>
        </w:rPr>
        <w:t>(2010 – 2013 – 2017)</w:t>
      </w:r>
      <w:r w:rsidRPr="00375EB0">
        <w:rPr>
          <w:rFonts w:ascii="Simplified Arabic" w:eastAsia="Calibri" w:hAnsi="Simplified Arabic" w:cs="Simplified Arabic" w:hint="cs"/>
          <w:rtl/>
          <w:lang w:val="en-US" w:bidi="ar-EG"/>
        </w:rPr>
        <w:t>.</w:t>
      </w:r>
    </w:p>
    <w:p w:rsidR="00B917B2" w:rsidRPr="00375EB0" w:rsidRDefault="00B917B2" w:rsidP="00616254">
      <w:pPr>
        <w:pStyle w:val="ListParagraph"/>
        <w:numPr>
          <w:ilvl w:val="0"/>
          <w:numId w:val="16"/>
        </w:numPr>
        <w:spacing w:before="120" w:after="0" w:line="240" w:lineRule="auto"/>
        <w:ind w:left="360"/>
        <w:rPr>
          <w:rFonts w:ascii="Simplified Arabic" w:eastAsia="Times New Roman" w:hAnsi="Simplified Arabic" w:cs="Simplified Arabic"/>
          <w:b/>
          <w:bCs/>
          <w:sz w:val="32"/>
          <w:szCs w:val="32"/>
          <w:rtl/>
          <w:lang w:bidi="ar-EG"/>
        </w:rPr>
      </w:pPr>
      <w:r w:rsidRPr="00375EB0">
        <w:rPr>
          <w:rFonts w:ascii="Simplified Arabic" w:eastAsia="Times New Roman" w:hAnsi="Simplified Arabic" w:cs="Simplified Arabic"/>
          <w:b/>
          <w:bCs/>
          <w:sz w:val="32"/>
          <w:szCs w:val="32"/>
          <w:u w:val="single"/>
          <w:rtl/>
          <w:lang w:bidi="ar-EG"/>
        </w:rPr>
        <w:t>تحليل البطالة</w:t>
      </w:r>
      <w:r w:rsidRPr="00375EB0">
        <w:rPr>
          <w:rFonts w:ascii="Simplified Arabic" w:eastAsia="Times New Roman" w:hAnsi="Simplified Arabic" w:cs="Simplified Arabic"/>
          <w:b/>
          <w:bCs/>
          <w:sz w:val="32"/>
          <w:szCs w:val="32"/>
          <w:rtl/>
          <w:lang w:bidi="ar-EG"/>
        </w:rPr>
        <w:t>:</w:t>
      </w:r>
    </w:p>
    <w:p w:rsidR="00B917B2" w:rsidRPr="00375EB0" w:rsidRDefault="00B917B2" w:rsidP="00B917B2">
      <w:pPr>
        <w:bidi/>
        <w:spacing w:after="0" w:line="240" w:lineRule="auto"/>
        <w:ind w:left="170" w:firstLine="720"/>
        <w:jc w:val="both"/>
        <w:rPr>
          <w:rFonts w:ascii="Simplified Arabic" w:eastAsia="Times New Roman" w:hAnsi="Simplified Arabic" w:cs="Simplified Arabic"/>
          <w:sz w:val="28"/>
          <w:szCs w:val="28"/>
          <w:rtl/>
          <w:lang w:val="en-US"/>
        </w:rPr>
      </w:pPr>
      <w:r w:rsidRPr="00375EB0">
        <w:rPr>
          <w:rFonts w:ascii="Simplified Arabic" w:eastAsia="Times New Roman" w:hAnsi="Simplified Arabic" w:cs="Simplified Arabic"/>
          <w:sz w:val="28"/>
          <w:szCs w:val="28"/>
          <w:rtl/>
          <w:lang w:val="en-US"/>
        </w:rPr>
        <w:t xml:space="preserve">تعد البطالة أحد أبرز مظاهر اختلال سوق العمل الذي يعكس حالة من عدم التوازن في الاقتصاد القومي، والخلل في سوق العمل يحدث </w:t>
      </w:r>
      <w:r w:rsidRPr="00375EB0">
        <w:rPr>
          <w:rFonts w:ascii="Simplified Arabic" w:eastAsia="Times New Roman" w:hAnsi="Simplified Arabic" w:cs="Simplified Arabic" w:hint="cs"/>
          <w:sz w:val="28"/>
          <w:szCs w:val="28"/>
          <w:rtl/>
          <w:lang w:val="en-US"/>
        </w:rPr>
        <w:t>إ</w:t>
      </w:r>
      <w:r w:rsidRPr="00375EB0">
        <w:rPr>
          <w:rFonts w:ascii="Simplified Arabic" w:eastAsia="Times New Roman" w:hAnsi="Simplified Arabic" w:cs="Simplified Arabic"/>
          <w:sz w:val="28"/>
          <w:szCs w:val="28"/>
          <w:rtl/>
          <w:lang w:val="en-US"/>
        </w:rPr>
        <w:t xml:space="preserve">ما لعجز الاقتصاد القومي عن توفير الاستثمارات المولدة لفرص العمل اللازمة، أو عدم ملائمة مخرجات المؤسسات التعليمية والتدريب لاحتياجات سوق العمل أو لعدم قدرة </w:t>
      </w:r>
      <w:r w:rsidRPr="00375EB0">
        <w:rPr>
          <w:rFonts w:ascii="Simplified Arabic" w:eastAsia="Times New Roman" w:hAnsi="Simplified Arabic" w:cs="Simplified Arabic" w:hint="cs"/>
          <w:sz w:val="28"/>
          <w:szCs w:val="28"/>
          <w:rtl/>
          <w:lang w:val="en-US"/>
        </w:rPr>
        <w:t>أ</w:t>
      </w:r>
      <w:r w:rsidRPr="00375EB0">
        <w:rPr>
          <w:rFonts w:ascii="Simplified Arabic" w:eastAsia="Times New Roman" w:hAnsi="Simplified Arabic" w:cs="Simplified Arabic"/>
          <w:sz w:val="28"/>
          <w:szCs w:val="28"/>
          <w:rtl/>
          <w:lang w:val="en-US"/>
        </w:rPr>
        <w:t>جهزة التشغيل والاستخدام علي القيام بمسئولياتها تجاه سد الثغرة بين العرض والطلب وذلك لزيادة المعروض من القوة العاملة نتيجة الزيادة السكانية السريعة ونقص الطلب لعدم قدرة السوق علي خلق وظائف أو فرص عمل لكل القادرين والراغبين في العمل، فالبطالة هي عدم قدرة التوظيف الكامل للقوي البشرية واهدار لمواردها وتعرضها لكثير من ال</w:t>
      </w:r>
      <w:r w:rsidRPr="00375EB0">
        <w:rPr>
          <w:rFonts w:ascii="Simplified Arabic" w:eastAsia="Times New Roman" w:hAnsi="Simplified Arabic" w:cs="Simplified Arabic" w:hint="cs"/>
          <w:sz w:val="28"/>
          <w:szCs w:val="28"/>
          <w:rtl/>
          <w:lang w:val="en-US"/>
        </w:rPr>
        <w:t>أ</w:t>
      </w:r>
      <w:r w:rsidRPr="00375EB0">
        <w:rPr>
          <w:rFonts w:ascii="Simplified Arabic" w:eastAsia="Times New Roman" w:hAnsi="Simplified Arabic" w:cs="Simplified Arabic"/>
          <w:sz w:val="28"/>
          <w:szCs w:val="28"/>
          <w:rtl/>
          <w:lang w:val="en-US"/>
        </w:rPr>
        <w:t>ضرار الاجتماعية.</w:t>
      </w:r>
    </w:p>
    <w:p w:rsidR="00B917B2" w:rsidRPr="00375EB0" w:rsidRDefault="00B917B2" w:rsidP="00B917B2">
      <w:pPr>
        <w:bidi/>
        <w:spacing w:after="0" w:line="240" w:lineRule="auto"/>
        <w:ind w:left="170" w:firstLine="720"/>
        <w:jc w:val="both"/>
        <w:rPr>
          <w:rFonts w:ascii="Simplified Arabic" w:eastAsia="Times New Roman" w:hAnsi="Simplified Arabic" w:cs="Simplified Arabic"/>
          <w:sz w:val="28"/>
          <w:szCs w:val="28"/>
          <w:rtl/>
          <w:lang w:val="en-US" w:bidi="ar-EG"/>
        </w:rPr>
      </w:pPr>
      <w:r w:rsidRPr="00375EB0">
        <w:rPr>
          <w:rFonts w:ascii="Simplified Arabic" w:eastAsia="Times New Roman" w:hAnsi="Simplified Arabic" w:cs="Simplified Arabic"/>
          <w:sz w:val="28"/>
          <w:szCs w:val="28"/>
          <w:rtl/>
          <w:lang w:val="en-US"/>
        </w:rPr>
        <w:lastRenderedPageBreak/>
        <w:t xml:space="preserve">كما </w:t>
      </w:r>
      <w:r w:rsidRPr="00375EB0">
        <w:rPr>
          <w:rFonts w:ascii="Simplified Arabic" w:eastAsia="Times New Roman" w:hAnsi="Simplified Arabic" w:cs="Simplified Arabic" w:hint="cs"/>
          <w:sz w:val="28"/>
          <w:szCs w:val="28"/>
          <w:rtl/>
          <w:lang w:val="en-US"/>
        </w:rPr>
        <w:t>أ</w:t>
      </w:r>
      <w:r w:rsidRPr="00375EB0">
        <w:rPr>
          <w:rFonts w:ascii="Simplified Arabic" w:eastAsia="Times New Roman" w:hAnsi="Simplified Arabic" w:cs="Simplified Arabic"/>
          <w:sz w:val="28"/>
          <w:szCs w:val="28"/>
          <w:rtl/>
          <w:lang w:val="en-US"/>
        </w:rPr>
        <w:t>نها سوء استغلال لرأس المال البشرى وتعكس حالة اختلال التوازن العام فى الاقتصاد ووجودها يعوق المجتمع عن استخدام قوة العمل الاستخدام الأمثل، وتعبر عن وجود خلل فى سوق العمل ناتج عن عجز الاقتصاد عن توفير فرص العمل الكافية، إضافة إلى أنها تمثل إحدى عقبات التنمية ال</w:t>
      </w:r>
      <w:r w:rsidRPr="00375EB0">
        <w:rPr>
          <w:rFonts w:ascii="Simplified Arabic" w:eastAsia="Times New Roman" w:hAnsi="Simplified Arabic" w:cs="Simplified Arabic" w:hint="cs"/>
          <w:sz w:val="28"/>
          <w:szCs w:val="28"/>
          <w:rtl/>
          <w:lang w:val="en-US"/>
        </w:rPr>
        <w:t>إ</w:t>
      </w:r>
      <w:r w:rsidRPr="00375EB0">
        <w:rPr>
          <w:rFonts w:ascii="Simplified Arabic" w:eastAsia="Times New Roman" w:hAnsi="Simplified Arabic" w:cs="Simplified Arabic"/>
          <w:sz w:val="28"/>
          <w:szCs w:val="28"/>
          <w:rtl/>
          <w:lang w:val="en-US"/>
        </w:rPr>
        <w:t>قتصادية وال</w:t>
      </w:r>
      <w:r w:rsidRPr="00375EB0">
        <w:rPr>
          <w:rFonts w:ascii="Simplified Arabic" w:eastAsia="Times New Roman" w:hAnsi="Simplified Arabic" w:cs="Simplified Arabic" w:hint="cs"/>
          <w:sz w:val="28"/>
          <w:szCs w:val="28"/>
          <w:rtl/>
          <w:lang w:val="en-US"/>
        </w:rPr>
        <w:t>إ</w:t>
      </w:r>
      <w:r w:rsidRPr="00375EB0">
        <w:rPr>
          <w:rFonts w:ascii="Simplified Arabic" w:eastAsia="Times New Roman" w:hAnsi="Simplified Arabic" w:cs="Simplified Arabic"/>
          <w:sz w:val="28"/>
          <w:szCs w:val="28"/>
          <w:rtl/>
          <w:lang w:val="en-US"/>
        </w:rPr>
        <w:t>جتماعية والتى ترتب عليها زيادة ال</w:t>
      </w:r>
      <w:r w:rsidRPr="00375EB0">
        <w:rPr>
          <w:rFonts w:ascii="Simplified Arabic" w:eastAsia="Times New Roman" w:hAnsi="Simplified Arabic" w:cs="Simplified Arabic" w:hint="cs"/>
          <w:sz w:val="28"/>
          <w:szCs w:val="28"/>
          <w:rtl/>
          <w:lang w:val="en-US"/>
        </w:rPr>
        <w:t>إ</w:t>
      </w:r>
      <w:r w:rsidRPr="00375EB0">
        <w:rPr>
          <w:rFonts w:ascii="Simplified Arabic" w:eastAsia="Times New Roman" w:hAnsi="Simplified Arabic" w:cs="Simplified Arabic"/>
          <w:sz w:val="28"/>
          <w:szCs w:val="28"/>
          <w:rtl/>
          <w:lang w:val="en-US"/>
        </w:rPr>
        <w:t>ختلالات الهيكلية على المستويين ال</w:t>
      </w:r>
      <w:r w:rsidRPr="00375EB0">
        <w:rPr>
          <w:rFonts w:ascii="Simplified Arabic" w:eastAsia="Times New Roman" w:hAnsi="Simplified Arabic" w:cs="Simplified Arabic" w:hint="cs"/>
          <w:sz w:val="28"/>
          <w:szCs w:val="28"/>
          <w:rtl/>
          <w:lang w:val="en-US"/>
        </w:rPr>
        <w:t>إ</w:t>
      </w:r>
      <w:r w:rsidRPr="00375EB0">
        <w:rPr>
          <w:rFonts w:ascii="Simplified Arabic" w:eastAsia="Times New Roman" w:hAnsi="Simplified Arabic" w:cs="Simplified Arabic"/>
          <w:sz w:val="28"/>
          <w:szCs w:val="28"/>
          <w:rtl/>
          <w:lang w:val="en-US"/>
        </w:rPr>
        <w:t>قتصادى وال</w:t>
      </w:r>
      <w:r w:rsidRPr="00375EB0">
        <w:rPr>
          <w:rFonts w:ascii="Simplified Arabic" w:eastAsia="Times New Roman" w:hAnsi="Simplified Arabic" w:cs="Simplified Arabic" w:hint="cs"/>
          <w:sz w:val="28"/>
          <w:szCs w:val="28"/>
          <w:rtl/>
          <w:lang w:val="en-US"/>
        </w:rPr>
        <w:t>إ</w:t>
      </w:r>
      <w:r w:rsidRPr="00375EB0">
        <w:rPr>
          <w:rFonts w:ascii="Simplified Arabic" w:eastAsia="Times New Roman" w:hAnsi="Simplified Arabic" w:cs="Simplified Arabic"/>
          <w:sz w:val="28"/>
          <w:szCs w:val="28"/>
          <w:rtl/>
          <w:lang w:val="en-US"/>
        </w:rPr>
        <w:t xml:space="preserve">جتماعي، </w:t>
      </w:r>
      <w:r w:rsidRPr="00375EB0">
        <w:rPr>
          <w:rFonts w:ascii="Simplified Arabic" w:eastAsia="Times New Roman" w:hAnsi="Simplified Arabic" w:cs="Simplified Arabic"/>
          <w:sz w:val="28"/>
          <w:szCs w:val="28"/>
          <w:rtl/>
          <w:lang w:val="en-US" w:bidi="ar-EG"/>
        </w:rPr>
        <w:t>وهي الفرق بين حجم العمل المعروض وحجم العمل المطلوب عند مستويات الأجور السائدة فى سوق العمل.</w:t>
      </w:r>
    </w:p>
    <w:p w:rsidR="00B917B2" w:rsidRPr="00375EB0" w:rsidRDefault="00B917B2" w:rsidP="00B917B2">
      <w:pPr>
        <w:bidi/>
        <w:spacing w:after="0" w:line="240" w:lineRule="auto"/>
        <w:ind w:left="170"/>
        <w:contextualSpacing/>
        <w:jc w:val="both"/>
        <w:rPr>
          <w:rFonts w:ascii="Simplified Arabic" w:eastAsia="Times New Roman" w:hAnsi="Simplified Arabic" w:cs="Simplified Arabic"/>
          <w:sz w:val="28"/>
          <w:szCs w:val="28"/>
          <w:lang w:val="en-US" w:bidi="ar-EG"/>
        </w:rPr>
      </w:pPr>
      <w:r w:rsidRPr="00375EB0">
        <w:rPr>
          <w:rFonts w:ascii="Simplified Arabic" w:eastAsia="Times New Roman" w:hAnsi="Simplified Arabic" w:cs="Simplified Arabic"/>
          <w:b/>
          <w:bCs/>
          <w:sz w:val="30"/>
          <w:szCs w:val="30"/>
          <w:u w:val="single"/>
          <w:rtl/>
          <w:lang w:val="en-US" w:bidi="ar-EG"/>
        </w:rPr>
        <w:t>أسباب البطالة فى مصر</w:t>
      </w:r>
      <w:r w:rsidRPr="00375EB0">
        <w:rPr>
          <w:rFonts w:ascii="Simplified Arabic" w:eastAsia="Times New Roman" w:hAnsi="Simplified Arabic" w:cs="Simplified Arabic"/>
          <w:b/>
          <w:bCs/>
          <w:sz w:val="30"/>
          <w:szCs w:val="30"/>
          <w:rtl/>
          <w:lang w:val="en-US" w:bidi="ar-EG"/>
        </w:rPr>
        <w:t>:</w:t>
      </w:r>
    </w:p>
    <w:p w:rsidR="00B917B2" w:rsidRPr="00375EB0" w:rsidRDefault="00B917B2" w:rsidP="00B917B2">
      <w:pPr>
        <w:bidi/>
        <w:spacing w:after="0" w:line="240" w:lineRule="auto"/>
        <w:ind w:left="170"/>
        <w:rPr>
          <w:rFonts w:ascii="Simplified Arabic" w:eastAsia="Times New Roman" w:hAnsi="Simplified Arabic" w:cs="Simplified Arabic"/>
          <w:b/>
          <w:bCs/>
          <w:sz w:val="28"/>
          <w:szCs w:val="28"/>
          <w:rtl/>
          <w:lang w:val="en-US"/>
        </w:rPr>
      </w:pPr>
      <w:r w:rsidRPr="00375EB0">
        <w:rPr>
          <w:rFonts w:ascii="Simplified Arabic" w:eastAsia="Times New Roman" w:hAnsi="Simplified Arabic" w:cs="Simplified Arabic"/>
          <w:b/>
          <w:bCs/>
          <w:noProof/>
          <w:sz w:val="28"/>
          <w:szCs w:val="28"/>
          <w:rtl/>
          <w:lang w:val="en-US"/>
        </w:rPr>
        <w:t xml:space="preserve">تتعدد </w:t>
      </w:r>
      <w:r w:rsidRPr="00375EB0">
        <w:rPr>
          <w:rFonts w:ascii="Simplified Arabic" w:eastAsia="Times New Roman" w:hAnsi="Simplified Arabic" w:cs="Simplified Arabic"/>
          <w:b/>
          <w:bCs/>
          <w:sz w:val="28"/>
          <w:szCs w:val="28"/>
          <w:rtl/>
          <w:lang w:val="en-US" w:bidi="ar-EG"/>
        </w:rPr>
        <w:t>أسباب البطالة و</w:t>
      </w:r>
      <w:r w:rsidRPr="00375EB0">
        <w:rPr>
          <w:rFonts w:ascii="Simplified Arabic" w:eastAsia="Times New Roman" w:hAnsi="Simplified Arabic" w:cs="Simplified Arabic"/>
          <w:b/>
          <w:bCs/>
          <w:noProof/>
          <w:sz w:val="28"/>
          <w:szCs w:val="28"/>
          <w:rtl/>
          <w:lang w:val="en-US"/>
        </w:rPr>
        <w:t>تختلف من مجتمع إلى آخر ومن أهم الأسباب:</w:t>
      </w:r>
    </w:p>
    <w:p w:rsidR="00B917B2" w:rsidRPr="00375EB0" w:rsidRDefault="00B917B2" w:rsidP="00616254">
      <w:pPr>
        <w:pStyle w:val="ListParagraph"/>
        <w:numPr>
          <w:ilvl w:val="0"/>
          <w:numId w:val="19"/>
        </w:numPr>
        <w:spacing w:after="0" w:line="240" w:lineRule="auto"/>
        <w:ind w:left="664" w:hanging="494"/>
        <w:jc w:val="both"/>
        <w:rPr>
          <w:rFonts w:ascii="Simplified Arabic" w:eastAsia="Times New Roman" w:hAnsi="Simplified Arabic" w:cs="Simplified Arabic"/>
          <w:noProof/>
          <w:sz w:val="28"/>
          <w:szCs w:val="28"/>
        </w:rPr>
      </w:pPr>
      <w:r w:rsidRPr="00375EB0">
        <w:rPr>
          <w:rFonts w:ascii="Simplified Arabic" w:eastAsia="Times New Roman" w:hAnsi="Simplified Arabic" w:cs="Simplified Arabic"/>
          <w:sz w:val="28"/>
          <w:szCs w:val="28"/>
          <w:rtl/>
          <w:lang w:bidi="ar-EG"/>
        </w:rPr>
        <w:t>تراجع سياسة تشغيل الخريجين منذ عام 1978 وامتد ذلك إلى القطاع الحكومى عام 1983 وذلك تنفيذاً لسياسات برنامج الإصلاح الاقتصادى والذى أدى إلى تراكم أعداد الخريجين</w:t>
      </w:r>
      <w:r w:rsidRPr="00375EB0">
        <w:rPr>
          <w:vertAlign w:val="superscript"/>
          <w:rtl/>
          <w:lang w:bidi="ar-EG"/>
        </w:rPr>
        <w:footnoteReference w:id="11"/>
      </w:r>
      <w:r w:rsidRPr="00375EB0">
        <w:rPr>
          <w:rFonts w:ascii="Simplified Arabic" w:eastAsia="Times New Roman" w:hAnsi="Simplified Arabic" w:cs="Simplified Arabic"/>
          <w:sz w:val="28"/>
          <w:szCs w:val="28"/>
          <w:rtl/>
          <w:lang w:bidi="ar-EG"/>
        </w:rPr>
        <w:t>.</w:t>
      </w:r>
    </w:p>
    <w:p w:rsidR="00B917B2" w:rsidRPr="00375EB0" w:rsidRDefault="00B917B2" w:rsidP="00616254">
      <w:pPr>
        <w:pStyle w:val="ListParagraph"/>
        <w:numPr>
          <w:ilvl w:val="0"/>
          <w:numId w:val="19"/>
        </w:numPr>
        <w:spacing w:after="0" w:line="240" w:lineRule="auto"/>
        <w:ind w:left="664" w:hanging="494"/>
        <w:jc w:val="both"/>
        <w:rPr>
          <w:rFonts w:ascii="Simplified Arabic" w:eastAsia="Times New Roman" w:hAnsi="Simplified Arabic" w:cs="Simplified Arabic"/>
          <w:noProof/>
          <w:sz w:val="28"/>
          <w:szCs w:val="28"/>
        </w:rPr>
      </w:pPr>
      <w:r w:rsidRPr="00375EB0">
        <w:rPr>
          <w:rFonts w:ascii="Simplified Arabic" w:eastAsia="Times New Roman" w:hAnsi="Simplified Arabic" w:cs="Simplified Arabic"/>
          <w:sz w:val="28"/>
          <w:szCs w:val="28"/>
          <w:rtl/>
          <w:lang w:bidi="ar-EG"/>
        </w:rPr>
        <w:t>الزيادة السكانية والتي تعد أحد الاسباب الرئيسية للبطالة، حيث إن عدد السكان فى تزايد مستمر مع عدم القدرة على خلق فرص عمل تتناسب مع هذه الزيادة فى عدد السكان، فقد نتج عن ارتفاع معدل النمو السكانى تدفق أعداد كبيرة من الوافدين الجدد إلى سوق العمل تفوق قدرتها الاستيعابية.</w:t>
      </w:r>
    </w:p>
    <w:p w:rsidR="00B917B2" w:rsidRPr="00375EB0" w:rsidRDefault="00B917B2" w:rsidP="00616254">
      <w:pPr>
        <w:pStyle w:val="ListParagraph"/>
        <w:numPr>
          <w:ilvl w:val="0"/>
          <w:numId w:val="19"/>
        </w:numPr>
        <w:spacing w:after="0" w:line="240" w:lineRule="auto"/>
        <w:ind w:left="664" w:hanging="494"/>
        <w:jc w:val="both"/>
        <w:rPr>
          <w:rFonts w:ascii="Simplified Arabic" w:eastAsia="Times New Roman" w:hAnsi="Simplified Arabic" w:cs="Simplified Arabic"/>
          <w:sz w:val="28"/>
          <w:szCs w:val="28"/>
          <w:rtl/>
          <w:lang w:bidi="ar-EG"/>
        </w:rPr>
      </w:pPr>
      <w:r w:rsidRPr="00375EB0">
        <w:rPr>
          <w:rFonts w:ascii="Simplified Arabic" w:eastAsia="Times New Roman" w:hAnsi="Simplified Arabic" w:cs="Simplified Arabic"/>
          <w:sz w:val="28"/>
          <w:szCs w:val="28"/>
          <w:rtl/>
          <w:lang w:bidi="ar-EG"/>
        </w:rPr>
        <w:t>تطبيق برنامج الإصلاح الاقتصادى والتكيف الهيكلى فى بداية التسعينات وقد فرضت طبيعة البرنامج</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قيوداً</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على</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إمكانية</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زيادة</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نسب</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الاستثمار</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الخاص، وعجزت</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الزيادة</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في الاستثمار</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الخاص عن</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تعويض</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الانخفاض</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فى الاستثمار</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العام</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وعن</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خلق</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فرص</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عمل</w:t>
      </w:r>
      <w:r w:rsidRPr="00375EB0">
        <w:rPr>
          <w:rFonts w:ascii="Simplified Arabic" w:eastAsia="Times New Roman" w:hAnsi="Simplified Arabic" w:cs="Simplified Arabic"/>
          <w:sz w:val="28"/>
          <w:szCs w:val="28"/>
          <w:lang w:bidi="ar-EG"/>
        </w:rPr>
        <w:t xml:space="preserve"> </w:t>
      </w:r>
      <w:r w:rsidRPr="00375EB0">
        <w:rPr>
          <w:rFonts w:ascii="Simplified Arabic" w:eastAsia="Times New Roman" w:hAnsi="Simplified Arabic" w:cs="Simplified Arabic"/>
          <w:sz w:val="28"/>
          <w:szCs w:val="28"/>
          <w:rtl/>
          <w:lang w:bidi="ar-EG"/>
        </w:rPr>
        <w:t>جديدة.</w:t>
      </w:r>
    </w:p>
    <w:p w:rsidR="00B917B2" w:rsidRPr="00375EB0" w:rsidRDefault="00B917B2" w:rsidP="00616254">
      <w:pPr>
        <w:pStyle w:val="ListParagraph"/>
        <w:numPr>
          <w:ilvl w:val="0"/>
          <w:numId w:val="19"/>
        </w:numPr>
        <w:spacing w:after="0" w:line="240" w:lineRule="auto"/>
        <w:ind w:left="664" w:hanging="494"/>
        <w:jc w:val="both"/>
        <w:rPr>
          <w:rFonts w:ascii="Simplified Arabic" w:eastAsia="Times New Roman" w:hAnsi="Simplified Arabic" w:cs="Simplified Arabic"/>
          <w:sz w:val="28"/>
          <w:szCs w:val="28"/>
          <w:lang w:bidi="ar-EG"/>
        </w:rPr>
      </w:pPr>
      <w:r w:rsidRPr="00375EB0">
        <w:rPr>
          <w:rFonts w:ascii="Simplified Arabic" w:eastAsia="Times New Roman" w:hAnsi="Simplified Arabic" w:cs="Simplified Arabic"/>
          <w:sz w:val="28"/>
          <w:szCs w:val="28"/>
          <w:rtl/>
          <w:lang w:bidi="ar-EG"/>
        </w:rPr>
        <w:t xml:space="preserve">انخفاض الاستثمار الأجنبى المباشر نتيجة عدم توافر حوافز حقيقية وبيئية وتشريعية مناسبة تجذب المستثمرين إلى مصر. </w:t>
      </w:r>
    </w:p>
    <w:p w:rsidR="00B917B2" w:rsidRPr="00375EB0" w:rsidRDefault="00B917B2" w:rsidP="00616254">
      <w:pPr>
        <w:pStyle w:val="ListParagraph"/>
        <w:numPr>
          <w:ilvl w:val="0"/>
          <w:numId w:val="19"/>
        </w:numPr>
        <w:spacing w:after="0" w:line="240" w:lineRule="auto"/>
        <w:ind w:left="664" w:hanging="494"/>
        <w:jc w:val="both"/>
        <w:rPr>
          <w:rFonts w:ascii="Simplified Arabic" w:eastAsia="Times New Roman" w:hAnsi="Simplified Arabic" w:cs="Simplified Arabic"/>
          <w:sz w:val="28"/>
          <w:szCs w:val="28"/>
          <w:rtl/>
          <w:lang w:bidi="ar-EG"/>
        </w:rPr>
      </w:pPr>
      <w:r w:rsidRPr="00375EB0">
        <w:rPr>
          <w:rFonts w:ascii="Simplified Arabic" w:eastAsia="Times New Roman" w:hAnsi="Simplified Arabic" w:cs="Simplified Arabic"/>
          <w:sz w:val="28"/>
          <w:szCs w:val="28"/>
          <w:rtl/>
          <w:lang w:bidi="ar-EG"/>
        </w:rPr>
        <w:lastRenderedPageBreak/>
        <w:t xml:space="preserve">وجود فجوة بين الادخار والاستثمار تحد من قدرة الاقتصاد على زيادة الاستثمارات وبالتالى زيادة فرص العمل والتشغيل، </w:t>
      </w:r>
      <w:r w:rsidRPr="00375EB0">
        <w:rPr>
          <w:rFonts w:ascii="Simplified Arabic" w:eastAsia="Times New Roman" w:hAnsi="Simplified Arabic" w:cs="Simplified Arabic"/>
          <w:noProof/>
          <w:sz w:val="28"/>
          <w:szCs w:val="28"/>
          <w:u w:val="single"/>
          <w:rtl/>
        </w:rPr>
        <w:t>عدم التوافق بين مخرجات النظام التعليمى واحتياجات سوق العمل</w:t>
      </w:r>
      <w:r w:rsidRPr="00375EB0">
        <w:rPr>
          <w:rFonts w:ascii="Simplified Arabic" w:eastAsia="Times New Roman" w:hAnsi="Simplified Arabic" w:cs="Simplified Arabic"/>
          <w:sz w:val="28"/>
          <w:szCs w:val="28"/>
          <w:rtl/>
        </w:rPr>
        <w:t xml:space="preserve">. </w:t>
      </w:r>
    </w:p>
    <w:p w:rsidR="00B917B2" w:rsidRPr="00375EB0" w:rsidRDefault="00B917B2" w:rsidP="00B917B2">
      <w:pPr>
        <w:bidi/>
        <w:spacing w:before="120" w:after="0" w:line="240" w:lineRule="auto"/>
        <w:ind w:left="170" w:firstLine="664"/>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ويعرض جدول (2-7) تقدير عدد المتعطلين ونسبة البطالة وفقا للنوع خلال الفترة 2010-2017 وتشير البيانات إلى:</w:t>
      </w:r>
    </w:p>
    <w:p w:rsidR="00B917B2" w:rsidRPr="00375EB0" w:rsidRDefault="00B917B2" w:rsidP="00616254">
      <w:pPr>
        <w:pStyle w:val="ListParagraph"/>
        <w:numPr>
          <w:ilvl w:val="0"/>
          <w:numId w:val="20"/>
        </w:numPr>
        <w:spacing w:after="120" w:line="240" w:lineRule="auto"/>
        <w:ind w:left="680" w:hanging="51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 xml:space="preserve">زيادة عدد المتعطلين من 2,3 مليون متعطل عام 2010 الى 3,6 مليون متعطل عام 2016 ثم تناقص </w:t>
      </w:r>
      <w:r w:rsidRPr="00375EB0">
        <w:rPr>
          <w:rFonts w:ascii="Simplified Arabic" w:eastAsia="Calibri" w:hAnsi="Simplified Arabic" w:cs="Simplified Arabic" w:hint="cs"/>
          <w:sz w:val="28"/>
          <w:szCs w:val="28"/>
          <w:rtl/>
          <w:lang w:bidi="ar-EG"/>
        </w:rPr>
        <w:t>العدد</w:t>
      </w:r>
      <w:r w:rsidRPr="00375EB0">
        <w:rPr>
          <w:rFonts w:ascii="Simplified Arabic" w:eastAsia="Calibri" w:hAnsi="Simplified Arabic" w:cs="Simplified Arabic"/>
          <w:sz w:val="28"/>
          <w:szCs w:val="28"/>
          <w:rtl/>
          <w:lang w:bidi="ar-EG"/>
        </w:rPr>
        <w:t xml:space="preserve"> قليلا حتى بلغ 3,4</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 xml:space="preserve">مليون متعطل عام 2017، </w:t>
      </w:r>
      <w:r w:rsidRPr="00375EB0">
        <w:rPr>
          <w:rFonts w:ascii="Simplified Arabic" w:eastAsia="Calibri" w:hAnsi="Simplified Arabic" w:cs="Simplified Arabic" w:hint="cs"/>
          <w:sz w:val="28"/>
          <w:szCs w:val="28"/>
          <w:rtl/>
          <w:lang w:bidi="ar-EG"/>
        </w:rPr>
        <w:t>و</w:t>
      </w:r>
      <w:r w:rsidRPr="00375EB0">
        <w:rPr>
          <w:rFonts w:ascii="Simplified Arabic" w:eastAsia="Calibri" w:hAnsi="Simplified Arabic" w:cs="Simplified Arabic"/>
          <w:sz w:val="28"/>
          <w:szCs w:val="28"/>
          <w:rtl/>
          <w:lang w:bidi="ar-EG"/>
        </w:rPr>
        <w:t>بلغت نسبة الزيادة فى عدد المتعطلين 47,6٪</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 xml:space="preserve">خلال الفترة. </w:t>
      </w:r>
    </w:p>
    <w:p w:rsidR="00B917B2" w:rsidRPr="00375EB0" w:rsidRDefault="00B917B2" w:rsidP="00616254">
      <w:pPr>
        <w:pStyle w:val="ListParagraph"/>
        <w:numPr>
          <w:ilvl w:val="0"/>
          <w:numId w:val="20"/>
        </w:numPr>
        <w:spacing w:after="120" w:line="240" w:lineRule="auto"/>
        <w:ind w:left="680" w:hanging="510"/>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ارتفع عدد المتعطلين الذكور من 987 ألف متعطل عام 2010 إلى 1,853</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مليون متعطل عام 2017، بنسبة زيادة قدرها 87,7٪</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وبالنسبة للإناث تزايد العدد من 1,363</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مليون إلى 1,615</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مليون بنسبة زيادة قدرها 18,5٪.</w:t>
      </w:r>
    </w:p>
    <w:p w:rsidR="00B917B2" w:rsidRPr="00375EB0" w:rsidRDefault="00B917B2" w:rsidP="00616254">
      <w:pPr>
        <w:pStyle w:val="ListParagraph"/>
        <w:numPr>
          <w:ilvl w:val="0"/>
          <w:numId w:val="20"/>
        </w:numPr>
        <w:spacing w:after="120" w:line="240" w:lineRule="auto"/>
        <w:ind w:left="680" w:hanging="51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 xml:space="preserve">أكثر من نصف المتعطلين عام 2010 من الإناث، ثم تنخفض نسبتهن لتصل إلى حوإلي 43٪ عام 2013، ثم تتجه مرة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خرى للزيادة عام 2017 لتصل الى 46,6٪.</w:t>
      </w:r>
    </w:p>
    <w:p w:rsidR="00B917B2" w:rsidRPr="00375EB0" w:rsidRDefault="00B917B2" w:rsidP="00B917B2">
      <w:pPr>
        <w:bidi/>
        <w:spacing w:after="0" w:line="240" w:lineRule="auto"/>
        <w:ind w:left="17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b/>
          <w:bCs/>
          <w:sz w:val="28"/>
          <w:szCs w:val="28"/>
          <w:u w:val="single"/>
          <w:rtl/>
          <w:lang w:val="en-US" w:bidi="ar-EG"/>
        </w:rPr>
        <w:t>وبالنظر إلى الصورة الكُلِّية لنسب البطالة توضح البيانات أن</w:t>
      </w:r>
      <w:r w:rsidRPr="00375EB0">
        <w:rPr>
          <w:rFonts w:ascii="Simplified Arabic" w:eastAsia="Calibri" w:hAnsi="Simplified Arabic" w:cs="Simplified Arabic"/>
          <w:sz w:val="28"/>
          <w:szCs w:val="28"/>
          <w:rtl/>
          <w:lang w:val="en-US" w:bidi="ar-EG"/>
        </w:rPr>
        <w:t xml:space="preserve">: </w:t>
      </w:r>
    </w:p>
    <w:p w:rsidR="00B917B2" w:rsidRPr="00375EB0" w:rsidRDefault="00B917B2" w:rsidP="00616254">
      <w:pPr>
        <w:pStyle w:val="ListParagraph"/>
        <w:numPr>
          <w:ilvl w:val="0"/>
          <w:numId w:val="21"/>
        </w:numPr>
        <w:spacing w:after="0" w:line="240" w:lineRule="auto"/>
        <w:ind w:left="680" w:hanging="51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بلغت نسبة البطالة 12,7٪ عام 2012، في أعقاب الثورة والفترات التي تبعتها مِن عدم الاستقرار وانكماش كثير مِن الأنشطة الاقتصادية ارتفعت نسب البطالة لتُسَجِل متوسط يبلغ نحو 13,0٪ خلال الأعوام الثلاث 2013 – 2015، ومع الاتجاه شيئًا فشيئًا صوب الاستقرار واستكمال بنية مؤسسات الدولة مِن جديد، أخذت نسب البطالة في التراجع بصورة طفيفة بدءً مِن عام 2015 من 12,8٪ حتى بلغ 11,8٪عام 2017.</w:t>
      </w:r>
    </w:p>
    <w:p w:rsidR="00B917B2" w:rsidRPr="00375EB0" w:rsidRDefault="00B917B2" w:rsidP="00616254">
      <w:pPr>
        <w:pStyle w:val="ListParagraph"/>
        <w:numPr>
          <w:ilvl w:val="0"/>
          <w:numId w:val="21"/>
        </w:numPr>
        <w:spacing w:after="0" w:line="240" w:lineRule="auto"/>
        <w:ind w:left="680" w:hanging="51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بلغت نسبة بطالة الذكور 8,2٪ عام 2017، مُتراجعة بنحو 0,7٪ عن عام 2016، ونحو 1,2٪ عن عام 2015، كذلك بالمقارنة مع ما كانت عليه نسبة بطالة الذكور في عام 2012 يتضح أن بطالة الذكور عام 2017 تراجعت بنحو 1,1 ٪ عما كانت عليه عام 2012.</w:t>
      </w:r>
    </w:p>
    <w:p w:rsidR="00B917B2" w:rsidRPr="00375EB0" w:rsidRDefault="00B917B2" w:rsidP="00616254">
      <w:pPr>
        <w:pStyle w:val="ListParagraph"/>
        <w:numPr>
          <w:ilvl w:val="0"/>
          <w:numId w:val="21"/>
        </w:numPr>
        <w:spacing w:after="0" w:line="240" w:lineRule="auto"/>
        <w:ind w:left="680" w:hanging="510"/>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lastRenderedPageBreak/>
        <w:t>بلغت نسبة بطالة الإناث 23,1٪، عام 2017، منخفضة بنحو 0,5٪ عن عام 2016، 1,1٪ عن عام 2015.</w:t>
      </w:r>
    </w:p>
    <w:p w:rsidR="00B917B2" w:rsidRPr="00375EB0" w:rsidRDefault="00B917B2" w:rsidP="00B917B2">
      <w:pPr>
        <w:bidi/>
        <w:spacing w:after="0" w:line="240" w:lineRule="auto"/>
        <w:jc w:val="center"/>
        <w:rPr>
          <w:rFonts w:ascii="Simplified Arabic" w:eastAsia="Times New Roman" w:hAnsi="Simplified Arabic" w:cs="Simplified Arabic"/>
          <w:b/>
          <w:bCs/>
          <w:rtl/>
          <w:lang w:val="en-US"/>
        </w:rPr>
      </w:pPr>
      <w:r w:rsidRPr="00375EB0">
        <w:rPr>
          <w:rFonts w:ascii="Simplified Arabic" w:eastAsia="Times New Roman" w:hAnsi="Simplified Arabic" w:cs="Simplified Arabic"/>
          <w:b/>
          <w:bCs/>
          <w:rtl/>
          <w:lang w:val="en-US"/>
        </w:rPr>
        <w:t xml:space="preserve">جدول (2-7): أعداد المتعطلين (15-64 سنة) ونسب البطالة ونسبة الإناث </w:t>
      </w:r>
      <w:r w:rsidRPr="00375EB0">
        <w:rPr>
          <w:rFonts w:ascii="Simplified Arabic" w:eastAsia="Times New Roman" w:hAnsi="Simplified Arabic" w:cs="Simplified Arabic" w:hint="cs"/>
          <w:b/>
          <w:bCs/>
          <w:rtl/>
          <w:lang w:val="en-US" w:bidi="ar-EG"/>
        </w:rPr>
        <w:t>ل</w:t>
      </w:r>
      <w:r w:rsidRPr="00375EB0">
        <w:rPr>
          <w:rFonts w:ascii="Simplified Arabic" w:eastAsia="Times New Roman" w:hAnsi="Simplified Arabic" w:cs="Simplified Arabic"/>
          <w:b/>
          <w:bCs/>
          <w:rtl/>
          <w:lang w:val="en-US"/>
        </w:rPr>
        <w:t xml:space="preserve">لمتعطلين </w:t>
      </w:r>
    </w:p>
    <w:p w:rsidR="00B917B2" w:rsidRPr="00375EB0" w:rsidRDefault="00B917B2" w:rsidP="00B917B2">
      <w:pPr>
        <w:bidi/>
        <w:spacing w:after="0" w:line="240" w:lineRule="auto"/>
        <w:ind w:left="1672"/>
        <w:jc w:val="center"/>
        <w:rPr>
          <w:rFonts w:ascii="Simplified Arabic" w:eastAsia="Times New Roman" w:hAnsi="Simplified Arabic" w:cs="Simplified Arabic"/>
          <w:b/>
          <w:bCs/>
          <w:sz w:val="26"/>
          <w:szCs w:val="26"/>
          <w:rtl/>
          <w:lang w:val="en-US"/>
        </w:rPr>
      </w:pPr>
      <w:r w:rsidRPr="00375EB0">
        <w:rPr>
          <w:rFonts w:ascii="Simplified Arabic" w:eastAsia="Times New Roman" w:hAnsi="Simplified Arabic" w:cs="Simplified Arabic"/>
          <w:b/>
          <w:bCs/>
          <w:rtl/>
          <w:lang w:val="en-US"/>
        </w:rPr>
        <w:t>وفقاً للنوع خلال الفترة (2010 - 2017)</w:t>
      </w:r>
      <w:r w:rsidRPr="00375EB0">
        <w:rPr>
          <w:rFonts w:ascii="Simplified Arabic" w:eastAsia="Times New Roman" w:hAnsi="Simplified Arabic" w:cs="Simplified Arabic" w:hint="cs"/>
          <w:b/>
          <w:bCs/>
          <w:rtl/>
          <w:lang w:val="en-US"/>
        </w:rPr>
        <w:t xml:space="preserve">                         </w:t>
      </w:r>
      <w:r w:rsidRPr="00375EB0">
        <w:rPr>
          <w:rFonts w:ascii="Simplified Arabic" w:eastAsia="Times New Roman" w:hAnsi="Simplified Arabic" w:cs="Simplified Arabic"/>
          <w:b/>
          <w:bCs/>
          <w:sz w:val="24"/>
          <w:szCs w:val="24"/>
          <w:rtl/>
          <w:lang w:val="en-US"/>
        </w:rPr>
        <w:t xml:space="preserve"> العدد</w:t>
      </w:r>
      <w:r w:rsidRPr="00375EB0">
        <w:rPr>
          <w:rFonts w:ascii="Simplified Arabic" w:eastAsia="Times New Roman" w:hAnsi="Simplified Arabic" w:cs="Simplified Arabic"/>
          <w:b/>
          <w:bCs/>
          <w:sz w:val="24"/>
          <w:szCs w:val="24"/>
          <w:rtl/>
          <w:lang w:val="en-US" w:bidi="ar-EG"/>
        </w:rPr>
        <w:t xml:space="preserve"> بالألف</w:t>
      </w:r>
    </w:p>
    <w:tbl>
      <w:tblPr>
        <w:tblStyle w:val="PlainTable111"/>
        <w:tblpPr w:leftFromText="180" w:rightFromText="180" w:vertAnchor="text" w:tblpXSpec="center" w:tblpY="1"/>
        <w:bidiVisual/>
        <w:tblW w:w="8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567"/>
        <w:gridCol w:w="708"/>
        <w:gridCol w:w="709"/>
        <w:gridCol w:w="709"/>
        <w:gridCol w:w="709"/>
        <w:gridCol w:w="708"/>
        <w:gridCol w:w="709"/>
        <w:gridCol w:w="709"/>
        <w:gridCol w:w="709"/>
        <w:gridCol w:w="992"/>
      </w:tblGrid>
      <w:tr w:rsidR="00B917B2" w:rsidRPr="00375EB0" w:rsidTr="0049430E">
        <w:trPr>
          <w:cnfStyle w:val="100000000000" w:firstRow="1" w:lastRow="0" w:firstColumn="0" w:lastColumn="0" w:oddVBand="0" w:evenVBand="0" w:oddHBand="0"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946" w:type="dxa"/>
            <w:shd w:val="clear" w:color="auto" w:fill="auto"/>
            <w:noWrap/>
            <w:vAlign w:val="center"/>
            <w:hideMark/>
          </w:tcPr>
          <w:p w:rsidR="00B917B2" w:rsidRPr="00375EB0" w:rsidRDefault="00B917B2" w:rsidP="0049430E">
            <w:pPr>
              <w:bidi/>
              <w:spacing w:after="0"/>
              <w:jc w:val="center"/>
              <w:rPr>
                <w:rFonts w:ascii="Simplified Arabic" w:eastAsia="Times New Roman" w:hAnsi="Simplified Arabic" w:cs="Simplified Arabic"/>
                <w:sz w:val="20"/>
                <w:szCs w:val="20"/>
                <w:rtl/>
              </w:rPr>
            </w:pPr>
            <w:r w:rsidRPr="00375EB0">
              <w:rPr>
                <w:rFonts w:ascii="Simplified Arabic" w:eastAsia="Times New Roman" w:hAnsi="Simplified Arabic" w:cs="Simplified Arabic"/>
                <w:sz w:val="20"/>
                <w:szCs w:val="20"/>
                <w:rtl/>
              </w:rPr>
              <w:t>البيان</w:t>
            </w:r>
          </w:p>
        </w:tc>
        <w:tc>
          <w:tcPr>
            <w:tcW w:w="567"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tl/>
              </w:rPr>
              <w:t>النوع</w:t>
            </w:r>
          </w:p>
        </w:tc>
        <w:tc>
          <w:tcPr>
            <w:tcW w:w="708"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tl/>
              </w:rPr>
              <w:t>2010</w:t>
            </w:r>
          </w:p>
        </w:tc>
        <w:tc>
          <w:tcPr>
            <w:tcW w:w="709"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tl/>
              </w:rPr>
              <w:t>2011</w:t>
            </w:r>
          </w:p>
        </w:tc>
        <w:tc>
          <w:tcPr>
            <w:tcW w:w="709"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Pr>
              <w:t>2012</w:t>
            </w:r>
          </w:p>
        </w:tc>
        <w:tc>
          <w:tcPr>
            <w:tcW w:w="709"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Pr>
              <w:t>2013</w:t>
            </w:r>
          </w:p>
        </w:tc>
        <w:tc>
          <w:tcPr>
            <w:tcW w:w="708"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Pr>
              <w:t>2014</w:t>
            </w:r>
          </w:p>
        </w:tc>
        <w:tc>
          <w:tcPr>
            <w:tcW w:w="709"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Pr>
              <w:t>2015</w:t>
            </w:r>
          </w:p>
        </w:tc>
        <w:tc>
          <w:tcPr>
            <w:tcW w:w="709"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Pr>
              <w:t>2016</w:t>
            </w:r>
          </w:p>
        </w:tc>
        <w:tc>
          <w:tcPr>
            <w:tcW w:w="709"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Pr>
              <w:t>2017</w:t>
            </w:r>
          </w:p>
        </w:tc>
        <w:tc>
          <w:tcPr>
            <w:tcW w:w="992" w:type="dxa"/>
            <w:shd w:val="clear" w:color="auto" w:fill="auto"/>
            <w:vAlign w:val="center"/>
            <w:hideMark/>
          </w:tcPr>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lang w:bidi="ar-EG"/>
              </w:rPr>
            </w:pPr>
            <w:r w:rsidRPr="00375EB0">
              <w:rPr>
                <w:rFonts w:ascii="Simplified Arabic" w:eastAsia="Times New Roman" w:hAnsi="Simplified Arabic" w:cs="Simplified Arabic"/>
                <w:sz w:val="20"/>
                <w:szCs w:val="20"/>
                <w:rtl/>
                <w:lang w:bidi="ar-EG"/>
              </w:rPr>
              <w:t>معدل التغير</w:t>
            </w:r>
          </w:p>
          <w:p w:rsidR="00B917B2" w:rsidRPr="00375EB0" w:rsidRDefault="00B917B2" w:rsidP="0049430E">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0"/>
                <w:szCs w:val="20"/>
                <w:lang w:bidi="ar-EG"/>
              </w:rPr>
            </w:pPr>
            <w:r w:rsidRPr="00375EB0">
              <w:rPr>
                <w:rFonts w:ascii="Simplified Arabic" w:eastAsia="Times New Roman" w:hAnsi="Simplified Arabic" w:cs="Simplified Arabic"/>
                <w:sz w:val="20"/>
                <w:szCs w:val="20"/>
                <w:rtl/>
                <w:lang w:bidi="ar-EG"/>
              </w:rPr>
              <w:t>2010-2017</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946" w:type="dxa"/>
            <w:vMerge w:val="restart"/>
            <w:shd w:val="clear" w:color="auto" w:fill="auto"/>
            <w:vAlign w:val="center"/>
          </w:tcPr>
          <w:p w:rsidR="00B917B2" w:rsidRPr="00375EB0" w:rsidRDefault="00B917B2" w:rsidP="00B917B2">
            <w:pPr>
              <w:bidi/>
              <w:jc w:val="center"/>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tl/>
              </w:rPr>
              <w:t>المتعـــطلين</w:t>
            </w:r>
          </w:p>
        </w:tc>
        <w:tc>
          <w:tcPr>
            <w:tcW w:w="567"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lang w:bidi="ar-EG"/>
              </w:rPr>
            </w:pPr>
            <w:r w:rsidRPr="00375EB0">
              <w:rPr>
                <w:rFonts w:ascii="Simplified Arabic" w:eastAsia="Times New Roman" w:hAnsi="Simplified Arabic" w:cs="Simplified Arabic"/>
                <w:b/>
                <w:bCs/>
                <w:sz w:val="20"/>
                <w:szCs w:val="20"/>
                <w:rtl/>
              </w:rPr>
              <w:t>ذكور</w:t>
            </w:r>
          </w:p>
        </w:tc>
        <w:tc>
          <w:tcPr>
            <w:tcW w:w="708"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375EB0">
              <w:rPr>
                <w:rFonts w:ascii="Simplified Arabic" w:hAnsi="Simplified Arabic" w:cs="Simplified Arabic"/>
                <w:b/>
                <w:bCs/>
                <w:sz w:val="20"/>
                <w:szCs w:val="20"/>
              </w:rPr>
              <w:t>987</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1822</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1942</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2084</w:t>
            </w:r>
          </w:p>
        </w:tc>
        <w:tc>
          <w:tcPr>
            <w:tcW w:w="708"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2052</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2032</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1948</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1853</w:t>
            </w:r>
          </w:p>
        </w:tc>
        <w:tc>
          <w:tcPr>
            <w:tcW w:w="992"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87,7</w:t>
            </w:r>
          </w:p>
        </w:tc>
      </w:tr>
      <w:tr w:rsidR="00B917B2" w:rsidRPr="00375EB0" w:rsidTr="00B917B2">
        <w:trPr>
          <w:trHeight w:hRule="exact" w:val="340"/>
        </w:trPr>
        <w:tc>
          <w:tcPr>
            <w:cnfStyle w:val="001000000000" w:firstRow="0" w:lastRow="0" w:firstColumn="1" w:lastColumn="0" w:oddVBand="0" w:evenVBand="0" w:oddHBand="0" w:evenHBand="0" w:firstRowFirstColumn="0" w:firstRowLastColumn="0" w:lastRowFirstColumn="0" w:lastRowLastColumn="0"/>
            <w:tcW w:w="946" w:type="dxa"/>
            <w:vMerge/>
            <w:shd w:val="clear" w:color="auto" w:fill="auto"/>
            <w:vAlign w:val="center"/>
            <w:hideMark/>
          </w:tcPr>
          <w:p w:rsidR="00B917B2" w:rsidRPr="00375EB0" w:rsidRDefault="00B917B2" w:rsidP="00B917B2">
            <w:pPr>
              <w:bidi/>
              <w:rPr>
                <w:rFonts w:ascii="Simplified Arabic" w:eastAsia="Times New Roman" w:hAnsi="Simplified Arabic" w:cs="Simplified Arabic"/>
                <w:sz w:val="20"/>
                <w:szCs w:val="20"/>
              </w:rPr>
            </w:pPr>
          </w:p>
        </w:tc>
        <w:tc>
          <w:tcPr>
            <w:tcW w:w="567"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tl/>
              </w:rPr>
              <w:t>إناث</w:t>
            </w:r>
          </w:p>
        </w:tc>
        <w:tc>
          <w:tcPr>
            <w:tcW w:w="70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Pr>
              <w:t>1363</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1361</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1483</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1565</w:t>
            </w:r>
          </w:p>
        </w:tc>
        <w:tc>
          <w:tcPr>
            <w:tcW w:w="70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1594</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1620</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1655</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1615</w:t>
            </w:r>
          </w:p>
        </w:tc>
        <w:tc>
          <w:tcPr>
            <w:tcW w:w="992"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18,5</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946" w:type="dxa"/>
            <w:vMerge/>
            <w:shd w:val="clear" w:color="auto" w:fill="auto"/>
            <w:vAlign w:val="center"/>
            <w:hideMark/>
          </w:tcPr>
          <w:p w:rsidR="00B917B2" w:rsidRPr="00375EB0" w:rsidRDefault="00B917B2" w:rsidP="00B917B2">
            <w:pPr>
              <w:bidi/>
              <w:rPr>
                <w:rFonts w:ascii="Simplified Arabic" w:eastAsia="Times New Roman" w:hAnsi="Simplified Arabic" w:cs="Simplified Arabic"/>
                <w:sz w:val="20"/>
                <w:szCs w:val="20"/>
              </w:rPr>
            </w:pPr>
          </w:p>
        </w:tc>
        <w:tc>
          <w:tcPr>
            <w:tcW w:w="567"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tl/>
              </w:rPr>
              <w:t>جملة</w:t>
            </w:r>
          </w:p>
        </w:tc>
        <w:tc>
          <w:tcPr>
            <w:tcW w:w="708"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eastAsia="Times New Roman" w:hAnsi="Simplified Arabic" w:cs="Simplified Arabic"/>
                <w:b/>
                <w:bCs/>
                <w:sz w:val="20"/>
                <w:szCs w:val="20"/>
              </w:rPr>
              <w:t>2350</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3183</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3425</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3649</w:t>
            </w:r>
          </w:p>
        </w:tc>
        <w:tc>
          <w:tcPr>
            <w:tcW w:w="708"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3646</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3652</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3603</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3468</w:t>
            </w:r>
          </w:p>
        </w:tc>
        <w:tc>
          <w:tcPr>
            <w:tcW w:w="992"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47,6</w:t>
            </w:r>
          </w:p>
        </w:tc>
      </w:tr>
      <w:tr w:rsidR="00B917B2" w:rsidRPr="00375EB0" w:rsidTr="00B917B2">
        <w:trPr>
          <w:trHeight w:hRule="exact" w:val="340"/>
        </w:trPr>
        <w:tc>
          <w:tcPr>
            <w:cnfStyle w:val="001000000000" w:firstRow="0" w:lastRow="0" w:firstColumn="1" w:lastColumn="0" w:oddVBand="0" w:evenVBand="0" w:oddHBand="0" w:evenHBand="0" w:firstRowFirstColumn="0" w:firstRowLastColumn="0" w:lastRowFirstColumn="0" w:lastRowLastColumn="0"/>
            <w:tcW w:w="946" w:type="dxa"/>
            <w:vMerge w:val="restart"/>
            <w:shd w:val="clear" w:color="auto" w:fill="auto"/>
            <w:vAlign w:val="center"/>
          </w:tcPr>
          <w:p w:rsidR="00B917B2" w:rsidRPr="00375EB0" w:rsidRDefault="00B917B2" w:rsidP="00B917B2">
            <w:pPr>
              <w:bidi/>
              <w:jc w:val="center"/>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tl/>
                <w:lang w:bidi="ar-EG"/>
              </w:rPr>
              <w:t>نسب البطالة</w:t>
            </w:r>
          </w:p>
        </w:tc>
        <w:tc>
          <w:tcPr>
            <w:tcW w:w="567"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tl/>
              </w:rPr>
              <w:t>ذكور</w:t>
            </w:r>
          </w:p>
        </w:tc>
        <w:tc>
          <w:tcPr>
            <w:tcW w:w="70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Pr>
              <w:t>4,9</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8,9</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9,3</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9,8</w:t>
            </w:r>
          </w:p>
        </w:tc>
        <w:tc>
          <w:tcPr>
            <w:tcW w:w="70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9,6</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9,4</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8,9</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8,2</w:t>
            </w:r>
          </w:p>
        </w:tc>
        <w:tc>
          <w:tcPr>
            <w:tcW w:w="992"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946" w:type="dxa"/>
            <w:vMerge/>
            <w:shd w:val="clear" w:color="auto" w:fill="auto"/>
            <w:vAlign w:val="center"/>
            <w:hideMark/>
          </w:tcPr>
          <w:p w:rsidR="00B917B2" w:rsidRPr="00375EB0" w:rsidRDefault="00B917B2" w:rsidP="00B917B2">
            <w:pPr>
              <w:bidi/>
              <w:rPr>
                <w:rFonts w:ascii="Simplified Arabic" w:eastAsia="Times New Roman" w:hAnsi="Simplified Arabic" w:cs="Simplified Arabic"/>
                <w:sz w:val="20"/>
                <w:szCs w:val="20"/>
              </w:rPr>
            </w:pPr>
          </w:p>
        </w:tc>
        <w:tc>
          <w:tcPr>
            <w:tcW w:w="567"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tl/>
              </w:rPr>
              <w:t>إناث</w:t>
            </w:r>
          </w:p>
        </w:tc>
        <w:tc>
          <w:tcPr>
            <w:tcW w:w="708"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22,6</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22,7</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24,1</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24,2</w:t>
            </w:r>
          </w:p>
        </w:tc>
        <w:tc>
          <w:tcPr>
            <w:tcW w:w="708"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24,0</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24,2</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23,6</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23,1</w:t>
            </w:r>
          </w:p>
        </w:tc>
        <w:tc>
          <w:tcPr>
            <w:tcW w:w="992"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w:t>
            </w:r>
          </w:p>
        </w:tc>
      </w:tr>
      <w:tr w:rsidR="00B917B2" w:rsidRPr="00375EB0" w:rsidTr="00B917B2">
        <w:trPr>
          <w:trHeight w:hRule="exact" w:val="340"/>
        </w:trPr>
        <w:tc>
          <w:tcPr>
            <w:cnfStyle w:val="001000000000" w:firstRow="0" w:lastRow="0" w:firstColumn="1" w:lastColumn="0" w:oddVBand="0" w:evenVBand="0" w:oddHBand="0" w:evenHBand="0" w:firstRowFirstColumn="0" w:firstRowLastColumn="0" w:lastRowFirstColumn="0" w:lastRowLastColumn="0"/>
            <w:tcW w:w="946" w:type="dxa"/>
            <w:vMerge/>
            <w:shd w:val="clear" w:color="auto" w:fill="auto"/>
            <w:vAlign w:val="center"/>
            <w:hideMark/>
          </w:tcPr>
          <w:p w:rsidR="00B917B2" w:rsidRPr="00375EB0" w:rsidRDefault="00B917B2" w:rsidP="00B917B2">
            <w:pPr>
              <w:bidi/>
              <w:rPr>
                <w:rFonts w:ascii="Simplified Arabic" w:eastAsia="Times New Roman" w:hAnsi="Simplified Arabic" w:cs="Simplified Arabic"/>
                <w:sz w:val="20"/>
                <w:szCs w:val="20"/>
              </w:rPr>
            </w:pPr>
          </w:p>
        </w:tc>
        <w:tc>
          <w:tcPr>
            <w:tcW w:w="567"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tl/>
              </w:rPr>
              <w:t>جملة</w:t>
            </w:r>
          </w:p>
        </w:tc>
        <w:tc>
          <w:tcPr>
            <w:tcW w:w="70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9,0</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12,0</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12,7</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13,2</w:t>
            </w:r>
          </w:p>
        </w:tc>
        <w:tc>
          <w:tcPr>
            <w:tcW w:w="708"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13</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12,8</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12,5</w:t>
            </w:r>
          </w:p>
        </w:tc>
        <w:tc>
          <w:tcPr>
            <w:tcW w:w="709"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11,8</w:t>
            </w:r>
          </w:p>
        </w:tc>
        <w:tc>
          <w:tcPr>
            <w:tcW w:w="992" w:type="dxa"/>
            <w:shd w:val="clear" w:color="auto" w:fill="auto"/>
            <w:vAlign w:val="center"/>
            <w:hideMark/>
          </w:tcPr>
          <w:p w:rsidR="00B917B2" w:rsidRPr="00375EB0" w:rsidRDefault="00B917B2" w:rsidP="00B917B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sz w:val="20"/>
                <w:szCs w:val="20"/>
              </w:rPr>
            </w:pPr>
            <w:r w:rsidRPr="00375EB0">
              <w:rPr>
                <w:rFonts w:ascii="Simplified Arabic" w:eastAsia="Times New Roman" w:hAnsi="Simplified Arabic" w:cs="Simplified Arabic"/>
                <w:b/>
                <w:bCs/>
                <w:sz w:val="20"/>
                <w:szCs w:val="20"/>
              </w:rPr>
              <w:t>-</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513" w:type="dxa"/>
            <w:gridSpan w:val="2"/>
            <w:shd w:val="clear" w:color="auto" w:fill="auto"/>
            <w:vAlign w:val="center"/>
            <w:hideMark/>
          </w:tcPr>
          <w:p w:rsidR="00B917B2" w:rsidRPr="00375EB0" w:rsidRDefault="00B917B2" w:rsidP="00B917B2">
            <w:pPr>
              <w:bidi/>
              <w:jc w:val="center"/>
              <w:rPr>
                <w:rFonts w:ascii="Simplified Arabic" w:eastAsia="Times New Roman" w:hAnsi="Simplified Arabic" w:cs="Simplified Arabic"/>
                <w:sz w:val="20"/>
                <w:szCs w:val="20"/>
              </w:rPr>
            </w:pPr>
            <w:r w:rsidRPr="00375EB0">
              <w:rPr>
                <w:rFonts w:ascii="Simplified Arabic" w:eastAsia="Times New Roman" w:hAnsi="Simplified Arabic" w:cs="Simplified Arabic"/>
                <w:sz w:val="20"/>
                <w:szCs w:val="20"/>
                <w:rtl/>
              </w:rPr>
              <w:t>نسبة الإناث بين المتعطلين</w:t>
            </w:r>
          </w:p>
        </w:tc>
        <w:tc>
          <w:tcPr>
            <w:tcW w:w="708"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tl/>
              </w:rPr>
            </w:pPr>
            <w:r w:rsidRPr="00375EB0">
              <w:rPr>
                <w:rFonts w:ascii="Simplified Arabic" w:hAnsi="Simplified Arabic" w:cs="Simplified Arabic"/>
                <w:b/>
                <w:bCs/>
                <w:sz w:val="20"/>
                <w:szCs w:val="20"/>
                <w:rtl/>
              </w:rPr>
              <w:t>58,0</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42,8</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43,3</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42,9</w:t>
            </w:r>
          </w:p>
        </w:tc>
        <w:tc>
          <w:tcPr>
            <w:tcW w:w="708"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43,7</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44,4</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45,9</w:t>
            </w:r>
          </w:p>
        </w:tc>
        <w:tc>
          <w:tcPr>
            <w:tcW w:w="709"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46,6</w:t>
            </w:r>
          </w:p>
        </w:tc>
        <w:tc>
          <w:tcPr>
            <w:tcW w:w="992" w:type="dxa"/>
            <w:shd w:val="clear" w:color="auto" w:fill="auto"/>
            <w:vAlign w:val="center"/>
            <w:hideMark/>
          </w:tcPr>
          <w:p w:rsidR="00B917B2" w:rsidRPr="00375EB0" w:rsidRDefault="00B917B2" w:rsidP="00B917B2">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0"/>
                <w:szCs w:val="20"/>
              </w:rPr>
            </w:pPr>
            <w:r w:rsidRPr="00375EB0">
              <w:rPr>
                <w:rFonts w:ascii="Simplified Arabic" w:hAnsi="Simplified Arabic" w:cs="Simplified Arabic"/>
                <w:b/>
                <w:bCs/>
                <w:sz w:val="20"/>
                <w:szCs w:val="20"/>
                <w:rtl/>
              </w:rPr>
              <w:t>-</w:t>
            </w:r>
          </w:p>
        </w:tc>
      </w:tr>
    </w:tbl>
    <w:p w:rsidR="00B917B2" w:rsidRPr="00375EB0" w:rsidRDefault="00B917B2" w:rsidP="00B917B2">
      <w:pPr>
        <w:bidi/>
        <w:spacing w:after="0" w:line="240" w:lineRule="auto"/>
        <w:rPr>
          <w:rFonts w:ascii="Simplified Arabic" w:eastAsia="Calibri" w:hAnsi="Simplified Arabic" w:cs="Simplified Arabic"/>
          <w:sz w:val="24"/>
          <w:szCs w:val="24"/>
          <w:lang w:val="en-US"/>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 xml:space="preserve">الجهاز المركزي للتعبئة العامة والاحصاء- </w:t>
      </w:r>
      <w:r w:rsidRPr="00375EB0">
        <w:rPr>
          <w:rFonts w:ascii="Simplified Arabic" w:eastAsia="Calibri" w:hAnsi="Simplified Arabic" w:cs="Simplified Arabic" w:hint="cs"/>
          <w:rtl/>
          <w:lang w:val="en-US" w:bidi="ar-EG"/>
        </w:rPr>
        <w:t>بحث</w:t>
      </w:r>
      <w:r w:rsidRPr="00375EB0">
        <w:rPr>
          <w:rFonts w:ascii="Simplified Arabic" w:eastAsia="Calibri" w:hAnsi="Simplified Arabic" w:cs="Simplified Arabic"/>
          <w:rtl/>
          <w:lang w:val="en-US" w:bidi="ar-EG"/>
        </w:rPr>
        <w:t xml:space="preserve"> القوى العاملة، للسنوات (2010 – 2017)</w:t>
      </w:r>
    </w:p>
    <w:p w:rsidR="00B917B2" w:rsidRPr="00375EB0" w:rsidRDefault="00B917B2" w:rsidP="0049430E">
      <w:pPr>
        <w:bidi/>
        <w:spacing w:after="0" w:line="240" w:lineRule="auto"/>
        <w:ind w:left="170"/>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ويعرض جدول (2-8) تطور نسب البطالة للشباب (25-29 سنة) خلال الفترة 2010-2017 فتشير البيانات إلى أن</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 xml:space="preserve">نسب البطالة بين الشباب عام 2010 بلغت قرابة 20٪ ثم أخذت اتجاهاً متزايداً عقب ثورة يناير حتى وصلت إلى 28,2٪ عام 2013 ثم بدأت في التناقص بداية من عام 2014 حينما شهدت البلاد استقراراً نسبياً لتصل إلى 26,5٪ ويستمر التناقص حتى نهاية الفترة عام 2017 لتصل إلى 24,8٪. </w:t>
      </w:r>
    </w:p>
    <w:p w:rsidR="00B917B2" w:rsidRPr="00375EB0" w:rsidRDefault="00B917B2" w:rsidP="00B917B2">
      <w:pPr>
        <w:bidi/>
        <w:spacing w:before="60" w:after="0" w:line="240" w:lineRule="auto"/>
        <w:jc w:val="center"/>
        <w:rPr>
          <w:rFonts w:ascii="Simplified Arabic" w:eastAsia="Calibri" w:hAnsi="Simplified Arabic" w:cs="Simplified Arabic"/>
          <w:sz w:val="24"/>
          <w:szCs w:val="24"/>
          <w:lang w:val="en-US" w:bidi="ar-EG"/>
        </w:rPr>
      </w:pPr>
      <w:r w:rsidRPr="00375EB0">
        <w:rPr>
          <w:rFonts w:ascii="Simplified Arabic" w:eastAsia="Calibri" w:hAnsi="Simplified Arabic" w:cs="Simplified Arabic"/>
          <w:b/>
          <w:bCs/>
          <w:sz w:val="24"/>
          <w:szCs w:val="24"/>
          <w:rtl/>
          <w:lang w:val="en-US" w:bidi="ar-EG"/>
        </w:rPr>
        <w:t xml:space="preserve">جدول (2-8): </w:t>
      </w:r>
      <w:r w:rsidRPr="00375EB0">
        <w:rPr>
          <w:rFonts w:ascii="Simplified Arabic" w:eastAsia="Calibri" w:hAnsi="Simplified Arabic" w:cs="Simplified Arabic"/>
          <w:b/>
          <w:bCs/>
          <w:sz w:val="24"/>
          <w:szCs w:val="24"/>
          <w:rtl/>
          <w:lang w:val="en-US"/>
        </w:rPr>
        <w:t>تطور نسب البطالة للشباب (15- 29 سنة) وفقاً للنوع</w:t>
      </w:r>
    </w:p>
    <w:tbl>
      <w:tblPr>
        <w:bidiVisual/>
        <w:tblW w:w="61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540"/>
        <w:gridCol w:w="1540"/>
        <w:gridCol w:w="1540"/>
        <w:gridCol w:w="1540"/>
      </w:tblGrid>
      <w:tr w:rsidR="00B917B2" w:rsidRPr="00375EB0" w:rsidTr="00B917B2">
        <w:trPr>
          <w:trHeight w:hRule="exact" w:val="340"/>
          <w:jc w:val="center"/>
        </w:trPr>
        <w:tc>
          <w:tcPr>
            <w:tcW w:w="1540" w:type="dxa"/>
            <w:shd w:val="clear" w:color="auto" w:fill="FFFFFF" w:themeFill="background1"/>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السنوات</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ذكور</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إناث</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جملة</w:t>
            </w:r>
          </w:p>
        </w:tc>
      </w:tr>
      <w:tr w:rsidR="00B917B2" w:rsidRPr="00375EB0" w:rsidTr="00B917B2">
        <w:trPr>
          <w:trHeight w:hRule="exact" w:val="340"/>
          <w:jc w:val="center"/>
        </w:trPr>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2010</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11,2</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45,8</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19,8</w:t>
            </w:r>
          </w:p>
        </w:tc>
      </w:tr>
      <w:tr w:rsidR="00B917B2" w:rsidRPr="00375EB0" w:rsidTr="00B917B2">
        <w:trPr>
          <w:trHeight w:hRule="exact" w:val="340"/>
          <w:jc w:val="center"/>
        </w:trPr>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2011</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18,2</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43,7</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24,1</w:t>
            </w:r>
          </w:p>
        </w:tc>
      </w:tr>
      <w:tr w:rsidR="00B917B2" w:rsidRPr="00375EB0" w:rsidTr="00B917B2">
        <w:trPr>
          <w:trHeight w:hRule="exact" w:val="340"/>
          <w:jc w:val="center"/>
        </w:trPr>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2012</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21,0</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48,8</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27,7</w:t>
            </w:r>
          </w:p>
        </w:tc>
      </w:tr>
      <w:tr w:rsidR="00B917B2" w:rsidRPr="00375EB0" w:rsidTr="00B917B2">
        <w:trPr>
          <w:trHeight w:hRule="exact" w:val="340"/>
          <w:jc w:val="center"/>
        </w:trPr>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2013</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21,3</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48,6</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28,2</w:t>
            </w:r>
          </w:p>
        </w:tc>
      </w:tr>
      <w:tr w:rsidR="00B917B2" w:rsidRPr="00375EB0" w:rsidTr="00B917B2">
        <w:trPr>
          <w:trHeight w:hRule="exact" w:val="340"/>
          <w:jc w:val="center"/>
        </w:trPr>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2014</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20,6</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44,0</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26,5</w:t>
            </w:r>
          </w:p>
        </w:tc>
      </w:tr>
      <w:tr w:rsidR="00B917B2" w:rsidRPr="00375EB0" w:rsidTr="00B917B2">
        <w:trPr>
          <w:trHeight w:hRule="exact" w:val="340"/>
          <w:jc w:val="center"/>
        </w:trPr>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2015</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21,8</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36,5</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26,1</w:t>
            </w:r>
          </w:p>
        </w:tc>
      </w:tr>
      <w:tr w:rsidR="00B917B2" w:rsidRPr="00375EB0" w:rsidTr="00B917B2">
        <w:trPr>
          <w:trHeight w:hRule="exact" w:val="340"/>
          <w:jc w:val="center"/>
        </w:trPr>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2016</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21,0</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36,6</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25,6</w:t>
            </w:r>
          </w:p>
        </w:tc>
      </w:tr>
      <w:tr w:rsidR="00B917B2" w:rsidRPr="00375EB0" w:rsidTr="00B917B2">
        <w:trPr>
          <w:trHeight w:hRule="exact" w:val="340"/>
          <w:jc w:val="center"/>
        </w:trPr>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2017</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20,0</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36,5</w:t>
            </w:r>
          </w:p>
        </w:tc>
        <w:tc>
          <w:tcPr>
            <w:tcW w:w="1540" w:type="dxa"/>
            <w:shd w:val="clear" w:color="auto" w:fill="FFFFFF" w:themeFill="background1"/>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24,8</w:t>
            </w:r>
          </w:p>
        </w:tc>
      </w:tr>
    </w:tbl>
    <w:p w:rsidR="00B917B2" w:rsidRPr="00375EB0" w:rsidRDefault="00B917B2" w:rsidP="00B917B2">
      <w:pPr>
        <w:bidi/>
        <w:spacing w:after="0" w:line="240" w:lineRule="auto"/>
        <w:ind w:left="624"/>
        <w:jc w:val="both"/>
        <w:rPr>
          <w:rFonts w:ascii="Simplified Arabic" w:eastAsia="Calibri" w:hAnsi="Simplified Arabic" w:cs="Simplified Arabic"/>
          <w:b/>
          <w:bCs/>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 xml:space="preserve">الجهاز المركزي للتعبئة العامة والاحصاء- </w:t>
      </w:r>
      <w:r w:rsidRPr="00375EB0">
        <w:rPr>
          <w:rFonts w:ascii="Simplified Arabic" w:eastAsia="Calibri" w:hAnsi="Simplified Arabic" w:cs="Simplified Arabic" w:hint="cs"/>
          <w:rtl/>
          <w:lang w:val="en-US" w:bidi="ar-EG"/>
        </w:rPr>
        <w:t>بحث</w:t>
      </w:r>
      <w:r w:rsidRPr="00375EB0">
        <w:rPr>
          <w:rFonts w:ascii="Simplified Arabic" w:eastAsia="Calibri" w:hAnsi="Simplified Arabic" w:cs="Simplified Arabic"/>
          <w:rtl/>
          <w:lang w:val="en-US" w:bidi="ar-EG"/>
        </w:rPr>
        <w:t xml:space="preserve"> القوى العاملة، 2017.</w:t>
      </w:r>
    </w:p>
    <w:p w:rsidR="00B917B2" w:rsidRPr="00375EB0" w:rsidRDefault="00B917B2" w:rsidP="00616254">
      <w:pPr>
        <w:pStyle w:val="ListParagraph"/>
        <w:numPr>
          <w:ilvl w:val="0"/>
          <w:numId w:val="16"/>
        </w:numPr>
        <w:spacing w:after="0" w:line="240" w:lineRule="auto"/>
        <w:ind w:left="360"/>
        <w:jc w:val="both"/>
        <w:rPr>
          <w:rFonts w:ascii="Simplified Arabic" w:eastAsia="Calibri" w:hAnsi="Simplified Arabic" w:cs="Simplified Arabic"/>
          <w:b/>
          <w:bCs/>
          <w:sz w:val="30"/>
          <w:szCs w:val="30"/>
          <w:lang w:bidi="ar-EG"/>
        </w:rPr>
      </w:pPr>
      <w:r w:rsidRPr="00375EB0">
        <w:rPr>
          <w:rFonts w:ascii="Simplified Arabic" w:eastAsia="Calibri" w:hAnsi="Simplified Arabic" w:cs="Simplified Arabic"/>
          <w:b/>
          <w:bCs/>
          <w:sz w:val="30"/>
          <w:szCs w:val="30"/>
          <w:u w:val="single"/>
          <w:rtl/>
        </w:rPr>
        <w:lastRenderedPageBreak/>
        <w:t>البطالة طويلة الأمد:</w:t>
      </w:r>
    </w:p>
    <w:p w:rsidR="00B917B2" w:rsidRPr="00375EB0" w:rsidRDefault="00B917B2" w:rsidP="00B917B2">
      <w:pPr>
        <w:bidi/>
        <w:spacing w:before="120" w:after="0" w:line="240" w:lineRule="auto"/>
        <w:ind w:left="170" w:firstLine="550"/>
        <w:contextualSpacing/>
        <w:jc w:val="both"/>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sz w:val="28"/>
          <w:szCs w:val="28"/>
          <w:rtl/>
          <w:lang w:val="en-US" w:bidi="ar-EG"/>
        </w:rPr>
        <w:t>يُعدُّ طول فترة التعطل أحد المتغيرات الهامة التى يجب قياسها للوقوف على أبعاد ظاهرة البطالة بغرض التعرُّف على طول فترة التعطل للمُتعطلين الحإليين، وتقسم البطالة وفقاً لفترة التعطل إلي:</w:t>
      </w:r>
    </w:p>
    <w:p w:rsidR="00B917B2" w:rsidRPr="00375EB0" w:rsidRDefault="00B917B2" w:rsidP="00616254">
      <w:pPr>
        <w:pStyle w:val="ListParagraph"/>
        <w:numPr>
          <w:ilvl w:val="0"/>
          <w:numId w:val="22"/>
        </w:numPr>
        <w:spacing w:before="120" w:after="0" w:line="240" w:lineRule="auto"/>
        <w:ind w:left="631" w:hanging="461"/>
        <w:jc w:val="both"/>
        <w:rPr>
          <w:rFonts w:ascii="Simplified Arabic" w:eastAsia="Calibri" w:hAnsi="Simplified Arabic" w:cs="Simplified Arabic"/>
          <w:b/>
          <w:bCs/>
          <w:sz w:val="30"/>
          <w:szCs w:val="30"/>
          <w:rtl/>
          <w:lang w:bidi="ar-EG"/>
        </w:rPr>
      </w:pPr>
      <w:r w:rsidRPr="00375EB0">
        <w:rPr>
          <w:rFonts w:ascii="Simplified Arabic" w:eastAsia="Calibri" w:hAnsi="Simplified Arabic" w:cs="Simplified Arabic"/>
          <w:sz w:val="28"/>
          <w:szCs w:val="28"/>
          <w:rtl/>
          <w:lang w:bidi="ar-EG"/>
        </w:rPr>
        <w:t xml:space="preserve">البطالة قصيرة الأمد وفيها تكون فترة التعطل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قل من عام.</w:t>
      </w:r>
    </w:p>
    <w:p w:rsidR="00B917B2" w:rsidRPr="00375EB0" w:rsidRDefault="00B917B2" w:rsidP="00616254">
      <w:pPr>
        <w:pStyle w:val="ListParagraph"/>
        <w:numPr>
          <w:ilvl w:val="0"/>
          <w:numId w:val="22"/>
        </w:numPr>
        <w:spacing w:before="120" w:after="0" w:line="240" w:lineRule="auto"/>
        <w:ind w:left="631" w:hanging="461"/>
        <w:jc w:val="both"/>
        <w:rPr>
          <w:rFonts w:ascii="Simplified Arabic" w:eastAsia="Calibri" w:hAnsi="Simplified Arabic" w:cs="Simplified Arabic"/>
          <w:b/>
          <w:bCs/>
          <w:sz w:val="30"/>
          <w:szCs w:val="30"/>
          <w:rtl/>
          <w:lang w:bidi="ar-EG"/>
        </w:rPr>
      </w:pPr>
      <w:r w:rsidRPr="00375EB0">
        <w:rPr>
          <w:rFonts w:ascii="Simplified Arabic" w:eastAsia="Calibri" w:hAnsi="Simplified Arabic" w:cs="Simplified Arabic"/>
          <w:sz w:val="28"/>
          <w:szCs w:val="28"/>
          <w:rtl/>
          <w:lang w:bidi="ar-EG"/>
        </w:rPr>
        <w:t>البطالة طويلة الأمد وفيها تكون فترة التعطل أكثر من عام.</w:t>
      </w:r>
    </w:p>
    <w:p w:rsidR="00B917B2" w:rsidRPr="00375EB0" w:rsidRDefault="00B917B2" w:rsidP="00B917B2">
      <w:pPr>
        <w:bidi/>
        <w:spacing w:before="60"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يشير شكل (2-10)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لى التوزيع النسبي للمتعطلين طبقًا لفترة التعطل والحالة التعليمية والنوع عام 2017 وتشير البيانات الى ان:</w:t>
      </w:r>
    </w:p>
    <w:p w:rsidR="00B917B2" w:rsidRPr="00375EB0" w:rsidRDefault="00B917B2" w:rsidP="00616254">
      <w:pPr>
        <w:pStyle w:val="ListParagraph"/>
        <w:numPr>
          <w:ilvl w:val="0"/>
          <w:numId w:val="23"/>
        </w:numPr>
        <w:spacing w:after="0" w:line="240" w:lineRule="auto"/>
        <w:ind w:left="530"/>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 xml:space="preserve">27,2٪ من الذكور المتعطلين الحاصلين على مؤهل جامعى فأعلى، 23,8٪ من الإناث المتعطلات </w:t>
      </w:r>
      <w:r w:rsidRPr="00375EB0">
        <w:rPr>
          <w:rFonts w:ascii="Simplified Arabic" w:eastAsia="Calibri" w:hAnsi="Simplified Arabic" w:cs="Simplified Arabic" w:hint="cs"/>
          <w:sz w:val="28"/>
          <w:szCs w:val="28"/>
          <w:rtl/>
          <w:lang w:bidi="ar-EG"/>
        </w:rPr>
        <w:t>ب</w:t>
      </w:r>
      <w:r w:rsidRPr="00375EB0">
        <w:rPr>
          <w:rFonts w:ascii="Simplified Arabic" w:eastAsia="Calibri" w:hAnsi="Simplified Arabic" w:cs="Simplified Arabic"/>
          <w:sz w:val="28"/>
          <w:szCs w:val="28"/>
          <w:rtl/>
          <w:lang w:bidi="ar-EG"/>
        </w:rPr>
        <w:t>احثون/باحثات عن عمل وراغبون/راغبات فيه منذ مدة أقل من عام (التعطل قصير الأمد).</w:t>
      </w:r>
    </w:p>
    <w:p w:rsidR="00B917B2" w:rsidRPr="00375EB0" w:rsidRDefault="00B917B2" w:rsidP="00616254">
      <w:pPr>
        <w:pStyle w:val="ListParagraph"/>
        <w:numPr>
          <w:ilvl w:val="0"/>
          <w:numId w:val="23"/>
        </w:numPr>
        <w:spacing w:after="0" w:line="240" w:lineRule="auto"/>
        <w:ind w:left="530"/>
        <w:jc w:val="both"/>
        <w:rPr>
          <w:rFonts w:ascii="Simplified Arabic" w:eastAsia="Calibri" w:hAnsi="Simplified Arabic" w:cs="Simplified Arabic"/>
          <w:sz w:val="28"/>
          <w:szCs w:val="28"/>
          <w:lang w:bidi="ar-EG"/>
        </w:rPr>
      </w:pPr>
      <w:r w:rsidRPr="00375EB0">
        <w:rPr>
          <w:rFonts w:eastAsia="Times New Roman"/>
          <w:noProof/>
          <w:rtl/>
        </w:rPr>
        <w:drawing>
          <wp:anchor distT="0" distB="0" distL="114300" distR="114300" simplePos="0" relativeHeight="251670528" behindDoc="0" locked="0" layoutInCell="1" allowOverlap="1" wp14:anchorId="3F184B3D" wp14:editId="220B2865">
            <wp:simplePos x="0" y="0"/>
            <wp:positionH relativeFrom="margin">
              <wp:align>right</wp:align>
            </wp:positionH>
            <wp:positionV relativeFrom="paragraph">
              <wp:posOffset>1483360</wp:posOffset>
            </wp:positionV>
            <wp:extent cx="4762500" cy="2486025"/>
            <wp:effectExtent l="0" t="0" r="0" b="0"/>
            <wp:wrapSquare wrapText="bothSides"/>
            <wp:docPr id="29"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375EB0">
        <w:rPr>
          <w:rFonts w:ascii="Simplified Arabic" w:eastAsia="Calibri" w:hAnsi="Simplified Arabic" w:cs="Simplified Arabic"/>
          <w:sz w:val="28"/>
          <w:szCs w:val="28"/>
          <w:rtl/>
          <w:lang w:bidi="ar-EG"/>
        </w:rPr>
        <w:t xml:space="preserve">34,6٪ من إجمالى المتعطلين الذكور الحاصلين على مؤهل جامعى فأعلى، يبحثون عن عمل لمدة تراوحت بين عام وعامين، أكبر نسبة للإناث الباحثات عن عمل لمدة 3 سنوات فأكثر بلغت 34,7٪، دالاً ذلك على طول فترة التعطل بشكل أكبر فى حالة الإناث حيث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نه</w:t>
      </w:r>
      <w:r w:rsidRPr="00375EB0">
        <w:rPr>
          <w:rFonts w:ascii="Simplified Arabic" w:eastAsia="Calibri" w:hAnsi="Simplified Arabic" w:cs="Simplified Arabic" w:hint="cs"/>
          <w:sz w:val="28"/>
          <w:szCs w:val="28"/>
          <w:rtl/>
          <w:lang w:bidi="ar-EG"/>
        </w:rPr>
        <w:t>ن</w:t>
      </w:r>
      <w:r w:rsidRPr="00375EB0">
        <w:rPr>
          <w:rFonts w:ascii="Simplified Arabic" w:eastAsia="Calibri" w:hAnsi="Simplified Arabic" w:cs="Simplified Arabic"/>
          <w:sz w:val="28"/>
          <w:szCs w:val="28"/>
          <w:rtl/>
          <w:lang w:bidi="ar-EG"/>
        </w:rPr>
        <w:t xml:space="preserve"> يفضلن العمل فى الغالب وفقا لشروط معينة تتوافق وظروفهن.</w:t>
      </w:r>
    </w:p>
    <w:p w:rsidR="00B917B2" w:rsidRPr="00375EB0" w:rsidRDefault="00B917B2" w:rsidP="00B917B2">
      <w:pPr>
        <w:bidi/>
      </w:pPr>
      <w:r w:rsidRPr="00375EB0">
        <w:rPr>
          <w:rFonts w:cs="Arial"/>
          <w:b/>
          <w:bCs/>
          <w:rtl/>
        </w:rPr>
        <w:t>المصدر:</w:t>
      </w:r>
      <w:r w:rsidRPr="00375EB0">
        <w:rPr>
          <w:rFonts w:cs="Arial"/>
          <w:rtl/>
        </w:rPr>
        <w:t xml:space="preserve"> الجهاز المركزي للتعبئة العامة والاحصاء- بحث القوى العاملة، 2017.</w:t>
      </w:r>
    </w:p>
    <w:p w:rsidR="00B917B2" w:rsidRPr="00375EB0" w:rsidRDefault="00B917B2" w:rsidP="00616254">
      <w:pPr>
        <w:pStyle w:val="ListParagraph"/>
        <w:numPr>
          <w:ilvl w:val="0"/>
          <w:numId w:val="16"/>
        </w:numPr>
        <w:spacing w:before="120" w:after="0" w:line="240" w:lineRule="auto"/>
        <w:ind w:left="360"/>
        <w:rPr>
          <w:rFonts w:ascii="Simplified Arabic" w:eastAsia="Calibri" w:hAnsi="Simplified Arabic" w:cs="Simplified Arabic"/>
          <w:b/>
          <w:bCs/>
          <w:sz w:val="30"/>
          <w:szCs w:val="30"/>
          <w:lang w:bidi="ar-EG"/>
        </w:rPr>
      </w:pPr>
      <w:r w:rsidRPr="00375EB0">
        <w:rPr>
          <w:rFonts w:ascii="Simplified Arabic" w:eastAsia="Calibri" w:hAnsi="Simplified Arabic" w:cs="Simplified Arabic"/>
          <w:b/>
          <w:bCs/>
          <w:sz w:val="30"/>
          <w:szCs w:val="30"/>
          <w:u w:val="single"/>
          <w:rtl/>
        </w:rPr>
        <w:lastRenderedPageBreak/>
        <w:t>البطالة طبقاً للحالة التعليمية</w:t>
      </w:r>
    </w:p>
    <w:p w:rsidR="00B917B2" w:rsidRPr="00375EB0" w:rsidRDefault="00B917B2" w:rsidP="00B917B2">
      <w:pPr>
        <w:bidi/>
        <w:spacing w:after="0" w:line="240" w:lineRule="auto"/>
        <w:ind w:left="170" w:firstLine="720"/>
        <w:contextualSpacing/>
        <w:rPr>
          <w:rFonts w:ascii="Simplified Arabic" w:eastAsia="Calibri" w:hAnsi="Simplified Arabic" w:cs="Simplified Arabic"/>
          <w:b/>
          <w:bCs/>
          <w:sz w:val="30"/>
          <w:szCs w:val="30"/>
          <w:rtl/>
          <w:lang w:val="en-US" w:bidi="ar-EG"/>
        </w:rPr>
      </w:pPr>
      <w:r w:rsidRPr="00375EB0">
        <w:rPr>
          <w:rFonts w:ascii="Simplified Arabic" w:eastAsia="Calibri" w:hAnsi="Simplified Arabic" w:cs="Simplified Arabic"/>
          <w:sz w:val="28"/>
          <w:szCs w:val="28"/>
          <w:rtl/>
          <w:lang w:val="en-US" w:bidi="ar-EG"/>
        </w:rPr>
        <w:t xml:space="preserve">يعرض جدول (2-9) نسب البطالة للأفراد (15-64 سنة) طبقاً للحالة التعليمية والنوع للأعوام 2010، 2013، 2017، يتضح من الجدول أن: </w:t>
      </w:r>
    </w:p>
    <w:p w:rsidR="00B917B2" w:rsidRPr="00375EB0" w:rsidRDefault="00B917B2" w:rsidP="00616254">
      <w:pPr>
        <w:pStyle w:val="ListParagraph"/>
        <w:numPr>
          <w:ilvl w:val="0"/>
          <w:numId w:val="24"/>
        </w:numPr>
        <w:spacing w:after="0" w:line="240" w:lineRule="auto"/>
        <w:ind w:left="631" w:hanging="461"/>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أعلى نسب للبطالة توجد بين الحاصلين على مؤهل جامعي فأكثر، وقد ارتفعت من 18,9٪ عام 2010 إلى 20,8٪ عام 2017، كذلك ترتفع أيضاً نسب البطالة بين الحاصلين على مؤهل متوسط فني من 12,2٪ عام 2010 الى 17٪ عام 2017، أتظهر نسب البطالة لهذ</w:t>
      </w:r>
      <w:r w:rsidRPr="00375EB0">
        <w:rPr>
          <w:rFonts w:ascii="Simplified Arabic" w:eastAsia="Calibri" w:hAnsi="Simplified Arabic" w:cs="Simplified Arabic" w:hint="cs"/>
          <w:sz w:val="28"/>
          <w:szCs w:val="28"/>
          <w:rtl/>
          <w:lang w:bidi="ar-EG"/>
        </w:rPr>
        <w:t>ين</w:t>
      </w:r>
      <w:r w:rsidRPr="00375EB0">
        <w:rPr>
          <w:rFonts w:ascii="Simplified Arabic" w:eastAsia="Calibri" w:hAnsi="Simplified Arabic" w:cs="Simplified Arabic"/>
          <w:sz w:val="28"/>
          <w:szCs w:val="28"/>
          <w:rtl/>
          <w:lang w:bidi="ar-EG"/>
        </w:rPr>
        <w:t xml:space="preserve"> المؤهلين نسب عإلية جدا بين الإناث لتصل إلى 35,6٪ للمؤهل المتــــوسط الفنى، 31,3٪ للمؤهل الجامعى</w:t>
      </w:r>
      <w:r w:rsidRPr="00375EB0">
        <w:rPr>
          <w:rFonts w:ascii="Simplified Arabic" w:eastAsia="Calibri" w:hAnsi="Simplified Arabic" w:cs="Simplified Arabic" w:hint="cs"/>
          <w:sz w:val="28"/>
          <w:szCs w:val="28"/>
          <w:rtl/>
          <w:lang w:bidi="ar-EG"/>
        </w:rPr>
        <w:t>،</w:t>
      </w:r>
      <w:r w:rsidRPr="00375EB0">
        <w:rPr>
          <w:rFonts w:ascii="Simplified Arabic" w:eastAsia="Calibri" w:hAnsi="Simplified Arabic" w:cs="Simplified Arabic"/>
          <w:sz w:val="28"/>
          <w:szCs w:val="28"/>
          <w:rtl/>
          <w:lang w:bidi="ar-EG"/>
        </w:rPr>
        <w:t xml:space="preserve"> مقابل 11,6٪، 14,8٪ للذكور على التوإلي، بالنسبة للمؤهل فوق المتوسط وأقل من الجامعى فحوإلي ربع الإناث من المتعطلات.</w:t>
      </w:r>
    </w:p>
    <w:p w:rsidR="00B917B2" w:rsidRPr="00375EB0" w:rsidRDefault="00B917B2" w:rsidP="00616254">
      <w:pPr>
        <w:pStyle w:val="ListParagraph"/>
        <w:numPr>
          <w:ilvl w:val="0"/>
          <w:numId w:val="24"/>
        </w:numPr>
        <w:spacing w:after="0" w:line="240" w:lineRule="auto"/>
        <w:ind w:left="631" w:hanging="461"/>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أقل نسب للبطالة للحاصلين على مؤهل أقل من المتوسط أو يقرأون ويكتبون والأميين.</w:t>
      </w:r>
    </w:p>
    <w:p w:rsidR="00B917B2" w:rsidRPr="00375EB0" w:rsidRDefault="00B917B2" w:rsidP="00B917B2">
      <w:pPr>
        <w:bidi/>
        <w:spacing w:after="0" w:line="240" w:lineRule="auto"/>
        <w:jc w:val="center"/>
        <w:rPr>
          <w:rFonts w:ascii="Simplified Arabic" w:eastAsia="Calibri" w:hAnsi="Simplified Arabic" w:cs="Simplified Arabic"/>
          <w:b/>
          <w:bCs/>
          <w:rtl/>
          <w:lang w:val="en-US"/>
        </w:rPr>
      </w:pPr>
      <w:r w:rsidRPr="00375EB0">
        <w:rPr>
          <w:rFonts w:ascii="Simplified Arabic" w:eastAsia="Calibri" w:hAnsi="Simplified Arabic" w:cs="Simplified Arabic"/>
          <w:b/>
          <w:bCs/>
          <w:rtl/>
          <w:lang w:val="en-US"/>
        </w:rPr>
        <w:t>جدول (2-9): نسب البطالة</w:t>
      </w:r>
      <w:r w:rsidRPr="00375EB0">
        <w:rPr>
          <w:rFonts w:ascii="Simplified Arabic" w:eastAsia="Calibri" w:hAnsi="Simplified Arabic" w:cs="Simplified Arabic"/>
          <w:b/>
          <w:bCs/>
          <w:lang w:val="en-US"/>
        </w:rPr>
        <w:t xml:space="preserve">) </w:t>
      </w:r>
      <w:r w:rsidRPr="00375EB0">
        <w:rPr>
          <w:rFonts w:ascii="Simplified Arabic" w:eastAsia="Calibri" w:hAnsi="Simplified Arabic" w:cs="Simplified Arabic"/>
          <w:b/>
          <w:bCs/>
          <w:rtl/>
          <w:lang w:val="en-US"/>
        </w:rPr>
        <w:t>15-64 سنة) طبقاً للحالة التعليمية والنوع للأعوام</w:t>
      </w:r>
    </w:p>
    <w:p w:rsidR="00B917B2" w:rsidRPr="00375EB0" w:rsidRDefault="00B917B2" w:rsidP="00B917B2">
      <w:pPr>
        <w:bidi/>
        <w:spacing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rPr>
        <w:t xml:space="preserve"> (2010، 2013، 2017)</w:t>
      </w:r>
    </w:p>
    <w:tbl>
      <w:tblPr>
        <w:tblStyle w:val="LightShading-Accent421"/>
        <w:bidiVisual/>
        <w:tblW w:w="851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2132"/>
        <w:gridCol w:w="708"/>
        <w:gridCol w:w="709"/>
        <w:gridCol w:w="709"/>
        <w:gridCol w:w="708"/>
        <w:gridCol w:w="709"/>
        <w:gridCol w:w="709"/>
        <w:gridCol w:w="708"/>
        <w:gridCol w:w="709"/>
        <w:gridCol w:w="709"/>
      </w:tblGrid>
      <w:tr w:rsidR="00B917B2" w:rsidRPr="00375EB0" w:rsidTr="00B917B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32" w:type="dxa"/>
            <w:vMerge w:val="restar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rPr>
                <w:rFonts w:ascii="Simplified Arabic" w:eastAsia="Times New Roman" w:hAnsi="Simplified Arabic" w:cs="Simplified Arabic"/>
                <w:color w:val="auto"/>
                <w:rtl/>
              </w:rPr>
            </w:pPr>
            <w:r w:rsidRPr="00375EB0">
              <w:rPr>
                <w:rFonts w:ascii="Simplified Arabic" w:eastAsia="Times New Roman" w:hAnsi="Simplified Arabic" w:cs="Simplified Arabic"/>
                <w:color w:val="auto"/>
                <w:rtl/>
              </w:rPr>
              <w:t>الحالة التعليمية</w:t>
            </w:r>
          </w:p>
        </w:tc>
        <w:tc>
          <w:tcPr>
            <w:tcW w:w="2126" w:type="dxa"/>
            <w:gridSpan w:val="3"/>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sz w:val="20"/>
                <w:szCs w:val="20"/>
              </w:rPr>
            </w:pPr>
            <w:r w:rsidRPr="00375EB0">
              <w:rPr>
                <w:rFonts w:ascii="Simplified Arabic" w:eastAsia="Times New Roman" w:hAnsi="Simplified Arabic" w:cs="Simplified Arabic"/>
                <w:color w:val="auto"/>
                <w:sz w:val="20"/>
                <w:szCs w:val="20"/>
                <w:rtl/>
              </w:rPr>
              <w:t>2010</w:t>
            </w:r>
          </w:p>
        </w:tc>
        <w:tc>
          <w:tcPr>
            <w:tcW w:w="2126" w:type="dxa"/>
            <w:gridSpan w:val="3"/>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sz w:val="20"/>
                <w:szCs w:val="20"/>
              </w:rPr>
            </w:pPr>
            <w:r w:rsidRPr="00375EB0">
              <w:rPr>
                <w:rFonts w:ascii="Simplified Arabic" w:eastAsia="Times New Roman" w:hAnsi="Simplified Arabic" w:cs="Simplified Arabic"/>
                <w:color w:val="auto"/>
                <w:sz w:val="20"/>
                <w:szCs w:val="20"/>
                <w:rtl/>
              </w:rPr>
              <w:t>2013</w:t>
            </w:r>
          </w:p>
        </w:tc>
        <w:tc>
          <w:tcPr>
            <w:tcW w:w="2126" w:type="dxa"/>
            <w:gridSpan w:val="3"/>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auto"/>
                <w:sz w:val="20"/>
                <w:szCs w:val="20"/>
              </w:rPr>
            </w:pPr>
            <w:r w:rsidRPr="00375EB0">
              <w:rPr>
                <w:rFonts w:ascii="Simplified Arabic" w:eastAsia="Times New Roman" w:hAnsi="Simplified Arabic" w:cs="Simplified Arabic"/>
                <w:color w:val="auto"/>
                <w:sz w:val="20"/>
                <w:szCs w:val="20"/>
                <w:rtl/>
              </w:rPr>
              <w:t>2017</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32" w:type="dxa"/>
            <w:vMerge/>
            <w:tcBorders>
              <w:left w:val="none" w:sz="0" w:space="0" w:color="auto"/>
              <w:right w:val="none" w:sz="0" w:space="0" w:color="auto"/>
            </w:tcBorders>
            <w:shd w:val="clear" w:color="auto" w:fill="auto"/>
            <w:vAlign w:val="center"/>
            <w:hideMark/>
          </w:tcPr>
          <w:p w:rsidR="00B917B2" w:rsidRPr="00375EB0" w:rsidRDefault="00B917B2" w:rsidP="009A0EF8">
            <w:pPr>
              <w:bidi/>
              <w:spacing w:after="0"/>
              <w:rPr>
                <w:rFonts w:ascii="Simplified Arabic" w:eastAsia="Times New Roman" w:hAnsi="Simplified Arabic" w:cs="Simplified Arabic"/>
                <w:color w:val="auto"/>
              </w:rPr>
            </w:pPr>
          </w:p>
        </w:tc>
        <w:tc>
          <w:tcPr>
            <w:tcW w:w="708" w:type="dxa"/>
            <w:tcBorders>
              <w:left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ذكور</w:t>
            </w:r>
          </w:p>
        </w:tc>
        <w:tc>
          <w:tcPr>
            <w:tcW w:w="709" w:type="dxa"/>
            <w:tcBorders>
              <w:left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إناث</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جملة</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ذكور</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إناث</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جملة</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ذكور</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إناث</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tl/>
              </w:rPr>
              <w:t>جملة</w:t>
            </w:r>
          </w:p>
        </w:tc>
      </w:tr>
      <w:tr w:rsidR="00B917B2" w:rsidRPr="00375EB0" w:rsidTr="00B917B2">
        <w:trPr>
          <w:trHeight w:val="288"/>
          <w:jc w:val="center"/>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vAlign w:val="center"/>
            <w:hideMark/>
          </w:tcPr>
          <w:p w:rsidR="00B917B2" w:rsidRPr="00375EB0" w:rsidRDefault="00B917B2" w:rsidP="009A0EF8">
            <w:pPr>
              <w:bidi/>
              <w:spacing w:after="0"/>
              <w:jc w:val="lowKashida"/>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أمي</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0,9</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0,9</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0,9</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5,8</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4,5</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5,4</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2,3</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1,9</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2,2</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32"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lowKashida"/>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يقرأ ويكتب وشهادة محو الأمية</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0,9</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4,1</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1,2</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5,1</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5,8</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5,2</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1,9</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11,4</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2,9</w:t>
            </w:r>
          </w:p>
        </w:tc>
      </w:tr>
      <w:tr w:rsidR="00B917B2" w:rsidRPr="00375EB0" w:rsidTr="00B917B2">
        <w:trPr>
          <w:trHeight w:val="288"/>
          <w:jc w:val="center"/>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vAlign w:val="center"/>
            <w:hideMark/>
          </w:tcPr>
          <w:p w:rsidR="00B917B2" w:rsidRPr="00375EB0" w:rsidRDefault="00B917B2" w:rsidP="009A0EF8">
            <w:pPr>
              <w:bidi/>
              <w:spacing w:after="0"/>
              <w:jc w:val="lowKashida"/>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مؤهل أقــــــل مـــــن المتوسط</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2,1</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14,4</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3,0</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9,3</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15,7</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10,0</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7,2</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5,5</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6,9</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32"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lowKashida"/>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ثانوية عامة وثانوية أزهرية</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10,8</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27,4</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13,1</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11,3</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35,8</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14,0</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2,9</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7,7</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3,9</w:t>
            </w:r>
          </w:p>
        </w:tc>
      </w:tr>
      <w:tr w:rsidR="00B917B2" w:rsidRPr="00375EB0" w:rsidTr="00B917B2">
        <w:trPr>
          <w:trHeight w:val="288"/>
          <w:jc w:val="center"/>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vAlign w:val="center"/>
            <w:hideMark/>
          </w:tcPr>
          <w:p w:rsidR="00B917B2" w:rsidRPr="00375EB0" w:rsidRDefault="00B917B2" w:rsidP="009A0EF8">
            <w:pPr>
              <w:bidi/>
              <w:spacing w:after="0"/>
              <w:jc w:val="lowKashida"/>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مؤهل متوسط فنى</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6,3</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34,1</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12,2</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11,5</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36,3</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17,1</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11,6</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35,6</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17,0</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32"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lowKashida"/>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مؤهــــل فوق المتوسط وأقل من الجامعى</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9,0</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34,3</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16,6</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11,1</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23,1</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14,1</w:t>
            </w:r>
          </w:p>
        </w:tc>
        <w:tc>
          <w:tcPr>
            <w:tcW w:w="708"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6,0</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25,5</w:t>
            </w:r>
          </w:p>
        </w:tc>
        <w:tc>
          <w:tcPr>
            <w:tcW w:w="709" w:type="dxa"/>
            <w:tcBorders>
              <w:left w:val="none" w:sz="0" w:space="0" w:color="auto"/>
              <w:right w:val="none" w:sz="0" w:space="0" w:color="auto"/>
            </w:tcBorders>
            <w:shd w:val="clear" w:color="auto" w:fill="auto"/>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10,8</w:t>
            </w:r>
          </w:p>
        </w:tc>
      </w:tr>
      <w:tr w:rsidR="00B917B2" w:rsidRPr="00375EB0" w:rsidTr="00B917B2">
        <w:trPr>
          <w:trHeight w:val="288"/>
          <w:jc w:val="center"/>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vAlign w:val="center"/>
            <w:hideMark/>
          </w:tcPr>
          <w:p w:rsidR="00B917B2" w:rsidRPr="00375EB0" w:rsidRDefault="00B917B2" w:rsidP="009A0EF8">
            <w:pPr>
              <w:bidi/>
              <w:spacing w:after="0"/>
              <w:jc w:val="lowKashida"/>
              <w:rPr>
                <w:rFonts w:ascii="Simplified Arabic" w:eastAsia="Times New Roman" w:hAnsi="Simplified Arabic" w:cs="Simplified Arabic"/>
                <w:color w:val="auto"/>
              </w:rPr>
            </w:pPr>
            <w:r w:rsidRPr="00375EB0">
              <w:rPr>
                <w:rFonts w:ascii="Simplified Arabic" w:eastAsia="Times New Roman" w:hAnsi="Simplified Arabic" w:cs="Simplified Arabic"/>
                <w:color w:val="auto"/>
                <w:rtl/>
              </w:rPr>
              <w:t>مؤهل جامعى ومؤهل فــوق الجامعى</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11,1</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33,7</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18,9</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15,3</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34,0</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22,0</w:t>
            </w:r>
          </w:p>
        </w:tc>
        <w:tc>
          <w:tcPr>
            <w:tcW w:w="708"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14,8</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31,3</w:t>
            </w:r>
          </w:p>
        </w:tc>
        <w:tc>
          <w:tcPr>
            <w:tcW w:w="709" w:type="dxa"/>
            <w:shd w:val="clear" w:color="auto" w:fill="auto"/>
            <w:vAlign w:val="center"/>
            <w:hideMark/>
          </w:tcPr>
          <w:p w:rsidR="00B917B2" w:rsidRPr="00375EB0" w:rsidRDefault="00B917B2" w:rsidP="009A0EF8">
            <w:pPr>
              <w:bidi/>
              <w:spacing w:after="0"/>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0"/>
                <w:szCs w:val="20"/>
              </w:rPr>
            </w:pPr>
            <w:r w:rsidRPr="00375EB0">
              <w:rPr>
                <w:rFonts w:ascii="Simplified Arabic" w:eastAsia="Times New Roman" w:hAnsi="Simplified Arabic" w:cs="Simplified Arabic"/>
                <w:b/>
                <w:bCs/>
                <w:color w:val="auto"/>
                <w:sz w:val="20"/>
                <w:szCs w:val="20"/>
              </w:rPr>
              <w:t>20,8</w:t>
            </w:r>
          </w:p>
        </w:tc>
      </w:tr>
    </w:tbl>
    <w:p w:rsidR="00B917B2" w:rsidRPr="00375EB0" w:rsidRDefault="00B917B2" w:rsidP="00B917B2">
      <w:pPr>
        <w:bidi/>
        <w:spacing w:after="120" w:line="240" w:lineRule="auto"/>
        <w:jc w:val="lowKashida"/>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 xml:space="preserve">الجهاز المركزي للتعبئة العامة والاحصاء- </w:t>
      </w:r>
      <w:r w:rsidRPr="00375EB0">
        <w:rPr>
          <w:rFonts w:ascii="Simplified Arabic" w:eastAsia="Calibri" w:hAnsi="Simplified Arabic" w:cs="Simplified Arabic" w:hint="cs"/>
          <w:rtl/>
          <w:lang w:val="en-US" w:bidi="ar-EG"/>
        </w:rPr>
        <w:t>بحث</w:t>
      </w:r>
      <w:r w:rsidRPr="00375EB0">
        <w:rPr>
          <w:rFonts w:ascii="Simplified Arabic" w:eastAsia="Calibri" w:hAnsi="Simplified Arabic" w:cs="Simplified Arabic"/>
          <w:rtl/>
          <w:lang w:val="en-US" w:bidi="ar-EG"/>
        </w:rPr>
        <w:t xml:space="preserve"> القوى العاملة،(2010، 2013، 2017).</w:t>
      </w:r>
    </w:p>
    <w:p w:rsidR="00B917B2" w:rsidRPr="00375EB0" w:rsidRDefault="00B917B2" w:rsidP="00B917B2">
      <w:pPr>
        <w:bidi/>
        <w:spacing w:after="0" w:line="240" w:lineRule="auto"/>
        <w:ind w:left="721" w:hanging="721"/>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u w:val="single"/>
          <w:rtl/>
          <w:lang w:val="en-US" w:bidi="ar-EG"/>
        </w:rPr>
        <w:lastRenderedPageBreak/>
        <w:t>المبحث الثالث</w:t>
      </w:r>
    </w:p>
    <w:p w:rsidR="00B917B2" w:rsidRPr="00375EB0" w:rsidRDefault="00B917B2" w:rsidP="00B917B2">
      <w:pPr>
        <w:bidi/>
        <w:spacing w:after="0" w:line="240" w:lineRule="auto"/>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b/>
          <w:bCs/>
          <w:sz w:val="32"/>
          <w:szCs w:val="32"/>
          <w:u w:val="single"/>
          <w:rtl/>
          <w:lang w:val="en-US" w:bidi="ar-EG"/>
        </w:rPr>
        <w:t>تحليل تطور البطالة بين المتعلمين</w:t>
      </w:r>
    </w:p>
    <w:p w:rsidR="00B917B2" w:rsidRPr="00375EB0" w:rsidRDefault="00B917B2" w:rsidP="00B917B2">
      <w:pPr>
        <w:bidi/>
        <w:spacing w:after="0" w:line="240" w:lineRule="auto"/>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hint="cs"/>
          <w:b/>
          <w:bCs/>
          <w:sz w:val="30"/>
          <w:szCs w:val="30"/>
          <w:u w:val="single"/>
          <w:rtl/>
          <w:lang w:val="en-US" w:bidi="ar-EG"/>
        </w:rPr>
        <w:t>مُقدمة</w:t>
      </w:r>
    </w:p>
    <w:p w:rsidR="00B917B2" w:rsidRPr="00375EB0" w:rsidRDefault="00B917B2" w:rsidP="00B917B2">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يتن</w:t>
      </w:r>
      <w:r w:rsidRPr="00375EB0">
        <w:rPr>
          <w:rFonts w:ascii="Simplified Arabic" w:eastAsia="Calibri" w:hAnsi="Simplified Arabic" w:cs="Simplified Arabic" w:hint="cs"/>
          <w:sz w:val="28"/>
          <w:szCs w:val="28"/>
          <w:rtl/>
          <w:lang w:val="en-US" w:bidi="ar-EG"/>
        </w:rPr>
        <w:t>ا</w:t>
      </w:r>
      <w:r w:rsidRPr="00375EB0">
        <w:rPr>
          <w:rFonts w:ascii="Simplified Arabic" w:eastAsia="Calibri" w:hAnsi="Simplified Arabic" w:cs="Simplified Arabic"/>
          <w:sz w:val="28"/>
          <w:szCs w:val="28"/>
          <w:rtl/>
          <w:lang w:val="en-US" w:bidi="ar-EG"/>
        </w:rPr>
        <w:t>ول المبحث تطور البطالة بين المتعلمين من خلال استعراض خريجي التعليم العالي خلال فترة الدراسة (2010 إلي 2017) لبيان تطور أعداد الخريجين عاماً تلو ال</w:t>
      </w:r>
      <w:r w:rsidRPr="00375EB0">
        <w:rPr>
          <w:rFonts w:ascii="Simplified Arabic" w:eastAsia="Calibri" w:hAnsi="Simplified Arabic" w:cs="Simplified Arabic" w:hint="cs"/>
          <w:sz w:val="28"/>
          <w:szCs w:val="28"/>
          <w:rtl/>
          <w:lang w:val="en-US" w:bidi="ar-EG"/>
        </w:rPr>
        <w:t>آ</w:t>
      </w:r>
      <w:r w:rsidRPr="00375EB0">
        <w:rPr>
          <w:rFonts w:ascii="Simplified Arabic" w:eastAsia="Calibri" w:hAnsi="Simplified Arabic" w:cs="Simplified Arabic"/>
          <w:sz w:val="28"/>
          <w:szCs w:val="28"/>
          <w:rtl/>
          <w:lang w:val="en-US" w:bidi="ar-EG"/>
        </w:rPr>
        <w:t>خر، وعلي الجانب ال</w:t>
      </w:r>
      <w:r w:rsidRPr="00375EB0">
        <w:rPr>
          <w:rFonts w:ascii="Simplified Arabic" w:eastAsia="Calibri" w:hAnsi="Simplified Arabic" w:cs="Simplified Arabic" w:hint="cs"/>
          <w:sz w:val="28"/>
          <w:szCs w:val="28"/>
          <w:rtl/>
          <w:lang w:val="en-US" w:bidi="ar-EG"/>
        </w:rPr>
        <w:t>آ</w:t>
      </w:r>
      <w:r w:rsidRPr="00375EB0">
        <w:rPr>
          <w:rFonts w:ascii="Simplified Arabic" w:eastAsia="Calibri" w:hAnsi="Simplified Arabic" w:cs="Simplified Arabic"/>
          <w:sz w:val="28"/>
          <w:szCs w:val="28"/>
          <w:rtl/>
          <w:lang w:val="en-US" w:bidi="ar-EG"/>
        </w:rPr>
        <w:t>خر تطور بطالة هذه الفئة خلال نفس الفترة.</w:t>
      </w:r>
    </w:p>
    <w:p w:rsidR="00B917B2" w:rsidRPr="00375EB0" w:rsidRDefault="00B917B2" w:rsidP="00616254">
      <w:pPr>
        <w:pStyle w:val="ListParagraph"/>
        <w:numPr>
          <w:ilvl w:val="0"/>
          <w:numId w:val="29"/>
        </w:numPr>
        <w:spacing w:after="0" w:line="240" w:lineRule="auto"/>
        <w:ind w:left="360"/>
        <w:jc w:val="both"/>
        <w:rPr>
          <w:rFonts w:ascii="Simplified Arabic" w:eastAsia="Calibri" w:hAnsi="Simplified Arabic" w:cs="Simplified Arabic"/>
          <w:b/>
          <w:bCs/>
          <w:sz w:val="30"/>
          <w:szCs w:val="30"/>
          <w:rtl/>
          <w:lang w:bidi="ar-EG"/>
        </w:rPr>
      </w:pPr>
      <w:r w:rsidRPr="00375EB0">
        <w:rPr>
          <w:rFonts w:ascii="Simplified Arabic" w:eastAsia="Calibri" w:hAnsi="Simplified Arabic" w:cs="Simplified Arabic"/>
          <w:b/>
          <w:bCs/>
          <w:sz w:val="30"/>
          <w:szCs w:val="30"/>
          <w:u w:val="single"/>
          <w:rtl/>
          <w:lang w:bidi="ar-EG"/>
        </w:rPr>
        <w:t>خريجي التعليم العالي خلال الفترة من 2010 إلي 2017</w:t>
      </w:r>
    </w:p>
    <w:p w:rsidR="00B917B2" w:rsidRPr="00375EB0" w:rsidRDefault="00B917B2" w:rsidP="00B917B2">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تولى الدولة اهتماما كبيراً للتعليم بوجه عام والتعليم الجامعى بوجه خاص وتضعه على رأس أولوياتها فى خطة التنمية 2030 لأعداد خريج قادر على المنافسة فى سوق العمل، لتلبية احتياجات المجتمع من الموارد البشرية المؤهلة، ومواكبة الثورة المعرفية والتكنولوجية، وسوف يتن</w:t>
      </w:r>
      <w:r w:rsidRPr="00375EB0">
        <w:rPr>
          <w:rFonts w:ascii="Simplified Arabic" w:eastAsia="Calibri" w:hAnsi="Simplified Arabic" w:cs="Simplified Arabic" w:hint="cs"/>
          <w:sz w:val="28"/>
          <w:szCs w:val="28"/>
          <w:rtl/>
          <w:lang w:val="en-US" w:bidi="ar-EG"/>
        </w:rPr>
        <w:t>ا</w:t>
      </w:r>
      <w:r w:rsidRPr="00375EB0">
        <w:rPr>
          <w:rFonts w:ascii="Simplified Arabic" w:eastAsia="Calibri" w:hAnsi="Simplified Arabic" w:cs="Simplified Arabic"/>
          <w:sz w:val="28"/>
          <w:szCs w:val="28"/>
          <w:rtl/>
          <w:lang w:val="en-US" w:bidi="ar-EG"/>
        </w:rPr>
        <w:t xml:space="preserve">ول </w:t>
      </w:r>
      <w:r w:rsidRPr="00375EB0">
        <w:rPr>
          <w:rFonts w:ascii="Simplified Arabic" w:eastAsia="Calibri" w:hAnsi="Simplified Arabic" w:cs="Simplified Arabic" w:hint="cs"/>
          <w:sz w:val="28"/>
          <w:szCs w:val="28"/>
          <w:rtl/>
          <w:lang w:val="en-US" w:bidi="ar-EG"/>
        </w:rPr>
        <w:t>المبحث</w:t>
      </w:r>
      <w:r w:rsidRPr="00375EB0">
        <w:rPr>
          <w:rFonts w:ascii="Simplified Arabic" w:eastAsia="Calibri" w:hAnsi="Simplified Arabic" w:cs="Simplified Arabic"/>
          <w:sz w:val="28"/>
          <w:szCs w:val="28"/>
          <w:rtl/>
          <w:lang w:val="en-US" w:bidi="ar-EG"/>
        </w:rPr>
        <w:t xml:space="preserve">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هم مؤشرات الخريجين وما يرتبط بها من خلال عدة نقاط كالتإلي:</w:t>
      </w:r>
    </w:p>
    <w:p w:rsidR="00B917B2" w:rsidRPr="00375EB0" w:rsidRDefault="00B917B2" w:rsidP="00616254">
      <w:pPr>
        <w:numPr>
          <w:ilvl w:val="0"/>
          <w:numId w:val="3"/>
        </w:numPr>
        <w:bidi/>
        <w:spacing w:after="0" w:line="240" w:lineRule="auto"/>
        <w:ind w:left="360"/>
        <w:contextualSpacing/>
        <w:jc w:val="both"/>
        <w:rPr>
          <w:rFonts w:ascii="Simplified Arabic" w:eastAsia="Calibri" w:hAnsi="Simplified Arabic" w:cs="Simplified Arabic"/>
          <w:b/>
          <w:bCs/>
          <w:sz w:val="30"/>
          <w:szCs w:val="30"/>
          <w:u w:val="single"/>
          <w:lang w:val="en-US" w:bidi="ar-EG"/>
        </w:rPr>
      </w:pPr>
      <w:bookmarkStart w:id="4" w:name="_Hlk535147545"/>
      <w:r w:rsidRPr="00375EB0">
        <w:rPr>
          <w:rFonts w:ascii="Simplified Arabic" w:eastAsia="Calibri" w:hAnsi="Simplified Arabic" w:cs="Simplified Arabic"/>
          <w:b/>
          <w:bCs/>
          <w:sz w:val="30"/>
          <w:szCs w:val="30"/>
          <w:u w:val="single"/>
          <w:rtl/>
          <w:lang w:val="en-US" w:bidi="ar-EG"/>
        </w:rPr>
        <w:t>خريجى التعليم العالى</w:t>
      </w:r>
      <w:bookmarkEnd w:id="4"/>
      <w:r w:rsidRPr="00375EB0">
        <w:rPr>
          <w:rFonts w:ascii="Simplified Arabic" w:eastAsia="Calibri" w:hAnsi="Simplified Arabic" w:cs="Simplified Arabic"/>
          <w:b/>
          <w:bCs/>
          <w:sz w:val="30"/>
          <w:szCs w:val="30"/>
          <w:rtl/>
          <w:lang w:val="en-US" w:bidi="ar-EG"/>
        </w:rPr>
        <w:t>:</w:t>
      </w:r>
    </w:p>
    <w:p w:rsidR="00B917B2" w:rsidRPr="00375EB0" w:rsidRDefault="00B917B2" w:rsidP="00B917B2">
      <w:pPr>
        <w:bidi/>
        <w:spacing w:after="0" w:line="240" w:lineRule="auto"/>
        <w:ind w:left="170" w:firstLine="720"/>
        <w:contextualSpacing/>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sz w:val="28"/>
          <w:szCs w:val="28"/>
          <w:rtl/>
          <w:lang w:val="en-US" w:bidi="ar-EG"/>
        </w:rPr>
        <w:t xml:space="preserve">تعرض البيانات في جدولي (2-10، 2-11)، وشكل (2-11) تطور أعداد ونسب خريجى التعليم العالى وفقاً لنوع المؤسسات التعليمية خلال الفترة 2010- 2017، </w:t>
      </w:r>
      <w:r w:rsidRPr="00375EB0">
        <w:rPr>
          <w:rFonts w:ascii="Simplified Arabic" w:eastAsia="Calibri" w:hAnsi="Simplified Arabic" w:cs="Simplified Arabic" w:hint="cs"/>
          <w:sz w:val="28"/>
          <w:szCs w:val="28"/>
          <w:rtl/>
          <w:lang w:val="en-US" w:bidi="ar-EG"/>
        </w:rPr>
        <w:t>وتشير</w:t>
      </w:r>
      <w:r w:rsidRPr="00375EB0">
        <w:rPr>
          <w:rFonts w:ascii="Simplified Arabic" w:eastAsia="Calibri" w:hAnsi="Simplified Arabic" w:cs="Simplified Arabic"/>
          <w:sz w:val="28"/>
          <w:szCs w:val="28"/>
          <w:rtl/>
          <w:lang w:val="en-US" w:bidi="ar-EG"/>
        </w:rPr>
        <w:t xml:space="preserve"> البيانات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لى:</w:t>
      </w:r>
    </w:p>
    <w:p w:rsidR="00B917B2" w:rsidRPr="00375EB0" w:rsidRDefault="00B917B2" w:rsidP="00616254">
      <w:pPr>
        <w:pStyle w:val="ListParagraph"/>
        <w:numPr>
          <w:ilvl w:val="0"/>
          <w:numId w:val="25"/>
        </w:numPr>
        <w:spacing w:after="0" w:line="240" w:lineRule="auto"/>
        <w:ind w:left="636" w:hanging="466"/>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ارتفاع عدد خريجي التعليم العالى من 465,2 ألف خريج عام 2010، إلى 537,4 ألف خريج عام 2017 بزيادة قدرها 72,2 ألف خريج، بنسبة 15,5٪.</w:t>
      </w:r>
    </w:p>
    <w:p w:rsidR="00B917B2" w:rsidRPr="00375EB0" w:rsidRDefault="00B917B2" w:rsidP="00616254">
      <w:pPr>
        <w:pStyle w:val="ListParagraph"/>
        <w:numPr>
          <w:ilvl w:val="0"/>
          <w:numId w:val="25"/>
        </w:numPr>
        <w:spacing w:after="0" w:line="240" w:lineRule="auto"/>
        <w:ind w:left="636" w:hanging="466"/>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hint="cs"/>
          <w:sz w:val="28"/>
          <w:szCs w:val="28"/>
          <w:rtl/>
          <w:lang w:bidi="ar-EG"/>
        </w:rPr>
        <w:t>ت</w:t>
      </w:r>
      <w:r w:rsidRPr="00375EB0">
        <w:rPr>
          <w:rFonts w:ascii="Simplified Arabic" w:eastAsia="Calibri" w:hAnsi="Simplified Arabic" w:cs="Simplified Arabic"/>
          <w:sz w:val="28"/>
          <w:szCs w:val="28"/>
          <w:rtl/>
          <w:lang w:bidi="ar-EG"/>
        </w:rPr>
        <w:t>ستحوذ الجامعات الخاصة على النسبة الأكبر زيادة فى عدد الخريجين بنسبة</w:t>
      </w:r>
      <w:r w:rsidRPr="00375EB0">
        <w:rPr>
          <w:rFonts w:ascii="Simplified Arabic" w:eastAsia="Calibri" w:hAnsi="Simplified Arabic" w:cs="Simplified Arabic" w:hint="cs"/>
          <w:sz w:val="28"/>
          <w:szCs w:val="28"/>
          <w:rtl/>
          <w:lang w:bidi="ar-EG"/>
        </w:rPr>
        <w:t xml:space="preserve"> 134</w:t>
      </w:r>
      <w:r w:rsidRPr="00375EB0">
        <w:rPr>
          <w:rFonts w:ascii="Simplified Arabic" w:eastAsia="Calibri" w:hAnsi="Simplified Arabic" w:cs="Simplified Arabic"/>
          <w:sz w:val="28"/>
          <w:szCs w:val="28"/>
          <w:rtl/>
          <w:lang w:bidi="ar-EG"/>
        </w:rPr>
        <w:t>٪، يليها خريجي الأكاديميات بنسبة بلغت 79,6٪.</w:t>
      </w:r>
    </w:p>
    <w:p w:rsidR="00B917B2" w:rsidRPr="00375EB0" w:rsidRDefault="00B917B2" w:rsidP="00616254">
      <w:pPr>
        <w:pStyle w:val="ListParagraph"/>
        <w:numPr>
          <w:ilvl w:val="0"/>
          <w:numId w:val="25"/>
        </w:numPr>
        <w:spacing w:after="0" w:line="240" w:lineRule="auto"/>
        <w:ind w:left="636" w:hanging="466"/>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أقل نسبة زيادة في أعداد الخريجين كانت لخريجي المعاهد العليا الخاصة بنسبة 12,7٪، كما </w:t>
      </w:r>
      <w:r w:rsidRPr="00375EB0">
        <w:rPr>
          <w:rFonts w:ascii="Simplified Arabic" w:eastAsia="Calibri" w:hAnsi="Simplified Arabic" w:cs="Simplified Arabic" w:hint="cs"/>
          <w:sz w:val="28"/>
          <w:szCs w:val="28"/>
          <w:rtl/>
          <w:lang w:bidi="ar-EG"/>
        </w:rPr>
        <w:t>يلاحظ</w:t>
      </w:r>
      <w:r w:rsidRPr="00375EB0">
        <w:rPr>
          <w:rFonts w:ascii="Simplified Arabic" w:eastAsia="Calibri" w:hAnsi="Simplified Arabic" w:cs="Simplified Arabic"/>
          <w:sz w:val="28"/>
          <w:szCs w:val="28"/>
          <w:rtl/>
          <w:lang w:bidi="ar-EG"/>
        </w:rPr>
        <w:t xml:space="preserve"> انخفاض في أعداد خريجى المعاهد الفنية سواءً الحكومية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و الخاصة بنسبة بلغت 8,9٪، دالاً ذلك على اتجاه الطلاب للالتحاق بالجامعات الخاصة.</w:t>
      </w:r>
    </w:p>
    <w:p w:rsidR="00B917B2" w:rsidRPr="00375EB0" w:rsidRDefault="00B917B2" w:rsidP="00B917B2">
      <w:pPr>
        <w:bidi/>
        <w:spacing w:after="0" w:line="240" w:lineRule="auto"/>
        <w:jc w:val="both"/>
        <w:rPr>
          <w:rFonts w:ascii="Simplified Arabic" w:eastAsia="Calibri" w:hAnsi="Simplified Arabic" w:cs="Simplified Arabic"/>
          <w:sz w:val="28"/>
          <w:szCs w:val="28"/>
          <w:lang w:bidi="ar-EG"/>
        </w:rPr>
      </w:pPr>
    </w:p>
    <w:p w:rsidR="00B917B2" w:rsidRPr="00375EB0" w:rsidRDefault="00B917B2" w:rsidP="00B917B2">
      <w:pPr>
        <w:bidi/>
        <w:spacing w:before="60" w:after="6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(2-10) تطور أعداد خريجى التعليم العالى وفقاً لنوع المؤسسات التعليمية خلال فترة الدراسة (2010-2017)</w:t>
      </w:r>
    </w:p>
    <w:tbl>
      <w:tblPr>
        <w:tblStyle w:val="LightGrid-Accent21"/>
        <w:tblpPr w:leftFromText="180" w:rightFromText="180" w:vertAnchor="text" w:tblpXSpec="center" w:tblpY="1"/>
        <w:tblOverlap w:val="never"/>
        <w:bidiVisual/>
        <w:tblW w:w="830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724"/>
        <w:gridCol w:w="823"/>
        <w:gridCol w:w="823"/>
        <w:gridCol w:w="823"/>
        <w:gridCol w:w="823"/>
        <w:gridCol w:w="823"/>
        <w:gridCol w:w="823"/>
        <w:gridCol w:w="823"/>
        <w:gridCol w:w="823"/>
      </w:tblGrid>
      <w:tr w:rsidR="00B917B2" w:rsidRPr="00375EB0" w:rsidTr="00E71A7A">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1" w:type="pct"/>
            <w:vMerge w:val="restar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المؤسسات التعليمية</w:t>
            </w:r>
          </w:p>
        </w:tc>
        <w:tc>
          <w:tcPr>
            <w:tcW w:w="4089" w:type="pct"/>
            <w:gridSpan w:val="8"/>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tl/>
              </w:rPr>
            </w:pPr>
            <w:r w:rsidRPr="00375EB0">
              <w:rPr>
                <w:rFonts w:ascii="Simplified Arabic" w:hAnsi="Simplified Arabic" w:cs="Simplified Arabic"/>
                <w:sz w:val="24"/>
                <w:szCs w:val="24"/>
                <w:rtl/>
              </w:rPr>
              <w:t>السنة</w:t>
            </w:r>
          </w:p>
        </w:tc>
      </w:tr>
      <w:tr w:rsidR="00B917B2" w:rsidRPr="00375EB0" w:rsidTr="00E71A7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1" w:type="pct"/>
            <w:vMerge/>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9A0EF8">
            <w:pPr>
              <w:bidi/>
              <w:spacing w:after="0"/>
              <w:rPr>
                <w:rFonts w:ascii="Simplified Arabic" w:hAnsi="Simplified Arabic" w:cs="Simplified Arabic"/>
                <w:sz w:val="22"/>
                <w:szCs w:val="22"/>
              </w:rPr>
            </w:pPr>
          </w:p>
        </w:tc>
        <w:tc>
          <w:tcPr>
            <w:tcW w:w="622"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tl/>
              </w:rPr>
            </w:pPr>
            <w:r w:rsidRPr="00375EB0">
              <w:rPr>
                <w:rFonts w:ascii="Simplified Arabic" w:eastAsia="Times New Roman" w:hAnsi="Simplified Arabic" w:cs="Simplified Arabic"/>
                <w:b/>
                <w:bCs/>
                <w:sz w:val="18"/>
                <w:szCs w:val="18"/>
              </w:rPr>
              <w:t>2010</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2011</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2012</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2013</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2014</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2015</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2016</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2017</w:t>
            </w:r>
          </w:p>
        </w:tc>
      </w:tr>
      <w:tr w:rsidR="00B917B2" w:rsidRPr="00375EB0" w:rsidTr="00E71A7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1"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الجامعات الحكومية</w:t>
            </w:r>
          </w:p>
        </w:tc>
        <w:tc>
          <w:tcPr>
            <w:tcW w:w="622"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both"/>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tl/>
              </w:rPr>
            </w:pPr>
            <w:r w:rsidRPr="00375EB0">
              <w:rPr>
                <w:rFonts w:ascii="Simplified Arabic" w:eastAsia="Times New Roman" w:hAnsi="Simplified Arabic" w:cs="Simplified Arabic"/>
                <w:b/>
                <w:bCs/>
                <w:sz w:val="18"/>
                <w:szCs w:val="18"/>
              </w:rPr>
              <w:t>316783</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332776</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321809</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325358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189566</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252687</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324452</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367549</w:t>
            </w:r>
          </w:p>
        </w:tc>
      </w:tr>
      <w:tr w:rsidR="00B917B2" w:rsidRPr="00375EB0" w:rsidTr="00E71A7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1"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الجامعات الخاصة</w:t>
            </w:r>
          </w:p>
        </w:tc>
        <w:tc>
          <w:tcPr>
            <w:tcW w:w="622"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tl/>
              </w:rPr>
            </w:pPr>
            <w:r w:rsidRPr="00375EB0">
              <w:rPr>
                <w:rFonts w:ascii="Simplified Arabic" w:eastAsia="Times New Roman" w:hAnsi="Simplified Arabic" w:cs="Simplified Arabic"/>
                <w:b/>
                <w:bCs/>
                <w:sz w:val="18"/>
                <w:szCs w:val="18"/>
              </w:rPr>
              <w:t>9515</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11161</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12394</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13787</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10631</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9116</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16729</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22310</w:t>
            </w:r>
          </w:p>
        </w:tc>
      </w:tr>
      <w:tr w:rsidR="00B917B2" w:rsidRPr="00375EB0" w:rsidTr="00E71A7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1"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المعاهد العليا الخاصة</w:t>
            </w:r>
          </w:p>
        </w:tc>
        <w:tc>
          <w:tcPr>
            <w:tcW w:w="622"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both"/>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tl/>
              </w:rPr>
            </w:pPr>
            <w:r w:rsidRPr="00375EB0">
              <w:rPr>
                <w:rFonts w:ascii="Simplified Arabic" w:eastAsia="Times New Roman" w:hAnsi="Simplified Arabic" w:cs="Simplified Arabic"/>
                <w:b/>
                <w:bCs/>
                <w:sz w:val="18"/>
                <w:szCs w:val="18"/>
              </w:rPr>
              <w:t>81440</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86777</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74551</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67618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45648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60488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88242</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91754</w:t>
            </w:r>
          </w:p>
        </w:tc>
      </w:tr>
      <w:tr w:rsidR="00B917B2" w:rsidRPr="00375EB0" w:rsidTr="00E71A7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1"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الأكاديميات</w:t>
            </w:r>
          </w:p>
        </w:tc>
        <w:tc>
          <w:tcPr>
            <w:tcW w:w="622"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tl/>
              </w:rPr>
            </w:pPr>
            <w:r w:rsidRPr="00375EB0">
              <w:rPr>
                <w:rFonts w:ascii="Simplified Arabic" w:eastAsia="Times New Roman" w:hAnsi="Simplified Arabic" w:cs="Simplified Arabic"/>
                <w:b/>
                <w:bCs/>
                <w:sz w:val="18"/>
                <w:szCs w:val="18"/>
              </w:rPr>
              <w:t>3831</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4212</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5018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8908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6469</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5559</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6017</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6882</w:t>
            </w:r>
          </w:p>
        </w:tc>
      </w:tr>
      <w:tr w:rsidR="00B917B2" w:rsidRPr="00375EB0" w:rsidTr="00E71A7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1" w:type="pct"/>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9A0EF8">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المعاهد الفنية</w:t>
            </w:r>
          </w:p>
        </w:tc>
        <w:tc>
          <w:tcPr>
            <w:tcW w:w="622"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both"/>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tl/>
              </w:rPr>
            </w:pPr>
            <w:r w:rsidRPr="00375EB0">
              <w:rPr>
                <w:rFonts w:ascii="Simplified Arabic" w:eastAsia="Times New Roman" w:hAnsi="Simplified Arabic" w:cs="Simplified Arabic"/>
                <w:b/>
                <w:bCs/>
                <w:sz w:val="18"/>
                <w:szCs w:val="18"/>
              </w:rPr>
              <w:t>53677</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47328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24249</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47209</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55873</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50438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52376</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48919</w:t>
            </w:r>
          </w:p>
        </w:tc>
      </w:tr>
      <w:tr w:rsidR="00B917B2" w:rsidRPr="00375EB0" w:rsidTr="00E71A7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1"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الإجمــــالى</w:t>
            </w:r>
          </w:p>
        </w:tc>
        <w:tc>
          <w:tcPr>
            <w:tcW w:w="622"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tl/>
              </w:rPr>
            </w:pPr>
            <w:r w:rsidRPr="00375EB0">
              <w:rPr>
                <w:rFonts w:ascii="Simplified Arabic" w:eastAsia="Times New Roman" w:hAnsi="Simplified Arabic" w:cs="Simplified Arabic"/>
                <w:b/>
                <w:bCs/>
                <w:sz w:val="18"/>
                <w:szCs w:val="18"/>
              </w:rPr>
              <w:t>465246</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482254</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438021</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462880</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308187</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378288</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487816</w:t>
            </w:r>
          </w:p>
        </w:tc>
        <w:tc>
          <w:tcPr>
            <w:tcW w:w="495" w:type="pc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9A0EF8">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18"/>
                <w:szCs w:val="18"/>
              </w:rPr>
            </w:pPr>
            <w:r w:rsidRPr="00375EB0">
              <w:rPr>
                <w:rFonts w:ascii="Simplified Arabic" w:eastAsia="Times New Roman" w:hAnsi="Simplified Arabic" w:cs="Simplified Arabic"/>
                <w:b/>
                <w:bCs/>
                <w:sz w:val="18"/>
                <w:szCs w:val="18"/>
              </w:rPr>
              <w:t>537414</w:t>
            </w:r>
          </w:p>
        </w:tc>
      </w:tr>
    </w:tbl>
    <w:p w:rsidR="00B917B2" w:rsidRPr="00375EB0" w:rsidRDefault="00B917B2" w:rsidP="009A0EF8">
      <w:pPr>
        <w:bidi/>
        <w:spacing w:after="120" w:line="240" w:lineRule="auto"/>
        <w:ind w:left="-313"/>
        <w:jc w:val="lowKashida"/>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النشرة السنوية لخريجي التعليم العالي للفترة (2010-2017)</w:t>
      </w:r>
      <w:r w:rsidRPr="00375EB0">
        <w:rPr>
          <w:rFonts w:ascii="Simplified Arabic" w:eastAsia="Calibri" w:hAnsi="Simplified Arabic" w:cs="Simplified Arabic" w:hint="cs"/>
          <w:b/>
          <w:bCs/>
          <w:rtl/>
          <w:lang w:val="en-US" w:bidi="ar-EG"/>
        </w:rPr>
        <w:t>.</w:t>
      </w:r>
    </w:p>
    <w:p w:rsidR="00B917B2" w:rsidRPr="00375EB0" w:rsidRDefault="00B917B2" w:rsidP="00B917B2">
      <w:pPr>
        <w:bidi/>
        <w:spacing w:before="240" w:after="120" w:line="240" w:lineRule="auto"/>
        <w:jc w:val="center"/>
        <w:rPr>
          <w:rFonts w:ascii="Simplified Arabic" w:eastAsia="Calibri" w:hAnsi="Simplified Arabic" w:cs="Simplified Arabic"/>
          <w:b/>
          <w:bCs/>
          <w:sz w:val="24"/>
          <w:szCs w:val="24"/>
          <w:rtl/>
          <w:lang w:val="en-US" w:bidi="ar-EG"/>
        </w:rPr>
      </w:pPr>
      <w:r w:rsidRPr="00375EB0">
        <w:rPr>
          <w:rFonts w:ascii="Simplified Arabic" w:hAnsi="Simplified Arabic" w:cs="Simplified Arabic"/>
          <w:b/>
          <w:bCs/>
          <w:noProof/>
          <w:sz w:val="24"/>
          <w:szCs w:val="24"/>
          <w:lang w:val="en-US"/>
        </w:rPr>
        <w:drawing>
          <wp:anchor distT="0" distB="0" distL="114300" distR="114300" simplePos="0" relativeHeight="251663360" behindDoc="0" locked="0" layoutInCell="1" allowOverlap="1" wp14:anchorId="21197E3D" wp14:editId="6A0CB1F0">
            <wp:simplePos x="0" y="0"/>
            <wp:positionH relativeFrom="margin">
              <wp:align>right</wp:align>
            </wp:positionH>
            <wp:positionV relativeFrom="paragraph">
              <wp:posOffset>370840</wp:posOffset>
            </wp:positionV>
            <wp:extent cx="4743450" cy="1600200"/>
            <wp:effectExtent l="0" t="0" r="0" b="0"/>
            <wp:wrapSquare wrapText="bothSides"/>
            <wp:docPr id="31" name="Chart 31">
              <a:extLst xmlns:a="http://schemas.openxmlformats.org/drawingml/2006/main">
                <a:ext uri="{FF2B5EF4-FFF2-40B4-BE49-F238E27FC236}">
                  <a16:creationId xmlns:a16="http://schemas.microsoft.com/office/drawing/2014/main" id="{4FD03F26-767B-4169-9E64-D8B8DB5CFA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375EB0">
        <w:rPr>
          <w:rFonts w:ascii="Simplified Arabic" w:hAnsi="Simplified Arabic" w:cs="Simplified Arabic"/>
          <w:b/>
          <w:bCs/>
          <w:sz w:val="24"/>
          <w:szCs w:val="24"/>
          <w:rtl/>
          <w:lang w:val="en-US" w:bidi="ar-EG"/>
        </w:rPr>
        <w:t>شكل (2-11) تطور إجمالى أعداد خريجى التعليم العالى خلال الفترة (2010 ـ 2017 )</w:t>
      </w:r>
    </w:p>
    <w:p w:rsidR="00B917B2" w:rsidRPr="00375EB0" w:rsidRDefault="00B917B2" w:rsidP="009A0EF8">
      <w:pPr>
        <w:bidi/>
        <w:spacing w:before="360" w:after="0" w:line="240" w:lineRule="auto"/>
        <w:ind w:left="-313"/>
        <w:jc w:val="both"/>
        <w:rPr>
          <w:rFonts w:ascii="Simplified Arabic" w:eastAsia="Calibri" w:hAnsi="Simplified Arabic" w:cs="Simplified Arabic"/>
          <w:b/>
          <w:bCs/>
          <w:rtl/>
          <w:lang w:val="en-US" w:bidi="ar-EG"/>
        </w:rPr>
      </w:pPr>
      <w:bookmarkStart w:id="5" w:name="_Hlk59882073"/>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النشرة السنوية لخريجي التعليم العالي للفترة (2010-2017)</w:t>
      </w:r>
      <w:r w:rsidRPr="00375EB0">
        <w:rPr>
          <w:rFonts w:ascii="Simplified Arabic" w:eastAsia="Calibri" w:hAnsi="Simplified Arabic" w:cs="Simplified Arabic" w:hint="cs"/>
          <w:b/>
          <w:bCs/>
          <w:rtl/>
          <w:lang w:val="en-US" w:bidi="ar-EG"/>
        </w:rPr>
        <w:t>.</w:t>
      </w:r>
    </w:p>
    <w:bookmarkEnd w:id="5"/>
    <w:p w:rsidR="00B917B2" w:rsidRPr="00375EB0" w:rsidRDefault="00B917B2" w:rsidP="00E71A7A">
      <w:pPr>
        <w:bidi/>
        <w:spacing w:before="240"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كما تعرض</w:t>
      </w:r>
      <w:r w:rsidRPr="00375EB0">
        <w:rPr>
          <w:rFonts w:ascii="Simplified Arabic" w:eastAsia="Calibri" w:hAnsi="Simplified Arabic" w:cs="Simplified Arabic"/>
          <w:sz w:val="28"/>
          <w:szCs w:val="28"/>
          <w:rtl/>
          <w:lang w:val="en-US" w:bidi="ar-EG"/>
        </w:rPr>
        <w:t xml:space="preserve"> بيانات جدول (2-11) التوزيع النسبى لخريجي التعليم العالى وفقاً للمؤسسات التعليمية للفترة 2010 - 2017، وتشير البيانات </w:t>
      </w:r>
      <w:r w:rsidRPr="00375EB0">
        <w:rPr>
          <w:rFonts w:ascii="Simplified Arabic" w:eastAsia="Calibri" w:hAnsi="Simplified Arabic" w:cs="Simplified Arabic" w:hint="cs"/>
          <w:sz w:val="28"/>
          <w:szCs w:val="28"/>
          <w:rtl/>
          <w:lang w:val="en-US" w:bidi="ar-EG"/>
        </w:rPr>
        <w:t>إ</w:t>
      </w:r>
      <w:r w:rsidRPr="00375EB0">
        <w:rPr>
          <w:rFonts w:ascii="Simplified Arabic" w:eastAsia="Calibri" w:hAnsi="Simplified Arabic" w:cs="Simplified Arabic"/>
          <w:sz w:val="28"/>
          <w:szCs w:val="28"/>
          <w:rtl/>
          <w:lang w:val="en-US" w:bidi="ar-EG"/>
        </w:rPr>
        <w:t xml:space="preserve">لى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ن:</w:t>
      </w:r>
    </w:p>
    <w:p w:rsidR="00B917B2" w:rsidRPr="00375EB0" w:rsidRDefault="00B917B2" w:rsidP="00616254">
      <w:pPr>
        <w:pStyle w:val="ListParagraph"/>
        <w:numPr>
          <w:ilvl w:val="0"/>
          <w:numId w:val="26"/>
        </w:numPr>
        <w:spacing w:after="0" w:line="240" w:lineRule="auto"/>
        <w:ind w:left="596" w:hanging="426"/>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معظم خريجي التعليم العالى من الجامعات الحكومية وجامعة الأزهر، بنسبة بلغت 68,4٪ عام</w:t>
      </w:r>
      <w:r w:rsidRPr="00375EB0">
        <w:rPr>
          <w:rFonts w:ascii="Simplified Arabic" w:eastAsia="Calibri" w:hAnsi="Simplified Arabic" w:cs="Simplified Arabic"/>
          <w:sz w:val="28"/>
          <w:szCs w:val="28"/>
          <w:lang w:bidi="ar-EG"/>
        </w:rPr>
        <w:t xml:space="preserve"> 2017</w:t>
      </w:r>
      <w:r w:rsidRPr="00375EB0">
        <w:rPr>
          <w:rFonts w:ascii="Simplified Arabic" w:eastAsia="Calibri" w:hAnsi="Simplified Arabic" w:cs="Simplified Arabic"/>
          <w:sz w:val="28"/>
          <w:szCs w:val="28"/>
          <w:rtl/>
          <w:lang w:bidi="ar-EG"/>
        </w:rPr>
        <w:t>، ثم خريجى المعاهد العليا الخاصة بنسبة 17,1٪.</w:t>
      </w:r>
    </w:p>
    <w:p w:rsidR="00B917B2" w:rsidRPr="00375EB0" w:rsidRDefault="00B917B2" w:rsidP="00616254">
      <w:pPr>
        <w:pStyle w:val="ListParagraph"/>
        <w:numPr>
          <w:ilvl w:val="0"/>
          <w:numId w:val="26"/>
        </w:numPr>
        <w:spacing w:after="0" w:line="240" w:lineRule="auto"/>
        <w:ind w:left="596" w:hanging="426"/>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noProof/>
          <w:sz w:val="28"/>
          <w:szCs w:val="28"/>
          <w:rtl/>
          <w:lang w:eastAsia="en-GB"/>
        </w:rPr>
        <w:t>تمثل</w:t>
      </w:r>
      <w:r w:rsidRPr="00375EB0">
        <w:rPr>
          <w:rFonts w:ascii="Simplified Arabic" w:eastAsia="Calibri" w:hAnsi="Simplified Arabic" w:cs="Simplified Arabic"/>
          <w:sz w:val="28"/>
          <w:szCs w:val="28"/>
          <w:rtl/>
          <w:lang w:bidi="ar-EG"/>
        </w:rPr>
        <w:t xml:space="preserve"> نسبة خريجى الجامعات الخاصة 4,2٪، ونسبة خريجى ال</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 xml:space="preserve">كاديميات 1,3٪، </w:t>
      </w:r>
      <w:r w:rsidRPr="00375EB0">
        <w:rPr>
          <w:rFonts w:ascii="Simplified Arabic" w:eastAsia="Calibri" w:hAnsi="Simplified Arabic" w:cs="Simplified Arabic" w:hint="cs"/>
          <w:sz w:val="28"/>
          <w:szCs w:val="28"/>
          <w:rtl/>
          <w:lang w:bidi="ar-EG"/>
        </w:rPr>
        <w:t>و</w:t>
      </w:r>
      <w:r w:rsidRPr="00375EB0">
        <w:rPr>
          <w:rFonts w:ascii="Simplified Arabic" w:eastAsia="Calibri" w:hAnsi="Simplified Arabic" w:cs="Simplified Arabic"/>
          <w:sz w:val="28"/>
          <w:szCs w:val="28"/>
          <w:rtl/>
          <w:lang w:bidi="ar-EG"/>
        </w:rPr>
        <w:t xml:space="preserve">خريجى المعاهد الفنية فوق المتوسطة 9,1٪ من إجمإلي خريجي التعليم العالى. </w:t>
      </w:r>
    </w:p>
    <w:p w:rsidR="00B917B2" w:rsidRPr="00375EB0" w:rsidRDefault="00B917B2" w:rsidP="00616254">
      <w:pPr>
        <w:pStyle w:val="ListParagraph"/>
        <w:numPr>
          <w:ilvl w:val="0"/>
          <w:numId w:val="26"/>
        </w:numPr>
        <w:spacing w:after="0" w:line="240" w:lineRule="auto"/>
        <w:ind w:left="596" w:hanging="426"/>
        <w:jc w:val="both"/>
        <w:rPr>
          <w:rFonts w:ascii="Simplified Arabic" w:eastAsia="Calibri" w:hAnsi="Simplified Arabic" w:cs="Simplified Arabic"/>
          <w:sz w:val="28"/>
          <w:szCs w:val="28"/>
          <w:lang w:bidi="ar-EG"/>
        </w:rPr>
      </w:pPr>
      <w:r w:rsidRPr="00375EB0">
        <w:rPr>
          <w:noProof/>
          <w:rtl/>
        </w:rPr>
        <w:lastRenderedPageBreak/>
        <mc:AlternateContent>
          <mc:Choice Requires="wps">
            <w:drawing>
              <wp:anchor distT="0" distB="0" distL="114300" distR="114300" simplePos="0" relativeHeight="251664384" behindDoc="0" locked="0" layoutInCell="1" allowOverlap="1" wp14:anchorId="0327FD44" wp14:editId="302BC191">
                <wp:simplePos x="0" y="0"/>
                <wp:positionH relativeFrom="column">
                  <wp:posOffset>3474720</wp:posOffset>
                </wp:positionH>
                <wp:positionV relativeFrom="paragraph">
                  <wp:posOffset>9848850</wp:posOffset>
                </wp:positionV>
                <wp:extent cx="572135" cy="257175"/>
                <wp:effectExtent l="1905"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7B2" w:rsidRDefault="00B917B2" w:rsidP="00B917B2">
                            <w:pPr>
                              <w:jc w:val="center"/>
                              <w:rPr>
                                <w:rtl/>
                                <w:lang w:bidi="ar-EG"/>
                              </w:rPr>
                            </w:pPr>
                            <w:r>
                              <w:rPr>
                                <w:rFonts w:hint="cs"/>
                                <w:rtl/>
                                <w:lang w:bidi="ar-EG"/>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27FD44" id="Text Box 10" o:spid="_x0000_s1028" type="#_x0000_t202" style="position:absolute;left:0;text-align:left;margin-left:273.6pt;margin-top:775.5pt;width:45.0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" filled="f" stroked="f">
                <v:textbox>
                  <w:txbxContent>
                    <w:p w:rsidR="00B917B2" w:rsidRDefault="00B917B2" w:rsidP="00B917B2">
                      <w:pPr>
                        <w:jc w:val="center"/>
                        <w:rPr>
                          <w:rtl/>
                          <w:lang w:bidi="ar-EG"/>
                        </w:rPr>
                      </w:pPr>
                      <w:r>
                        <w:rPr>
                          <w:rFonts w:hint="cs"/>
                          <w:rtl/>
                          <w:lang w:bidi="ar-EG"/>
                        </w:rPr>
                        <w:t>-1-</w:t>
                      </w:r>
                    </w:p>
                  </w:txbxContent>
                </v:textbox>
              </v:shape>
            </w:pict>
          </mc:Fallback>
        </mc:AlternateContent>
      </w:r>
      <w:r w:rsidRPr="00375EB0">
        <w:rPr>
          <w:rFonts w:ascii="Simplified Arabic" w:eastAsia="Calibri" w:hAnsi="Simplified Arabic" w:cs="Simplified Arabic"/>
          <w:sz w:val="28"/>
          <w:szCs w:val="28"/>
          <w:rtl/>
          <w:lang w:bidi="ar-EG"/>
        </w:rPr>
        <w:t>زيادة نسبة خريجي الجامعات الحكومية بنسبة قليلة بلغت 0,3٪ بين عامي 2010، 2017، مقابل تزايد نسب الخريجين من الجامعات الخاصة والأكاديميات.</w:t>
      </w:r>
    </w:p>
    <w:p w:rsidR="00B917B2" w:rsidRPr="00375EB0" w:rsidRDefault="00B917B2" w:rsidP="00616254">
      <w:pPr>
        <w:pStyle w:val="ListParagraph"/>
        <w:numPr>
          <w:ilvl w:val="0"/>
          <w:numId w:val="26"/>
        </w:numPr>
        <w:spacing w:after="0" w:line="240" w:lineRule="auto"/>
        <w:ind w:left="596" w:hanging="426"/>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أكثر من نصف خريجي التعليم العالى بصفة عامة من الإناث (51,9٪) عام 2017.</w:t>
      </w:r>
    </w:p>
    <w:p w:rsidR="00B917B2" w:rsidRPr="00375EB0" w:rsidRDefault="00B917B2" w:rsidP="00616254">
      <w:pPr>
        <w:pStyle w:val="ListParagraph"/>
        <w:numPr>
          <w:ilvl w:val="0"/>
          <w:numId w:val="26"/>
        </w:numPr>
        <w:spacing w:after="0" w:line="240" w:lineRule="auto"/>
        <w:ind w:left="596" w:hanging="426"/>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 xml:space="preserve">بلغت نسبة الخريجات بالجامعات الحكومية 56,6٪، وتنخفض قليلا بالجامعات الخاصة 49,6٪، وأقل نسبة كانت لخريجات الأكاديميات 20,2٪.  </w:t>
      </w:r>
    </w:p>
    <w:p w:rsidR="00B917B2" w:rsidRPr="00375EB0" w:rsidRDefault="00B917B2" w:rsidP="00616254">
      <w:pPr>
        <w:pStyle w:val="ListParagraph"/>
        <w:numPr>
          <w:ilvl w:val="0"/>
          <w:numId w:val="26"/>
        </w:numPr>
        <w:spacing w:after="0" w:line="240" w:lineRule="auto"/>
        <w:ind w:left="596" w:hanging="426"/>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بصفة عامة ارتفعت نسبة خريجات التعليم العالى خلال الفترة 2010-2017، باستثناء خريجات المعاهد العليا الخاصة حيث انخفضت نسبتهن من 40,1٪ إلى 33,6٪ خلال هذه الفترة.</w:t>
      </w:r>
    </w:p>
    <w:p w:rsidR="00B917B2" w:rsidRDefault="00B917B2" w:rsidP="00E71A7A">
      <w:pPr>
        <w:bidi/>
        <w:spacing w:before="40"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جدول (2-11) التوزيع النسبى لخريجي التعليم العالى وفقاً لنوع المؤسسة التعليمية</w:t>
      </w:r>
    </w:p>
    <w:p w:rsidR="00B917B2" w:rsidRPr="00375EB0" w:rsidRDefault="00B917B2" w:rsidP="00E71A7A">
      <w:pPr>
        <w:bidi/>
        <w:spacing w:after="0" w:line="240" w:lineRule="auto"/>
        <w:jc w:val="center"/>
        <w:rPr>
          <w:rFonts w:ascii="Simplified Arabic" w:eastAsia="Calibri" w:hAnsi="Simplified Arabic" w:cs="Simplified Arabic"/>
          <w:b/>
          <w:bCs/>
          <w:lang w:val="en-US" w:bidi="ar-EG"/>
        </w:rPr>
      </w:pPr>
      <w:r w:rsidRPr="00375EB0">
        <w:rPr>
          <w:rFonts w:ascii="Simplified Arabic" w:eastAsia="Calibri" w:hAnsi="Simplified Arabic" w:cs="Simplified Arabic"/>
          <w:b/>
          <w:bCs/>
          <w:lang w:val="en-US" w:bidi="ar-EG"/>
        </w:rPr>
        <w:t xml:space="preserve"> </w:t>
      </w:r>
      <w:r w:rsidRPr="00375EB0">
        <w:rPr>
          <w:rFonts w:ascii="Simplified Arabic" w:eastAsia="Calibri" w:hAnsi="Simplified Arabic" w:cs="Simplified Arabic"/>
          <w:b/>
          <w:bCs/>
          <w:rtl/>
          <w:lang w:val="en-US" w:bidi="ar-EG"/>
        </w:rPr>
        <w:t>للفترة (2010- 2017 )</w:t>
      </w:r>
    </w:p>
    <w:tbl>
      <w:tblPr>
        <w:tblStyle w:val="LightGrid-Accent21"/>
        <w:tblpPr w:leftFromText="180" w:rightFromText="180" w:vertAnchor="text" w:tblpXSpec="right" w:tblpY="1"/>
        <w:tblOverlap w:val="never"/>
        <w:bidiVisual/>
        <w:tblW w:w="74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42"/>
        <w:gridCol w:w="708"/>
        <w:gridCol w:w="709"/>
        <w:gridCol w:w="709"/>
        <w:gridCol w:w="709"/>
        <w:gridCol w:w="708"/>
        <w:gridCol w:w="709"/>
        <w:gridCol w:w="709"/>
        <w:gridCol w:w="709"/>
      </w:tblGrid>
      <w:tr w:rsidR="00B917B2" w:rsidRPr="00375EB0" w:rsidTr="00E71A7A">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42" w:type="dxa"/>
            <w:vMerge w:val="restar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المؤسسات التعليمية</w:t>
            </w:r>
          </w:p>
        </w:tc>
        <w:tc>
          <w:tcPr>
            <w:tcW w:w="5670" w:type="dxa"/>
            <w:gridSpan w:val="8"/>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2"/>
                <w:szCs w:val="22"/>
                <w:rtl/>
              </w:rPr>
            </w:pPr>
            <w:r w:rsidRPr="00375EB0">
              <w:rPr>
                <w:rFonts w:ascii="Simplified Arabic" w:eastAsia="Calibri" w:hAnsi="Simplified Arabic" w:cs="Simplified Arabic"/>
                <w:noProof/>
                <w:rtl/>
                <w:lang w:val="en-US"/>
              </w:rPr>
              <mc:AlternateContent>
                <mc:Choice Requires="wps">
                  <w:drawing>
                    <wp:anchor distT="0" distB="0" distL="114300" distR="114300" simplePos="0" relativeHeight="251659264" behindDoc="0" locked="0" layoutInCell="1" allowOverlap="1" wp14:anchorId="19ADA36F" wp14:editId="356395F1">
                      <wp:simplePos x="0" y="0"/>
                      <wp:positionH relativeFrom="column">
                        <wp:posOffset>-97155</wp:posOffset>
                      </wp:positionH>
                      <wp:positionV relativeFrom="paragraph">
                        <wp:posOffset>-266700</wp:posOffset>
                      </wp:positionV>
                      <wp:extent cx="314325" cy="250825"/>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314325" cy="250825"/>
                              </a:xfrm>
                              <a:prstGeom prst="rect">
                                <a:avLst/>
                              </a:prstGeom>
                              <a:solidFill>
                                <a:sysClr val="window" lastClr="FFFFFF"/>
                              </a:solidFill>
                              <a:ln w="6350">
                                <a:noFill/>
                              </a:ln>
                            </wps:spPr>
                            <wps:txbx>
                              <w:txbxContent>
                                <w:p w:rsidR="00B917B2" w:rsidRPr="002F250B" w:rsidRDefault="00B917B2" w:rsidP="00B917B2">
                                  <w:r w:rsidRPr="002F250B">
                                    <w:rPr>
                                      <w:rFonts w:eastAsia="Calibri" w:cstheme="minorHAnsi" w:hint="cs"/>
                                      <w:b/>
                                      <w:bCs/>
                                      <w:sz w:val="24"/>
                                      <w:szCs w:val="24"/>
                                      <w:rtl/>
                                      <w:lang w:bidi="ar-EG"/>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DA36F" id="Text Box 13" o:spid="_x0000_s1029" type="#_x0000_t202" style="position:absolute;left:0;text-align:left;margin-left:-7.65pt;margin-top:-21pt;width:24.75pt;height:1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" fillcolor="window" stroked="f" strokeweight=".5pt">
                      <v:textbox>
                        <w:txbxContent>
                          <w:p w:rsidR="00B917B2" w:rsidRPr="002F250B" w:rsidRDefault="00B917B2" w:rsidP="00B917B2">
                            <w:r w:rsidRPr="002F250B">
                              <w:rPr>
                                <w:rFonts w:eastAsia="Calibri" w:cstheme="minorHAnsi" w:hint="cs"/>
                                <w:b/>
                                <w:bCs/>
                                <w:sz w:val="24"/>
                                <w:szCs w:val="24"/>
                                <w:rtl/>
                                <w:lang w:bidi="ar-EG"/>
                              </w:rPr>
                              <w:t>%</w:t>
                            </w:r>
                          </w:p>
                        </w:txbxContent>
                      </v:textbox>
                    </v:shape>
                  </w:pict>
                </mc:Fallback>
              </mc:AlternateContent>
            </w:r>
            <w:r w:rsidRPr="00375EB0">
              <w:rPr>
                <w:rFonts w:ascii="Simplified Arabic" w:hAnsi="Simplified Arabic" w:cs="Simplified Arabic"/>
                <w:sz w:val="22"/>
                <w:szCs w:val="22"/>
                <w:rtl/>
              </w:rPr>
              <w:t>السنة</w:t>
            </w:r>
          </w:p>
        </w:tc>
      </w:tr>
      <w:tr w:rsidR="00B917B2" w:rsidRPr="00375EB0" w:rsidTr="00E71A7A">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42"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E71A7A">
            <w:pPr>
              <w:bidi/>
              <w:spacing w:after="0"/>
              <w:rPr>
                <w:rFonts w:ascii="Simplified Arabic" w:hAnsi="Simplified Arabic" w:cs="Simplified Arabic"/>
                <w:sz w:val="22"/>
                <w:szCs w:val="22"/>
              </w:rPr>
            </w:pP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1"/>
                <w:szCs w:val="21"/>
                <w:rtl/>
              </w:rPr>
            </w:pPr>
            <w:r w:rsidRPr="00375EB0">
              <w:rPr>
                <w:rFonts w:ascii="Simplified Arabic" w:eastAsia="Times New Roman" w:hAnsi="Simplified Arabic" w:cs="Simplified Arabic"/>
                <w:b/>
                <w:bCs/>
                <w:sz w:val="21"/>
                <w:szCs w:val="21"/>
              </w:rPr>
              <w:t>2010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1"/>
                <w:szCs w:val="21"/>
              </w:rPr>
            </w:pPr>
            <w:r w:rsidRPr="00375EB0">
              <w:rPr>
                <w:rFonts w:ascii="Simplified Arabic" w:eastAsia="Times New Roman" w:hAnsi="Simplified Arabic" w:cs="Simplified Arabic"/>
                <w:b/>
                <w:bCs/>
                <w:sz w:val="21"/>
                <w:szCs w:val="21"/>
              </w:rPr>
              <w:t>2011</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1"/>
                <w:szCs w:val="21"/>
              </w:rPr>
            </w:pPr>
            <w:r w:rsidRPr="00375EB0">
              <w:rPr>
                <w:rFonts w:ascii="Simplified Arabic" w:eastAsia="Times New Roman" w:hAnsi="Simplified Arabic" w:cs="Simplified Arabic"/>
                <w:b/>
                <w:bCs/>
                <w:sz w:val="21"/>
                <w:szCs w:val="21"/>
              </w:rPr>
              <w:t>2012</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1"/>
                <w:szCs w:val="21"/>
              </w:rPr>
            </w:pPr>
            <w:r w:rsidRPr="00375EB0">
              <w:rPr>
                <w:rFonts w:ascii="Simplified Arabic" w:eastAsia="Times New Roman" w:hAnsi="Simplified Arabic" w:cs="Simplified Arabic"/>
                <w:b/>
                <w:bCs/>
                <w:sz w:val="21"/>
                <w:szCs w:val="21"/>
              </w:rPr>
              <w:t>2013</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1"/>
                <w:szCs w:val="21"/>
              </w:rPr>
            </w:pPr>
            <w:r w:rsidRPr="00375EB0">
              <w:rPr>
                <w:rFonts w:ascii="Simplified Arabic" w:eastAsia="Times New Roman" w:hAnsi="Simplified Arabic" w:cs="Simplified Arabic"/>
                <w:b/>
                <w:bCs/>
                <w:sz w:val="21"/>
                <w:szCs w:val="21"/>
              </w:rPr>
              <w:t>2014</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1"/>
                <w:szCs w:val="21"/>
              </w:rPr>
            </w:pPr>
            <w:r w:rsidRPr="00375EB0">
              <w:rPr>
                <w:rFonts w:ascii="Simplified Arabic" w:eastAsia="Times New Roman" w:hAnsi="Simplified Arabic" w:cs="Simplified Arabic"/>
                <w:b/>
                <w:bCs/>
                <w:sz w:val="21"/>
                <w:szCs w:val="21"/>
              </w:rPr>
              <w:t>2015</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1"/>
                <w:szCs w:val="21"/>
              </w:rPr>
            </w:pPr>
            <w:r w:rsidRPr="00375EB0">
              <w:rPr>
                <w:rFonts w:ascii="Simplified Arabic" w:eastAsia="Times New Roman" w:hAnsi="Simplified Arabic" w:cs="Simplified Arabic"/>
                <w:b/>
                <w:bCs/>
                <w:sz w:val="21"/>
                <w:szCs w:val="21"/>
              </w:rPr>
              <w:t>2016</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1"/>
                <w:szCs w:val="21"/>
              </w:rPr>
            </w:pPr>
            <w:r w:rsidRPr="00375EB0">
              <w:rPr>
                <w:rFonts w:ascii="Simplified Arabic" w:eastAsia="Times New Roman" w:hAnsi="Simplified Arabic" w:cs="Simplified Arabic"/>
                <w:b/>
                <w:bCs/>
                <w:sz w:val="21"/>
                <w:szCs w:val="21"/>
              </w:rPr>
              <w:t>2017</w:t>
            </w:r>
          </w:p>
        </w:tc>
      </w:tr>
      <w:tr w:rsidR="00B917B2" w:rsidRPr="00375EB0" w:rsidTr="00E71A7A">
        <w:trPr>
          <w:cnfStyle w:val="000000010000" w:firstRow="0" w:lastRow="0" w:firstColumn="0" w:lastColumn="0" w:oddVBand="0" w:evenVBand="0" w:oddHBand="0" w:evenHBand="1"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الجامعات الحكومية</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68.1</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69.0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73.5</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70.3</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61.5</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66.8</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66.5</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68.4</w:t>
            </w:r>
          </w:p>
        </w:tc>
      </w:tr>
      <w:tr w:rsidR="00B917B2" w:rsidRPr="00375EB0" w:rsidTr="00E71A7A">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الجامعات الخاصة</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2.0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2.3</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2.8</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3.0</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3.4</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2.4</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3.4</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4.2</w:t>
            </w:r>
          </w:p>
        </w:tc>
      </w:tr>
      <w:tr w:rsidR="00B917B2" w:rsidRPr="00375EB0" w:rsidTr="00E71A7A">
        <w:trPr>
          <w:cnfStyle w:val="000000010000" w:firstRow="0" w:lastRow="0" w:firstColumn="0" w:lastColumn="0" w:oddVBand="0" w:evenVBand="0" w:oddHBand="0" w:evenHBand="1"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المعاهد العليا الخاصة</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17.5</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18.0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17.0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14.6</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14.8</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16.0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18.1</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17.1</w:t>
            </w:r>
          </w:p>
        </w:tc>
      </w:tr>
      <w:tr w:rsidR="00B917B2" w:rsidRPr="00375EB0" w:rsidTr="00E71A7A">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الأكاديميات</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0.8</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0.9</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1.1</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1.9</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2.1</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1.5</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1.2</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b/>
                <w:bCs/>
                <w:sz w:val="22"/>
                <w:szCs w:val="22"/>
              </w:rPr>
            </w:pPr>
            <w:r w:rsidRPr="00375EB0">
              <w:rPr>
                <w:b/>
                <w:bCs/>
                <w:sz w:val="22"/>
                <w:szCs w:val="22"/>
              </w:rPr>
              <w:t>1.3</w:t>
            </w:r>
          </w:p>
        </w:tc>
      </w:tr>
      <w:tr w:rsidR="00B917B2" w:rsidRPr="00375EB0" w:rsidTr="00E71A7A">
        <w:trPr>
          <w:cnfStyle w:val="000000010000" w:firstRow="0" w:lastRow="0" w:firstColumn="0" w:lastColumn="0" w:oddVBand="0" w:evenVBand="0" w:oddHBand="0" w:evenHBand="1"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E71A7A">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المعاهد الفنية</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11.5</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9.8</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5.5</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10.2</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18.1</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13.3</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10.7</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010000" w:firstRow="0" w:lastRow="0" w:firstColumn="0" w:lastColumn="0" w:oddVBand="0" w:evenVBand="0" w:oddHBand="0" w:evenHBand="1" w:firstRowFirstColumn="0" w:firstRowLastColumn="0" w:lastRowFirstColumn="0" w:lastRowLastColumn="0"/>
              <w:rPr>
                <w:b/>
                <w:bCs/>
                <w:sz w:val="22"/>
                <w:szCs w:val="22"/>
              </w:rPr>
            </w:pPr>
            <w:r w:rsidRPr="00375EB0">
              <w:rPr>
                <w:b/>
                <w:bCs/>
                <w:sz w:val="22"/>
                <w:szCs w:val="22"/>
              </w:rPr>
              <w:t>9.1</w:t>
            </w:r>
          </w:p>
        </w:tc>
      </w:tr>
      <w:tr w:rsidR="00B917B2" w:rsidRPr="00375EB0" w:rsidTr="00E71A7A">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42"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E71A7A">
            <w:pPr>
              <w:bidi/>
              <w:spacing w:after="0"/>
              <w:jc w:val="center"/>
              <w:rPr>
                <w:rFonts w:ascii="Simplified Arabic" w:hAnsi="Simplified Arabic" w:cs="Simplified Arabic"/>
                <w:sz w:val="22"/>
                <w:szCs w:val="22"/>
              </w:rPr>
            </w:pPr>
            <w:r w:rsidRPr="00375EB0">
              <w:rPr>
                <w:rFonts w:ascii="Simplified Arabic" w:hAnsi="Simplified Arabic" w:cs="Simplified Arabic"/>
                <w:sz w:val="22"/>
                <w:szCs w:val="22"/>
                <w:rtl/>
              </w:rPr>
              <w:t>الإجمــــالى</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tl/>
              </w:rPr>
            </w:pPr>
            <w:r w:rsidRPr="00375EB0">
              <w:rPr>
                <w:rFonts w:ascii="Simplified Arabic" w:hAnsi="Simplified Arabic" w:cs="Simplified Arabic"/>
                <w:b/>
                <w:bCs/>
              </w:rPr>
              <w:t>100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hAnsi="Simplified Arabic" w:cs="Simplified Arabic"/>
                <w:b/>
                <w:bCs/>
              </w:rPr>
              <w:t>100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hAnsi="Simplified Arabic" w:cs="Simplified Arabic"/>
                <w:b/>
                <w:bCs/>
              </w:rPr>
              <w:t>100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hAnsi="Simplified Arabic" w:cs="Simplified Arabic"/>
                <w:b/>
                <w:bCs/>
              </w:rPr>
              <w:t>100</w:t>
            </w:r>
          </w:p>
        </w:tc>
        <w:tc>
          <w:tcPr>
            <w:tcW w:w="708"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hAnsi="Simplified Arabic" w:cs="Simplified Arabic"/>
                <w:b/>
                <w:bCs/>
              </w:rPr>
              <w:t>100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hAnsi="Simplified Arabic" w:cs="Simplified Arabic"/>
                <w:b/>
                <w:bCs/>
              </w:rPr>
              <w:t>100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hAnsi="Simplified Arabic" w:cs="Simplified Arabic"/>
                <w:b/>
                <w:bCs/>
              </w:rPr>
              <w:t>100</w:t>
            </w:r>
          </w:p>
        </w:tc>
        <w:tc>
          <w:tcPr>
            <w:tcW w:w="709" w:type="dxa"/>
            <w:tcBorders>
              <w:top w:val="none" w:sz="0" w:space="0" w:color="auto"/>
              <w:left w:val="none" w:sz="0" w:space="0" w:color="auto"/>
              <w:bottom w:val="none" w:sz="0" w:space="0" w:color="auto"/>
              <w:right w:val="none" w:sz="0" w:space="0" w:color="auto"/>
            </w:tcBorders>
            <w:shd w:val="clear" w:color="auto" w:fill="auto"/>
            <w:noWrap/>
            <w:vAlign w:val="center"/>
          </w:tcPr>
          <w:p w:rsidR="00B917B2" w:rsidRPr="00375EB0" w:rsidRDefault="00B917B2" w:rsidP="00E71A7A">
            <w:pPr>
              <w:bidi/>
              <w:spacing w:after="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375EB0">
              <w:rPr>
                <w:rFonts w:ascii="Simplified Arabic" w:hAnsi="Simplified Arabic" w:cs="Simplified Arabic"/>
                <w:b/>
                <w:bCs/>
              </w:rPr>
              <w:t>100</w:t>
            </w:r>
          </w:p>
        </w:tc>
      </w:tr>
    </w:tbl>
    <w:p w:rsidR="00B917B2" w:rsidRPr="00375EB0" w:rsidRDefault="00B917B2" w:rsidP="00B917B2">
      <w:pPr>
        <w:tabs>
          <w:tab w:val="left" w:pos="2670"/>
          <w:tab w:val="left" w:pos="4860"/>
        </w:tabs>
        <w:bidi/>
        <w:spacing w:after="0" w:line="240" w:lineRule="auto"/>
        <w:ind w:left="680" w:hanging="680"/>
        <w:jc w:val="both"/>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النشرة السنوية لخريجي التعليم العالي للف</w:t>
      </w:r>
      <w:r w:rsidRPr="00375EB0">
        <w:rPr>
          <w:rFonts w:ascii="Simplified Arabic" w:eastAsia="Calibri" w:hAnsi="Simplified Arabic" w:cs="Simplified Arabic" w:hint="cs"/>
          <w:rtl/>
          <w:lang w:val="en-US" w:bidi="ar-EG"/>
        </w:rPr>
        <w:t>ـــــــــــــــــــــــــــــــــ</w:t>
      </w:r>
      <w:r w:rsidRPr="00375EB0">
        <w:rPr>
          <w:rFonts w:ascii="Simplified Arabic" w:eastAsia="Calibri" w:hAnsi="Simplified Arabic" w:cs="Simplified Arabic"/>
          <w:rtl/>
          <w:lang w:val="en-US" w:bidi="ar-EG"/>
        </w:rPr>
        <w:t>ترة (2010–2017)</w:t>
      </w:r>
      <w:r w:rsidRPr="00375EB0">
        <w:rPr>
          <w:rFonts w:ascii="Simplified Arabic" w:eastAsia="Calibri" w:hAnsi="Simplified Arabic" w:cs="Simplified Arabic" w:hint="cs"/>
          <w:rtl/>
          <w:lang w:val="en-US" w:bidi="ar-EG"/>
        </w:rPr>
        <w:t>.</w:t>
      </w:r>
    </w:p>
    <w:p w:rsidR="00B917B2" w:rsidRPr="00375EB0" w:rsidRDefault="00B917B2" w:rsidP="00616254">
      <w:pPr>
        <w:numPr>
          <w:ilvl w:val="0"/>
          <w:numId w:val="3"/>
        </w:numPr>
        <w:bidi/>
        <w:spacing w:after="0" w:line="240" w:lineRule="auto"/>
        <w:ind w:left="455" w:hanging="455"/>
        <w:contextualSpacing/>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خريجى التعليم الجامعى</w:t>
      </w:r>
      <w:r w:rsidRPr="00375EB0">
        <w:rPr>
          <w:rFonts w:ascii="Simplified Arabic" w:eastAsia="Calibri" w:hAnsi="Simplified Arabic" w:cs="Simplified Arabic"/>
          <w:b/>
          <w:bCs/>
          <w:sz w:val="30"/>
          <w:szCs w:val="30"/>
          <w:rtl/>
          <w:lang w:val="en-US" w:bidi="ar-EG"/>
        </w:rPr>
        <w:t>:</w:t>
      </w:r>
    </w:p>
    <w:p w:rsidR="00B917B2" w:rsidRPr="00375EB0" w:rsidRDefault="00B917B2" w:rsidP="00616254">
      <w:pPr>
        <w:numPr>
          <w:ilvl w:val="0"/>
          <w:numId w:val="4"/>
        </w:numPr>
        <w:bidi/>
        <w:spacing w:after="0" w:line="240" w:lineRule="auto"/>
        <w:ind w:left="671" w:hanging="501"/>
        <w:contextualSpacing/>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خريجى التعليم الجامعى وفقاً لنوع الجامعة</w:t>
      </w:r>
    </w:p>
    <w:p w:rsidR="00B917B2" w:rsidRPr="00375EB0" w:rsidRDefault="00B917B2" w:rsidP="00B917B2">
      <w:pPr>
        <w:bidi/>
        <w:spacing w:after="0" w:line="240" w:lineRule="auto"/>
        <w:ind w:left="170" w:firstLine="671"/>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يعرض جـــدول (2-12) تطور أعداد خــريجى التعليم الجامعى وفقاً لنوع الجـــامعة خلال الفترة 2010- 2017، تشير البيانات إلى:</w:t>
      </w:r>
    </w:p>
    <w:p w:rsidR="00B917B2" w:rsidRPr="00375EB0" w:rsidRDefault="00B917B2" w:rsidP="00616254">
      <w:pPr>
        <w:numPr>
          <w:ilvl w:val="0"/>
          <w:numId w:val="5"/>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ارتفاع عدد خريجي الجامعات من 326,3 ألف خريج عام 2010 إلى 389,9</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ألف خريج عام 2017 بنسبة زيادة قدرها 19,5 ٪ خلال الفترة.</w:t>
      </w:r>
    </w:p>
    <w:p w:rsidR="00B917B2" w:rsidRPr="00375EB0" w:rsidRDefault="00B917B2" w:rsidP="00616254">
      <w:pPr>
        <w:numPr>
          <w:ilvl w:val="0"/>
          <w:numId w:val="5"/>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lastRenderedPageBreak/>
        <w:t>زيادة أعداد خريجي الجامعات الخاصة بنسبة 134٪، بين أول فترة الدراسة ونهايتها، بينما لم تتجاوز نسبة الزيادة لخريجي الجامعات الحكومية والأزهر 16٪ خلال فترة الدراسة.</w:t>
      </w:r>
    </w:p>
    <w:p w:rsidR="00B917B2" w:rsidRPr="00375EB0" w:rsidRDefault="00B917B2" w:rsidP="00616254">
      <w:pPr>
        <w:numPr>
          <w:ilvl w:val="0"/>
          <w:numId w:val="5"/>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شهدت أعداد الخريجات من الاناث زيادة مضطردة طوال فترة الدراسة، وبلغت نسبة التغير في أعدادهن بين أول الفترة وآخرها 23,8٪.</w:t>
      </w:r>
    </w:p>
    <w:p w:rsidR="00B917B2" w:rsidRPr="00375EB0" w:rsidRDefault="00B917B2" w:rsidP="00847590">
      <w:pPr>
        <w:tabs>
          <w:tab w:val="left" w:pos="2670"/>
          <w:tab w:val="left" w:pos="4860"/>
        </w:tabs>
        <w:bidi/>
        <w:spacing w:after="0" w:line="240" w:lineRule="auto"/>
        <w:jc w:val="center"/>
        <w:rPr>
          <w:rFonts w:ascii="Simplified Arabic" w:eastAsia="Calibri" w:hAnsi="Simplified Arabic" w:cs="Simplified Arabic"/>
          <w:b/>
          <w:bCs/>
          <w:sz w:val="24"/>
          <w:szCs w:val="24"/>
          <w:rtl/>
          <w:lang w:val="en-US" w:bidi="ar-EG"/>
        </w:rPr>
      </w:pPr>
      <w:r w:rsidRPr="00375EB0">
        <w:rPr>
          <w:rFonts w:ascii="Simplified Arabic" w:eastAsia="Calibri" w:hAnsi="Simplified Arabic" w:cs="Simplified Arabic"/>
          <w:b/>
          <w:bCs/>
          <w:sz w:val="24"/>
          <w:szCs w:val="24"/>
          <w:rtl/>
          <w:lang w:val="en-US" w:bidi="ar-EG"/>
        </w:rPr>
        <w:t>شكل (2-12) تطور خريجي الجامعات الحكومية والخاصة خلال الفترة من 2010 - 2017</w:t>
      </w:r>
    </w:p>
    <w:p w:rsidR="00B917B2" w:rsidRPr="00375EB0" w:rsidRDefault="00B917B2" w:rsidP="00B917B2">
      <w:pPr>
        <w:tabs>
          <w:tab w:val="left" w:pos="2670"/>
          <w:tab w:val="left" w:pos="4860"/>
        </w:tabs>
        <w:bidi/>
        <w:spacing w:before="120" w:after="120" w:line="240" w:lineRule="auto"/>
        <w:jc w:val="center"/>
        <w:rPr>
          <w:rFonts w:ascii="Simplified Arabic" w:eastAsia="Calibri" w:hAnsi="Simplified Arabic" w:cs="Simplified Arabic"/>
          <w:sz w:val="20"/>
          <w:szCs w:val="20"/>
          <w:rtl/>
          <w:lang w:val="en-US" w:bidi="ar-EG"/>
        </w:rPr>
      </w:pPr>
      <w:r w:rsidRPr="00375EB0">
        <w:rPr>
          <w:rFonts w:ascii="Simplified Arabic" w:hAnsi="Simplified Arabic" w:cs="Simplified Arabic"/>
          <w:noProof/>
          <w:lang w:val="en-US"/>
        </w:rPr>
        <w:drawing>
          <wp:inline distT="0" distB="0" distL="0" distR="0" wp14:anchorId="487C165E" wp14:editId="5B72E97E">
            <wp:extent cx="4305300" cy="20193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17B2" w:rsidRPr="00375EB0" w:rsidRDefault="00B917B2" w:rsidP="00B917B2">
      <w:pPr>
        <w:bidi/>
        <w:spacing w:after="0" w:line="240" w:lineRule="auto"/>
        <w:ind w:left="427"/>
        <w:rPr>
          <w:rFonts w:ascii="Simplified Arabic" w:eastAsia="Calibri" w:hAnsi="Simplified Arabic" w:cs="Simplified Arabic"/>
          <w:b/>
          <w:bCs/>
          <w:sz w:val="28"/>
          <w:szCs w:val="28"/>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النشرة السنوية لخريجي التعليم العالي للفترة (2010 – 2017)</w:t>
      </w:r>
      <w:r w:rsidRPr="00375EB0">
        <w:rPr>
          <w:rFonts w:ascii="Simplified Arabic" w:eastAsia="Calibri" w:hAnsi="Simplified Arabic" w:cs="Simplified Arabic" w:hint="cs"/>
          <w:rtl/>
          <w:lang w:val="en-US" w:bidi="ar-EG"/>
        </w:rPr>
        <w:t>.</w:t>
      </w:r>
    </w:p>
    <w:p w:rsidR="00B917B2" w:rsidRPr="00375EB0" w:rsidRDefault="00B917B2" w:rsidP="00847590">
      <w:pPr>
        <w:bidi/>
        <w:spacing w:after="0" w:line="240" w:lineRule="auto"/>
        <w:jc w:val="center"/>
        <w:rPr>
          <w:rFonts w:ascii="Simplified Arabic" w:eastAsia="Calibri" w:hAnsi="Simplified Arabic" w:cs="Simplified Arabic"/>
          <w:b/>
          <w:bCs/>
          <w:lang w:val="en-US" w:bidi="ar-EG"/>
        </w:rPr>
      </w:pPr>
      <w:r w:rsidRPr="00375EB0">
        <w:rPr>
          <w:rFonts w:ascii="Simplified Arabic" w:eastAsia="Calibri" w:hAnsi="Simplified Arabic" w:cs="Simplified Arabic"/>
          <w:b/>
          <w:bCs/>
          <w:rtl/>
          <w:lang w:val="en-US" w:bidi="ar-EG"/>
        </w:rPr>
        <w:t>جدول (2-12) تطور أعداد خريجي الجامعات من الذكور والاناث خلال الفترة (2010 – 2017) ونسبة التغير بين أول الفترة وآخرها</w:t>
      </w:r>
    </w:p>
    <w:tbl>
      <w:tblPr>
        <w:tblpPr w:leftFromText="180" w:rightFromText="180" w:vertAnchor="text" w:tblpXSpec="center" w:tblpY="1"/>
        <w:tblOverlap w:val="never"/>
        <w:bidiVisual/>
        <w:tblW w:w="8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564"/>
        <w:gridCol w:w="823"/>
        <w:gridCol w:w="823"/>
        <w:gridCol w:w="865"/>
        <w:gridCol w:w="850"/>
        <w:gridCol w:w="851"/>
        <w:gridCol w:w="850"/>
        <w:gridCol w:w="851"/>
        <w:gridCol w:w="850"/>
        <w:gridCol w:w="709"/>
      </w:tblGrid>
      <w:tr w:rsidR="00B917B2" w:rsidRPr="00847590" w:rsidTr="00847590">
        <w:trPr>
          <w:trHeight w:hRule="exact" w:val="418"/>
          <w:jc w:val="center"/>
        </w:trPr>
        <w:tc>
          <w:tcPr>
            <w:tcW w:w="739" w:type="dxa"/>
            <w:vMerge w:val="restart"/>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نوع الجامعة</w:t>
            </w:r>
          </w:p>
        </w:tc>
        <w:tc>
          <w:tcPr>
            <w:tcW w:w="564" w:type="dxa"/>
            <w:vMerge w:val="restart"/>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النوع</w:t>
            </w:r>
          </w:p>
        </w:tc>
        <w:tc>
          <w:tcPr>
            <w:tcW w:w="6685" w:type="dxa"/>
            <w:gridSpan w:val="8"/>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السنوات</w:t>
            </w:r>
          </w:p>
        </w:tc>
        <w:tc>
          <w:tcPr>
            <w:tcW w:w="709" w:type="dxa"/>
            <w:vMerge w:val="restart"/>
            <w:shd w:val="clear" w:color="auto" w:fill="auto"/>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نسبة التغير</w:t>
            </w:r>
          </w:p>
        </w:tc>
      </w:tr>
      <w:tr w:rsidR="00B917B2" w:rsidRPr="00847590" w:rsidTr="00847590">
        <w:trPr>
          <w:trHeight w:val="300"/>
          <w:jc w:val="center"/>
        </w:trPr>
        <w:tc>
          <w:tcPr>
            <w:tcW w:w="739"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c>
          <w:tcPr>
            <w:tcW w:w="564"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c>
          <w:tcPr>
            <w:tcW w:w="784" w:type="dxa"/>
            <w:shd w:val="clear" w:color="auto" w:fill="auto"/>
            <w:noWrap/>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2010</w:t>
            </w:r>
          </w:p>
        </w:tc>
        <w:tc>
          <w:tcPr>
            <w:tcW w:w="784" w:type="dxa"/>
            <w:shd w:val="clear" w:color="auto" w:fill="auto"/>
            <w:noWrap/>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2011</w:t>
            </w:r>
          </w:p>
        </w:tc>
        <w:tc>
          <w:tcPr>
            <w:tcW w:w="865" w:type="dxa"/>
            <w:shd w:val="clear" w:color="auto" w:fill="auto"/>
            <w:noWrap/>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2012</w:t>
            </w:r>
          </w:p>
        </w:tc>
        <w:tc>
          <w:tcPr>
            <w:tcW w:w="850" w:type="dxa"/>
            <w:shd w:val="clear" w:color="auto" w:fill="auto"/>
            <w:noWrap/>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2013</w:t>
            </w:r>
          </w:p>
        </w:tc>
        <w:tc>
          <w:tcPr>
            <w:tcW w:w="851" w:type="dxa"/>
            <w:shd w:val="clear" w:color="auto" w:fill="auto"/>
            <w:noWrap/>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2014</w:t>
            </w:r>
          </w:p>
        </w:tc>
        <w:tc>
          <w:tcPr>
            <w:tcW w:w="850" w:type="dxa"/>
            <w:shd w:val="clear" w:color="auto" w:fill="auto"/>
            <w:noWrap/>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2015</w:t>
            </w:r>
          </w:p>
        </w:tc>
        <w:tc>
          <w:tcPr>
            <w:tcW w:w="851" w:type="dxa"/>
            <w:shd w:val="clear" w:color="auto" w:fill="auto"/>
            <w:noWrap/>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2016</w:t>
            </w:r>
          </w:p>
        </w:tc>
        <w:tc>
          <w:tcPr>
            <w:tcW w:w="850" w:type="dxa"/>
            <w:shd w:val="clear" w:color="auto" w:fill="auto"/>
            <w:noWrap/>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2017</w:t>
            </w:r>
          </w:p>
        </w:tc>
        <w:tc>
          <w:tcPr>
            <w:tcW w:w="709"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r>
      <w:tr w:rsidR="00B917B2" w:rsidRPr="00847590" w:rsidTr="00847590">
        <w:trPr>
          <w:trHeight w:val="300"/>
          <w:jc w:val="center"/>
        </w:trPr>
        <w:tc>
          <w:tcPr>
            <w:tcW w:w="739" w:type="dxa"/>
            <w:vMerge w:val="restart"/>
            <w:shd w:val="clear" w:color="auto" w:fill="auto"/>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الجامعات الحكومية والازهر</w:t>
            </w: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جملة</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316783</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332776</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321809</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325358</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189566</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252687</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324452</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367549</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16</w:t>
            </w:r>
          </w:p>
        </w:tc>
      </w:tr>
      <w:tr w:rsidR="00B917B2" w:rsidRPr="00847590" w:rsidTr="00847590">
        <w:trPr>
          <w:trHeight w:val="300"/>
          <w:jc w:val="center"/>
        </w:trPr>
        <w:tc>
          <w:tcPr>
            <w:tcW w:w="739"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ذكور</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143649</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152714</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149188</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147641</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100072</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109474</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140166</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159631</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11,1</w:t>
            </w:r>
          </w:p>
        </w:tc>
      </w:tr>
      <w:tr w:rsidR="00B917B2" w:rsidRPr="00847590" w:rsidTr="00847590">
        <w:trPr>
          <w:trHeight w:val="315"/>
          <w:jc w:val="center"/>
        </w:trPr>
        <w:tc>
          <w:tcPr>
            <w:tcW w:w="739"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إناث</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173134</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180062</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172621</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177717</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89494</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143213</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184286</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207918</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20,1</w:t>
            </w:r>
          </w:p>
        </w:tc>
      </w:tr>
      <w:tr w:rsidR="00B917B2" w:rsidRPr="00847590" w:rsidTr="00847590">
        <w:trPr>
          <w:trHeight w:val="300"/>
          <w:jc w:val="center"/>
        </w:trPr>
        <w:tc>
          <w:tcPr>
            <w:tcW w:w="739" w:type="dxa"/>
            <w:vMerge w:val="restart"/>
            <w:shd w:val="clear" w:color="auto" w:fill="auto"/>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إجمإلى الجامعات الخاصة</w:t>
            </w: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جملة</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9515</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11161</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12394</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13787</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10631</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9116</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16729</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22310</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134,5</w:t>
            </w:r>
          </w:p>
        </w:tc>
      </w:tr>
      <w:tr w:rsidR="00B917B2" w:rsidRPr="00847590" w:rsidTr="00847590">
        <w:trPr>
          <w:trHeight w:val="300"/>
          <w:jc w:val="center"/>
        </w:trPr>
        <w:tc>
          <w:tcPr>
            <w:tcW w:w="739"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ذكور</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5698</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6098</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7014</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7522</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6165</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4873</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8594</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11237</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97,2</w:t>
            </w:r>
          </w:p>
        </w:tc>
      </w:tr>
      <w:tr w:rsidR="00B917B2" w:rsidRPr="00847590" w:rsidTr="00847590">
        <w:trPr>
          <w:trHeight w:val="300"/>
          <w:jc w:val="center"/>
        </w:trPr>
        <w:tc>
          <w:tcPr>
            <w:tcW w:w="739"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إناث</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3817</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5063</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5380</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6265</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4466</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4243</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8135</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11073</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eastAsia="en-GB"/>
              </w:rPr>
              <w:t>190,1</w:t>
            </w:r>
          </w:p>
        </w:tc>
      </w:tr>
      <w:tr w:rsidR="00B917B2" w:rsidRPr="00847590" w:rsidTr="00847590">
        <w:trPr>
          <w:trHeight w:val="300"/>
          <w:jc w:val="center"/>
        </w:trPr>
        <w:tc>
          <w:tcPr>
            <w:tcW w:w="739" w:type="dxa"/>
            <w:vMerge w:val="restart"/>
            <w:shd w:val="clear" w:color="auto" w:fill="auto"/>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اجمإلي خريجى الجامعات</w:t>
            </w: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جملة</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326298</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343937</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334203</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339145</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200197</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261803</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341181</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389859</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19,5</w:t>
            </w:r>
          </w:p>
        </w:tc>
      </w:tr>
      <w:tr w:rsidR="00B917B2" w:rsidRPr="00847590" w:rsidTr="00847590">
        <w:trPr>
          <w:trHeight w:val="300"/>
          <w:jc w:val="center"/>
        </w:trPr>
        <w:tc>
          <w:tcPr>
            <w:tcW w:w="739"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ذكور</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149347</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158812</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156202</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155163</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106237</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114347</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148760</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170868</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14,4</w:t>
            </w:r>
          </w:p>
        </w:tc>
      </w:tr>
      <w:tr w:rsidR="00B917B2" w:rsidRPr="00847590" w:rsidTr="00847590">
        <w:trPr>
          <w:trHeight w:val="300"/>
          <w:jc w:val="center"/>
        </w:trPr>
        <w:tc>
          <w:tcPr>
            <w:tcW w:w="739" w:type="dxa"/>
            <w:vMerge/>
            <w:vAlign w:val="center"/>
            <w:hideMark/>
          </w:tcPr>
          <w:p w:rsidR="00B917B2" w:rsidRPr="00847590" w:rsidRDefault="00B917B2" w:rsidP="00B917B2">
            <w:pPr>
              <w:spacing w:after="0" w:line="240" w:lineRule="auto"/>
              <w:jc w:val="center"/>
              <w:rPr>
                <w:rFonts w:ascii="Simplified Arabic" w:eastAsia="Times New Roman" w:hAnsi="Simplified Arabic" w:cs="Simplified Arabic"/>
                <w:b/>
                <w:bCs/>
                <w:sz w:val="18"/>
                <w:szCs w:val="18"/>
                <w:lang w:eastAsia="en-GB"/>
              </w:rPr>
            </w:pPr>
          </w:p>
        </w:tc>
        <w:tc>
          <w:tcPr>
            <w:tcW w:w="564" w:type="dxa"/>
            <w:shd w:val="clear" w:color="auto" w:fill="auto"/>
            <w:noWrap/>
            <w:vAlign w:val="center"/>
            <w:hideMark/>
          </w:tcPr>
          <w:p w:rsidR="00B917B2" w:rsidRPr="00847590" w:rsidRDefault="00B917B2" w:rsidP="00B917B2">
            <w:pPr>
              <w:bidi/>
              <w:spacing w:after="0" w:line="240" w:lineRule="auto"/>
              <w:jc w:val="center"/>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rtl/>
                <w:lang w:eastAsia="en-GB"/>
              </w:rPr>
              <w:t>إناث</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176951</w:t>
            </w:r>
          </w:p>
        </w:tc>
        <w:tc>
          <w:tcPr>
            <w:tcW w:w="784"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185125</w:t>
            </w:r>
          </w:p>
        </w:tc>
        <w:tc>
          <w:tcPr>
            <w:tcW w:w="865"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178001</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183982</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93960</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147456</w:t>
            </w:r>
          </w:p>
        </w:tc>
        <w:tc>
          <w:tcPr>
            <w:tcW w:w="851"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192421</w:t>
            </w:r>
          </w:p>
        </w:tc>
        <w:tc>
          <w:tcPr>
            <w:tcW w:w="850"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218991</w:t>
            </w:r>
          </w:p>
        </w:tc>
        <w:tc>
          <w:tcPr>
            <w:tcW w:w="709" w:type="dxa"/>
            <w:shd w:val="clear" w:color="auto" w:fill="auto"/>
            <w:noWrap/>
            <w:vAlign w:val="center"/>
            <w:hideMark/>
          </w:tcPr>
          <w:p w:rsidR="00B917B2" w:rsidRPr="00847590" w:rsidRDefault="00B917B2" w:rsidP="00B917B2">
            <w:pPr>
              <w:bidi/>
              <w:spacing w:after="0" w:line="240" w:lineRule="auto"/>
              <w:rPr>
                <w:rFonts w:ascii="Simplified Arabic" w:eastAsia="Times New Roman" w:hAnsi="Simplified Arabic" w:cs="Simplified Arabic"/>
                <w:b/>
                <w:bCs/>
                <w:sz w:val="18"/>
                <w:szCs w:val="18"/>
                <w:lang w:eastAsia="en-GB"/>
              </w:rPr>
            </w:pPr>
            <w:r w:rsidRPr="00847590">
              <w:rPr>
                <w:rFonts w:ascii="Simplified Arabic" w:eastAsia="Times New Roman" w:hAnsi="Simplified Arabic" w:cs="Simplified Arabic"/>
                <w:b/>
                <w:bCs/>
                <w:sz w:val="18"/>
                <w:szCs w:val="18"/>
                <w:lang w:val="en-US" w:eastAsia="en-GB"/>
              </w:rPr>
              <w:t>23,8</w:t>
            </w:r>
          </w:p>
        </w:tc>
      </w:tr>
    </w:tbl>
    <w:p w:rsidR="00B917B2" w:rsidRPr="00375EB0" w:rsidRDefault="00B917B2" w:rsidP="0010482B">
      <w:pPr>
        <w:bidi/>
        <w:spacing w:after="120" w:line="240" w:lineRule="auto"/>
        <w:ind w:left="-596"/>
        <w:jc w:val="both"/>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النشرة السنوية لخريجي التعليم العالي للفترة (2010 – 2017)</w:t>
      </w:r>
      <w:r w:rsidRPr="00375EB0">
        <w:rPr>
          <w:rFonts w:ascii="Simplified Arabic" w:eastAsia="Calibri" w:hAnsi="Simplified Arabic" w:cs="Simplified Arabic" w:hint="cs"/>
          <w:b/>
          <w:bCs/>
          <w:rtl/>
          <w:lang w:val="en-US" w:bidi="ar-EG"/>
        </w:rPr>
        <w:t>.</w:t>
      </w:r>
    </w:p>
    <w:p w:rsidR="00B917B2" w:rsidRPr="00375EB0" w:rsidRDefault="00B917B2" w:rsidP="00B917B2">
      <w:pPr>
        <w:bidi/>
        <w:spacing w:before="360"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lastRenderedPageBreak/>
        <w:t>تشير بيانات جدول (2-13) إلي التوزيع النسبى لخريجي الجامعات خلال الفترة من عام 2010 – 2017، تشير البيانات إلي:</w:t>
      </w:r>
    </w:p>
    <w:p w:rsidR="00B917B2" w:rsidRPr="00375EB0" w:rsidRDefault="00B917B2" w:rsidP="00616254">
      <w:pPr>
        <w:numPr>
          <w:ilvl w:val="0"/>
          <w:numId w:val="6"/>
        </w:numPr>
        <w:bidi/>
        <w:spacing w:after="12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انخفاض نسبة الخريجين من الجامعات الحكومية وجامعة الأزهر خلال فترة الدراسة، حيث انخفضت النسبة عبر فترة الدراسة من 97,1٪ عام 2010 لتصل إلي 94,3٪ في نهاية الفترة عام 2017.</w:t>
      </w:r>
    </w:p>
    <w:p w:rsidR="00B917B2" w:rsidRPr="00375EB0" w:rsidRDefault="00B917B2" w:rsidP="00616254">
      <w:pPr>
        <w:numPr>
          <w:ilvl w:val="0"/>
          <w:numId w:val="6"/>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علي الجانب ال</w:t>
      </w:r>
      <w:r w:rsidRPr="00375EB0">
        <w:rPr>
          <w:rFonts w:ascii="Simplified Arabic" w:eastAsia="Calibri" w:hAnsi="Simplified Arabic" w:cs="Simplified Arabic" w:hint="cs"/>
          <w:sz w:val="28"/>
          <w:szCs w:val="28"/>
          <w:rtl/>
          <w:lang w:val="en-US" w:bidi="ar-EG"/>
        </w:rPr>
        <w:t>آ</w:t>
      </w:r>
      <w:r w:rsidRPr="00375EB0">
        <w:rPr>
          <w:rFonts w:ascii="Simplified Arabic" w:eastAsia="Calibri" w:hAnsi="Simplified Arabic" w:cs="Simplified Arabic"/>
          <w:sz w:val="28"/>
          <w:szCs w:val="28"/>
          <w:rtl/>
          <w:lang w:val="en-US" w:bidi="ar-EG"/>
        </w:rPr>
        <w:t xml:space="preserve">خر ارتفعت نسبة خريجي الجامعات الخاصة من 2,9٪ عام 2010 إلى 5,7٪ عام 2017، الأمر الذي يشير إلي استيعاب التعليم الخاص للأعداد التي تتسرب من التعليم الحكومي علي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مل تقديم خدمة تعليمية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فضل.</w:t>
      </w:r>
    </w:p>
    <w:p w:rsidR="00B917B2" w:rsidRPr="00375EB0" w:rsidRDefault="00B917B2" w:rsidP="00B917B2">
      <w:pPr>
        <w:bidi/>
        <w:spacing w:before="240" w:after="0" w:line="240" w:lineRule="auto"/>
        <w:jc w:val="center"/>
        <w:rPr>
          <w:rFonts w:ascii="Simplified Arabic" w:eastAsia="Calibri" w:hAnsi="Simplified Arabic" w:cs="Simplified Arabic"/>
          <w:b/>
          <w:bCs/>
          <w:lang w:val="en-US" w:bidi="ar-EG"/>
        </w:rPr>
      </w:pPr>
      <w:r w:rsidRPr="00375EB0">
        <w:rPr>
          <w:rFonts w:ascii="Simplified Arabic" w:eastAsia="Calibri" w:hAnsi="Simplified Arabic" w:cs="Simplified Arabic"/>
          <w:b/>
          <w:bCs/>
          <w:rtl/>
          <w:lang w:val="en-US" w:bidi="ar-EG"/>
        </w:rPr>
        <w:t>جدول (2-13) التوزيع النسبي لخريجي الجامعات (حكومية وخاصة) خلال الفترة من 2010 - 2017</w:t>
      </w:r>
    </w:p>
    <w:tbl>
      <w:tblPr>
        <w:tblStyle w:val="LightGrid-Accent21"/>
        <w:bidiVisual/>
        <w:tblW w:w="81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57"/>
        <w:gridCol w:w="716"/>
        <w:gridCol w:w="716"/>
        <w:gridCol w:w="716"/>
        <w:gridCol w:w="716"/>
        <w:gridCol w:w="716"/>
        <w:gridCol w:w="716"/>
        <w:gridCol w:w="716"/>
        <w:gridCol w:w="717"/>
      </w:tblGrid>
      <w:tr w:rsidR="00B917B2" w:rsidRPr="00375EB0" w:rsidTr="00B917B2">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457" w:type="dxa"/>
            <w:vMerge w:val="restart"/>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bidi/>
              <w:spacing w:after="0"/>
              <w:jc w:val="center"/>
              <w:rPr>
                <w:rFonts w:ascii="Simplified Arabic" w:hAnsi="Simplified Arabic" w:cs="Simplified Arabic"/>
                <w:lang w:eastAsia="en-GB"/>
              </w:rPr>
            </w:pPr>
            <w:r w:rsidRPr="00375EB0">
              <w:rPr>
                <w:rFonts w:ascii="Simplified Arabic" w:hAnsi="Simplified Arabic" w:cs="Simplified Arabic"/>
                <w:rtl/>
                <w:lang w:eastAsia="en-GB"/>
              </w:rPr>
              <w:t>نوع الجامعة</w:t>
            </w:r>
          </w:p>
        </w:tc>
        <w:tc>
          <w:tcPr>
            <w:tcW w:w="5729" w:type="dxa"/>
            <w:gridSpan w:val="8"/>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bidi/>
              <w:spacing w:after="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lang w:eastAsia="en-GB"/>
              </w:rPr>
            </w:pPr>
            <w:r w:rsidRPr="00375EB0">
              <w:rPr>
                <w:rFonts w:ascii="Simplified Arabic" w:hAnsi="Simplified Arabic" w:cs="Simplified Arabic"/>
                <w:sz w:val="22"/>
                <w:szCs w:val="22"/>
                <w:rtl/>
                <w:lang w:eastAsia="en-GB"/>
              </w:rPr>
              <w:t>السنوات</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457"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rPr>
                <w:rFonts w:ascii="Simplified Arabic" w:hAnsi="Simplified Arabic" w:cs="Simplified Arabic"/>
                <w:lang w:eastAsia="en-GB"/>
              </w:rPr>
            </w:pPr>
          </w:p>
        </w:tc>
        <w:tc>
          <w:tcPr>
            <w:tcW w:w="71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2010</w:t>
            </w:r>
          </w:p>
        </w:tc>
        <w:tc>
          <w:tcPr>
            <w:tcW w:w="71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2011</w:t>
            </w:r>
          </w:p>
        </w:tc>
        <w:tc>
          <w:tcPr>
            <w:tcW w:w="71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2012</w:t>
            </w:r>
          </w:p>
        </w:tc>
        <w:tc>
          <w:tcPr>
            <w:tcW w:w="71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2013</w:t>
            </w:r>
          </w:p>
        </w:tc>
        <w:tc>
          <w:tcPr>
            <w:tcW w:w="71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2014</w:t>
            </w:r>
          </w:p>
        </w:tc>
        <w:tc>
          <w:tcPr>
            <w:tcW w:w="71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2015</w:t>
            </w:r>
          </w:p>
        </w:tc>
        <w:tc>
          <w:tcPr>
            <w:tcW w:w="716"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2016</w:t>
            </w:r>
          </w:p>
        </w:tc>
        <w:tc>
          <w:tcPr>
            <w:tcW w:w="717"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spacing w:after="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2017</w:t>
            </w:r>
          </w:p>
        </w:tc>
      </w:tr>
      <w:tr w:rsidR="00B917B2" w:rsidRPr="00375EB0" w:rsidTr="00B917B2">
        <w:trPr>
          <w:cnfStyle w:val="000000010000" w:firstRow="0" w:lastRow="0" w:firstColumn="0" w:lastColumn="0" w:oddVBand="0" w:evenVBand="0" w:oddHBand="0" w:evenHBand="1"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457"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bidi/>
              <w:spacing w:after="0"/>
              <w:rPr>
                <w:rFonts w:ascii="Simplified Arabic" w:hAnsi="Simplified Arabic" w:cs="Simplified Arabic"/>
                <w:lang w:eastAsia="en-GB"/>
              </w:rPr>
            </w:pPr>
            <w:r w:rsidRPr="00375EB0">
              <w:rPr>
                <w:rFonts w:ascii="Simplified Arabic" w:hAnsi="Simplified Arabic" w:cs="Simplified Arabic"/>
                <w:rtl/>
                <w:lang w:eastAsia="en-GB"/>
              </w:rPr>
              <w:t>إجمإلى الجامعات الحكومية والازهر</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97,1</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96,8</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96,3</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95,9</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94,7</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96,5</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95,1</w:t>
            </w:r>
          </w:p>
        </w:tc>
        <w:tc>
          <w:tcPr>
            <w:tcW w:w="717"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94,3</w:t>
            </w:r>
          </w:p>
        </w:tc>
      </w:tr>
      <w:tr w:rsidR="00B917B2" w:rsidRPr="00375EB0" w:rsidTr="00B917B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457"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bidi/>
              <w:spacing w:after="0"/>
              <w:rPr>
                <w:rFonts w:ascii="Simplified Arabic" w:hAnsi="Simplified Arabic" w:cs="Simplified Arabic"/>
                <w:lang w:eastAsia="en-GB"/>
              </w:rPr>
            </w:pPr>
            <w:r w:rsidRPr="00375EB0">
              <w:rPr>
                <w:rFonts w:ascii="Simplified Arabic" w:hAnsi="Simplified Arabic" w:cs="Simplified Arabic"/>
                <w:rtl/>
                <w:lang w:eastAsia="en-GB"/>
              </w:rPr>
              <w:t>إجمإلى الجامعات الخاصة</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2,</w:t>
            </w:r>
            <w:r w:rsidRPr="00375EB0">
              <w:rPr>
                <w:rFonts w:ascii="Simplified Arabic" w:eastAsia="Times New Roman" w:hAnsi="Simplified Arabic" w:cs="Simplified Arabic"/>
                <w:b/>
                <w:bCs/>
                <w:rtl/>
                <w:lang w:eastAsia="en-GB"/>
              </w:rPr>
              <w:t>9</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3,</w:t>
            </w:r>
            <w:r w:rsidRPr="00375EB0">
              <w:rPr>
                <w:rFonts w:ascii="Simplified Arabic" w:eastAsia="Times New Roman" w:hAnsi="Simplified Arabic" w:cs="Simplified Arabic"/>
                <w:b/>
                <w:bCs/>
                <w:rtl/>
                <w:lang w:eastAsia="en-GB"/>
              </w:rPr>
              <w:t>2</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3,</w:t>
            </w:r>
            <w:r w:rsidRPr="00375EB0">
              <w:rPr>
                <w:rFonts w:ascii="Simplified Arabic" w:eastAsia="Times New Roman" w:hAnsi="Simplified Arabic" w:cs="Simplified Arabic"/>
                <w:b/>
                <w:bCs/>
                <w:rtl/>
                <w:lang w:eastAsia="en-GB"/>
              </w:rPr>
              <w:t>7</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4,1</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5,3</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3,</w:t>
            </w:r>
            <w:r w:rsidRPr="00375EB0">
              <w:rPr>
                <w:rFonts w:ascii="Simplified Arabic" w:eastAsia="Times New Roman" w:hAnsi="Simplified Arabic" w:cs="Simplified Arabic"/>
                <w:b/>
                <w:bCs/>
                <w:rtl/>
                <w:lang w:eastAsia="en-GB"/>
              </w:rPr>
              <w:t>5</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4,</w:t>
            </w:r>
            <w:r w:rsidRPr="00375EB0">
              <w:rPr>
                <w:rFonts w:ascii="Simplified Arabic" w:eastAsia="Times New Roman" w:hAnsi="Simplified Arabic" w:cs="Simplified Arabic"/>
                <w:b/>
                <w:bCs/>
                <w:rtl/>
                <w:lang w:eastAsia="en-GB"/>
              </w:rPr>
              <w:t>9</w:t>
            </w:r>
          </w:p>
        </w:tc>
        <w:tc>
          <w:tcPr>
            <w:tcW w:w="717"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5,</w:t>
            </w:r>
            <w:r w:rsidRPr="00375EB0">
              <w:rPr>
                <w:rFonts w:ascii="Simplified Arabic" w:eastAsia="Times New Roman" w:hAnsi="Simplified Arabic" w:cs="Simplified Arabic"/>
                <w:b/>
                <w:bCs/>
                <w:rtl/>
                <w:lang w:eastAsia="en-GB"/>
              </w:rPr>
              <w:t>7</w:t>
            </w:r>
          </w:p>
        </w:tc>
      </w:tr>
      <w:tr w:rsidR="00B917B2" w:rsidRPr="00375EB0" w:rsidTr="00B917B2">
        <w:trPr>
          <w:cnfStyle w:val="000000010000" w:firstRow="0" w:lastRow="0" w:firstColumn="0" w:lastColumn="0" w:oddVBand="0" w:evenVBand="0" w:oddHBand="0" w:evenHBand="1"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457" w:type="dxa"/>
            <w:tcBorders>
              <w:top w:val="none" w:sz="0" w:space="0" w:color="auto"/>
              <w:left w:val="none" w:sz="0" w:space="0" w:color="auto"/>
              <w:bottom w:val="none" w:sz="0" w:space="0" w:color="auto"/>
              <w:right w:val="none" w:sz="0" w:space="0" w:color="auto"/>
            </w:tcBorders>
            <w:shd w:val="clear" w:color="auto" w:fill="auto"/>
            <w:vAlign w:val="center"/>
            <w:hideMark/>
          </w:tcPr>
          <w:p w:rsidR="00B917B2" w:rsidRPr="00375EB0" w:rsidRDefault="00B917B2" w:rsidP="0010482B">
            <w:pPr>
              <w:bidi/>
              <w:spacing w:after="0"/>
              <w:jc w:val="center"/>
              <w:rPr>
                <w:rFonts w:ascii="Simplified Arabic" w:hAnsi="Simplified Arabic" w:cs="Simplified Arabic"/>
                <w:lang w:eastAsia="en-GB"/>
              </w:rPr>
            </w:pPr>
            <w:r w:rsidRPr="00375EB0">
              <w:rPr>
                <w:rFonts w:ascii="Simplified Arabic" w:hAnsi="Simplified Arabic" w:cs="Simplified Arabic"/>
                <w:rtl/>
                <w:lang w:eastAsia="en-GB"/>
              </w:rPr>
              <w:t xml:space="preserve">الاجمإلي </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100</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100</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100</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100</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100</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100</w:t>
            </w:r>
          </w:p>
        </w:tc>
        <w:tc>
          <w:tcPr>
            <w:tcW w:w="716"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100</w:t>
            </w:r>
          </w:p>
        </w:tc>
        <w:tc>
          <w:tcPr>
            <w:tcW w:w="717"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B917B2" w:rsidRPr="00375EB0" w:rsidRDefault="00B917B2" w:rsidP="0010482B">
            <w:pPr>
              <w:spacing w:after="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eastAsia="en-GB"/>
              </w:rPr>
              <w:t>100</w:t>
            </w:r>
          </w:p>
        </w:tc>
      </w:tr>
    </w:tbl>
    <w:p w:rsidR="00B917B2" w:rsidRPr="00375EB0" w:rsidRDefault="00B917B2" w:rsidP="0010482B">
      <w:pPr>
        <w:tabs>
          <w:tab w:val="left" w:pos="2670"/>
          <w:tab w:val="left" w:pos="4860"/>
        </w:tabs>
        <w:bidi/>
        <w:spacing w:after="0" w:line="240" w:lineRule="auto"/>
        <w:ind w:left="-313"/>
        <w:jc w:val="both"/>
        <w:rPr>
          <w:rFonts w:ascii="Simplified Arabic" w:eastAsia="Calibri" w:hAnsi="Simplified Arabic" w:cs="Simplified Arabic"/>
          <w:b/>
          <w:bCs/>
          <w:sz w:val="20"/>
          <w:szCs w:val="20"/>
          <w:rtl/>
          <w:lang w:val="en-US" w:bidi="ar-EG"/>
        </w:rPr>
      </w:pPr>
      <w:r w:rsidRPr="00375EB0">
        <w:rPr>
          <w:rFonts w:ascii="Simplified Arabic" w:eastAsia="Calibri" w:hAnsi="Simplified Arabic" w:cs="Simplified Arabic"/>
          <w:b/>
          <w:bCs/>
          <w:rtl/>
          <w:lang w:val="en-US" w:bidi="ar-EG"/>
        </w:rPr>
        <w:t>المصدر:</w:t>
      </w:r>
      <w:r w:rsidRPr="00375EB0">
        <w:rPr>
          <w:rFonts w:ascii="Simplified Arabic" w:eastAsia="Calibri" w:hAnsi="Simplified Arabic" w:cs="Simplified Arabic"/>
          <w:rtl/>
          <w:lang w:val="en-US" w:bidi="ar-EG"/>
        </w:rPr>
        <w:t xml:space="preserve">الجهاز المركزي للتعبئة العامة والاحصاء- النشرة السنوية لخريجي التعليم العالي </w:t>
      </w:r>
      <w:r w:rsidRPr="00375EB0">
        <w:rPr>
          <w:rFonts w:ascii="Simplified Arabic" w:eastAsia="Calibri" w:hAnsi="Simplified Arabic" w:cs="Simplified Arabic" w:hint="cs"/>
          <w:rtl/>
          <w:lang w:val="en-US" w:bidi="ar-EG"/>
        </w:rPr>
        <w:t>للسنوات</w:t>
      </w:r>
      <w:r w:rsidR="0010482B">
        <w:rPr>
          <w:rFonts w:ascii="Simplified Arabic" w:eastAsia="Calibri" w:hAnsi="Simplified Arabic" w:cs="Simplified Arabic"/>
          <w:rtl/>
          <w:lang w:val="en-US" w:bidi="ar-EG"/>
        </w:rPr>
        <w:t xml:space="preserve"> (2010</w:t>
      </w:r>
      <w:r w:rsidRPr="00375EB0">
        <w:rPr>
          <w:rFonts w:ascii="Simplified Arabic" w:eastAsia="Calibri" w:hAnsi="Simplified Arabic" w:cs="Simplified Arabic"/>
          <w:rtl/>
          <w:lang w:val="en-US" w:bidi="ar-EG"/>
        </w:rPr>
        <w:t>–2017)</w:t>
      </w:r>
      <w:r w:rsidRPr="00375EB0">
        <w:rPr>
          <w:rFonts w:ascii="Simplified Arabic" w:eastAsia="Calibri" w:hAnsi="Simplified Arabic" w:cs="Simplified Arabic" w:hint="cs"/>
          <w:rtl/>
          <w:lang w:val="en-US" w:bidi="ar-EG"/>
        </w:rPr>
        <w:t>.</w:t>
      </w:r>
    </w:p>
    <w:p w:rsidR="00B917B2" w:rsidRPr="00375EB0" w:rsidRDefault="00B917B2" w:rsidP="00616254">
      <w:pPr>
        <w:numPr>
          <w:ilvl w:val="0"/>
          <w:numId w:val="4"/>
        </w:numPr>
        <w:bidi/>
        <w:spacing w:before="120" w:after="0" w:line="240" w:lineRule="auto"/>
        <w:ind w:left="694" w:hanging="524"/>
        <w:contextualSpacing/>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خريجى الجامعات الحكومية والخاصة وفقاً للمجموعات التعليمية</w:t>
      </w:r>
    </w:p>
    <w:p w:rsidR="00B917B2" w:rsidRPr="00375EB0" w:rsidRDefault="00B917B2" w:rsidP="00B917B2">
      <w:pPr>
        <w:bidi/>
        <w:spacing w:after="0" w:line="240" w:lineRule="auto"/>
        <w:ind w:left="170" w:firstLine="504"/>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تعرض بيانات جدول (2-14) معدل التغير فى خريجى الجامعات وفقا للمجموعات التعليمية، وتشير البيانات إلى: </w:t>
      </w:r>
    </w:p>
    <w:p w:rsidR="00B917B2" w:rsidRPr="00375EB0" w:rsidRDefault="00B917B2" w:rsidP="00616254">
      <w:pPr>
        <w:numPr>
          <w:ilvl w:val="0"/>
          <w:numId w:val="7"/>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ن أكبر تغير فى أعداد خريجي مجموعة العلوم بنسبة بلغت 73,4٪، خلال الفترة 2010-2017، ثم خريجى مجموعة الهندسة بنسبة 47,5٪، خريجى مجموعة الصحة والخدمات الاجتماعية 41,8٪، العلوم الاجتماعية والأعمال التجارية والقانون 33,9٪. </w:t>
      </w:r>
    </w:p>
    <w:p w:rsidR="00B917B2" w:rsidRPr="00375EB0" w:rsidRDefault="00B917B2" w:rsidP="00616254">
      <w:pPr>
        <w:numPr>
          <w:ilvl w:val="0"/>
          <w:numId w:val="7"/>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فى المقابل كان هناك انخفاض فى خريجى بعض المجموعات التعليمية مثل الخدمات 68,2٪ والدراسات الإنسانية والفنون 14,6٪. </w:t>
      </w:r>
    </w:p>
    <w:p w:rsidR="00B917B2" w:rsidRPr="00375EB0" w:rsidRDefault="00B917B2" w:rsidP="00B917B2">
      <w:pPr>
        <w:bidi/>
        <w:spacing w:before="240" w:after="120" w:line="240" w:lineRule="auto"/>
        <w:jc w:val="center"/>
        <w:rPr>
          <w:rFonts w:ascii="Simplified Arabic" w:eastAsia="Calibri" w:hAnsi="Simplified Arabic" w:cs="Simplified Arabic"/>
          <w:b/>
          <w:bCs/>
          <w:rtl/>
          <w:lang w:val="en-US" w:bidi="ar-EG"/>
        </w:rPr>
      </w:pPr>
    </w:p>
    <w:p w:rsidR="00B917B2" w:rsidRPr="00375EB0" w:rsidRDefault="00B917B2" w:rsidP="00B917B2">
      <w:pPr>
        <w:bidi/>
        <w:spacing w:before="240" w:after="120" w:line="240" w:lineRule="auto"/>
        <w:jc w:val="center"/>
        <w:rPr>
          <w:rFonts w:ascii="Simplified Arabic" w:eastAsia="Calibri" w:hAnsi="Simplified Arabic" w:cs="Simplified Arabic"/>
          <w:b/>
          <w:bCs/>
          <w:rtl/>
          <w:lang w:val="en-US" w:bidi="ar-EG"/>
        </w:rPr>
      </w:pPr>
    </w:p>
    <w:p w:rsidR="00B917B2" w:rsidRPr="00375EB0" w:rsidRDefault="00B917B2" w:rsidP="00B917B2">
      <w:pPr>
        <w:bidi/>
        <w:spacing w:before="240" w:after="12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(2-14): خريجي الجامعات الحكومية والخاصة</w:t>
      </w:r>
      <w:r w:rsidRPr="00375EB0">
        <w:rPr>
          <w:rFonts w:ascii="Simplified Arabic" w:eastAsia="Calibri" w:hAnsi="Simplified Arabic" w:cs="Simplified Arabic"/>
          <w:b/>
          <w:bCs/>
          <w:lang w:val="en-US" w:bidi="ar-EG"/>
        </w:rPr>
        <w:t xml:space="preserve"> </w:t>
      </w:r>
      <w:r w:rsidRPr="00375EB0">
        <w:rPr>
          <w:rFonts w:ascii="Simplified Arabic" w:eastAsia="Calibri" w:hAnsi="Simplified Arabic" w:cs="Simplified Arabic"/>
          <w:b/>
          <w:bCs/>
          <w:rtl/>
          <w:lang w:val="en-US" w:bidi="ar-EG"/>
        </w:rPr>
        <w:t>وفقاً للمجموعات التعليمية والنوع للأعوام 2010، 2013، 2017</w:t>
      </w:r>
    </w:p>
    <w:tbl>
      <w:tblPr>
        <w:tblpPr w:leftFromText="180" w:rightFromText="180" w:vertAnchor="text" w:horzAnchor="margin" w:tblpXSpec="center" w:tblpY="16"/>
        <w:tblOverlap w:val="never"/>
        <w:bidiVisual/>
        <w:tblW w:w="8805" w:type="dxa"/>
        <w:tblLook w:val="04A0" w:firstRow="1" w:lastRow="0" w:firstColumn="1" w:lastColumn="0" w:noHBand="0" w:noVBand="1"/>
      </w:tblPr>
      <w:tblGrid>
        <w:gridCol w:w="941"/>
        <w:gridCol w:w="794"/>
        <w:gridCol w:w="794"/>
        <w:gridCol w:w="794"/>
        <w:gridCol w:w="846"/>
        <w:gridCol w:w="851"/>
        <w:gridCol w:w="794"/>
        <w:gridCol w:w="840"/>
        <w:gridCol w:w="794"/>
        <w:gridCol w:w="794"/>
        <w:gridCol w:w="563"/>
      </w:tblGrid>
      <w:tr w:rsidR="00B917B2" w:rsidRPr="006E22E5" w:rsidTr="006E22E5">
        <w:trPr>
          <w:trHeight w:val="600"/>
        </w:trPr>
        <w:tc>
          <w:tcPr>
            <w:tcW w:w="9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lang w:val="en-US"/>
              </w:rPr>
            </w:pPr>
            <w:r w:rsidRPr="006E22E5">
              <w:rPr>
                <w:rFonts w:ascii="Calibri" w:eastAsia="Times New Roman" w:hAnsi="Calibri" w:cs="Calibri" w:hint="cs"/>
                <w:color w:val="000000"/>
                <w:sz w:val="18"/>
                <w:szCs w:val="18"/>
                <w:rtl/>
                <w:lang w:val="en-US"/>
              </w:rPr>
              <w:t>المجموعة التعليمية</w:t>
            </w: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color w:val="000000"/>
                <w:sz w:val="18"/>
                <w:szCs w:val="18"/>
                <w:lang w:val="en-US"/>
              </w:rPr>
              <w:t>2010</w:t>
            </w:r>
          </w:p>
        </w:tc>
        <w:tc>
          <w:tcPr>
            <w:tcW w:w="24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color w:val="000000"/>
                <w:sz w:val="18"/>
                <w:szCs w:val="18"/>
                <w:lang w:val="en-US"/>
              </w:rPr>
              <w:t>2013</w:t>
            </w:r>
          </w:p>
        </w:tc>
        <w:tc>
          <w:tcPr>
            <w:tcW w:w="24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2017</w:t>
            </w:r>
          </w:p>
        </w:tc>
        <w:tc>
          <w:tcPr>
            <w:tcW w:w="563" w:type="dxa"/>
            <w:tcBorders>
              <w:top w:val="single" w:sz="4" w:space="0" w:color="auto"/>
              <w:left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نسبة التغير</w:t>
            </w:r>
          </w:p>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color w:val="000000"/>
                <w:sz w:val="18"/>
                <w:szCs w:val="18"/>
                <w:rtl/>
                <w:lang w:val="en-US"/>
              </w:rPr>
              <w:t> </w:t>
            </w:r>
          </w:p>
        </w:tc>
      </w:tr>
      <w:tr w:rsidR="00B917B2" w:rsidRPr="006E22E5" w:rsidTr="006E22E5">
        <w:trPr>
          <w:trHeight w:val="300"/>
        </w:trPr>
        <w:tc>
          <w:tcPr>
            <w:tcW w:w="941" w:type="dxa"/>
            <w:vMerge/>
            <w:tcBorders>
              <w:top w:val="single" w:sz="4" w:space="0" w:color="auto"/>
              <w:left w:val="single" w:sz="4" w:space="0" w:color="auto"/>
              <w:bottom w:val="single" w:sz="4" w:space="0" w:color="000000"/>
              <w:right w:val="single" w:sz="4" w:space="0" w:color="auto"/>
            </w:tcBorders>
            <w:vAlign w:val="center"/>
            <w:hideMark/>
          </w:tcPr>
          <w:p w:rsidR="00B917B2" w:rsidRPr="006E22E5" w:rsidRDefault="00B917B2" w:rsidP="00B917B2">
            <w:pPr>
              <w:bidi/>
              <w:spacing w:after="0" w:line="240" w:lineRule="auto"/>
              <w:rPr>
                <w:rFonts w:ascii="Calibri" w:eastAsia="Times New Roman" w:hAnsi="Calibri" w:cs="Calibri"/>
                <w:color w:val="000000"/>
                <w:sz w:val="18"/>
                <w:szCs w:val="18"/>
                <w:lang w:val="en-US"/>
              </w:rPr>
            </w:pP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ذكور</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إناث</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جملة</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ذكور</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إناث</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جملة</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ذكور</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إناث</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bidi="ar-EG"/>
              </w:rPr>
              <w:t>جملة</w:t>
            </w:r>
          </w:p>
        </w:tc>
        <w:tc>
          <w:tcPr>
            <w:tcW w:w="563" w:type="dxa"/>
            <w:tcBorders>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p>
        </w:tc>
      </w:tr>
      <w:tr w:rsidR="00B917B2" w:rsidRPr="006E22E5" w:rsidTr="006E22E5">
        <w:trPr>
          <w:trHeight w:val="300"/>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التربية</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10793</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30945</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41738</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6058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18805</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24863</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14011</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38298</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52309</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25,3</w:t>
            </w:r>
          </w:p>
        </w:tc>
      </w:tr>
      <w:tr w:rsidR="00B917B2" w:rsidRPr="006E22E5" w:rsidTr="006E22E5">
        <w:trPr>
          <w:trHeight w:val="510"/>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الدراسات الانسانية والفنون</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26064</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63268</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89332</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23797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65889</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89686</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23846</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52488</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76334</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14,6</w:t>
            </w:r>
          </w:p>
        </w:tc>
      </w:tr>
      <w:tr w:rsidR="00B917B2" w:rsidRPr="006E22E5" w:rsidTr="006E22E5">
        <w:trPr>
          <w:trHeight w:val="765"/>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العلوم الاجتماعية والأعمال التجارية والقانون</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70710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46447</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117157</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78373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56631</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135004</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83445</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73387</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156832</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33,9</w:t>
            </w:r>
          </w:p>
        </w:tc>
      </w:tr>
      <w:tr w:rsidR="00B917B2" w:rsidRPr="006E22E5" w:rsidTr="006E22E5">
        <w:trPr>
          <w:trHeight w:val="300"/>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العلوم</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5068</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6659</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11727</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5651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7948</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13599</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7524</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12807</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20331</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73,4</w:t>
            </w:r>
          </w:p>
        </w:tc>
      </w:tr>
      <w:tr w:rsidR="00B917B2" w:rsidRPr="006E22E5" w:rsidTr="006E22E5">
        <w:trPr>
          <w:trHeight w:val="765"/>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الهندسة والصناعات الانتاجية والبناء</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15578</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5847</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21425</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16690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6949</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23639</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22016</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9589</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31605</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47,5</w:t>
            </w:r>
          </w:p>
        </w:tc>
      </w:tr>
      <w:tr w:rsidR="00B917B2" w:rsidRPr="006E22E5" w:rsidTr="006E22E5">
        <w:trPr>
          <w:trHeight w:val="300"/>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الزراعة والبيطرة</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3775</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3115</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6890</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4477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3625</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8102</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4405</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4787</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9192</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33,4</w:t>
            </w:r>
          </w:p>
        </w:tc>
      </w:tr>
      <w:tr w:rsidR="00B917B2" w:rsidRPr="006E22E5" w:rsidTr="006E22E5">
        <w:trPr>
          <w:trHeight w:val="510"/>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الصحة والخدمات الاجتماعية</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11185</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17160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28345</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14517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20602</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35119</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14252</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25934</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40186</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41,8</w:t>
            </w:r>
          </w:p>
        </w:tc>
      </w:tr>
      <w:tr w:rsidR="00B917B2" w:rsidRPr="006E22E5" w:rsidTr="006E22E5">
        <w:trPr>
          <w:trHeight w:val="300"/>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الخدمات</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6161</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3499</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9660</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5600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3533</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9133</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1369</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1701</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3070</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68,2</w:t>
            </w:r>
          </w:p>
        </w:tc>
      </w:tr>
      <w:tr w:rsidR="00B917B2" w:rsidRPr="006E22E5" w:rsidTr="006E22E5">
        <w:trPr>
          <w:trHeight w:val="300"/>
        </w:trPr>
        <w:tc>
          <w:tcPr>
            <w:tcW w:w="941" w:type="dxa"/>
            <w:tcBorders>
              <w:top w:val="nil"/>
              <w:left w:val="single" w:sz="4" w:space="0" w:color="auto"/>
              <w:bottom w:val="single" w:sz="4" w:space="0" w:color="auto"/>
              <w:right w:val="single" w:sz="4" w:space="0" w:color="auto"/>
            </w:tcBorders>
            <w:shd w:val="clear" w:color="auto" w:fill="auto"/>
            <w:vAlign w:val="center"/>
            <w:hideMark/>
          </w:tcPr>
          <w:p w:rsidR="00B917B2" w:rsidRPr="006E22E5" w:rsidRDefault="00B917B2" w:rsidP="00B917B2">
            <w:pPr>
              <w:bidi/>
              <w:spacing w:after="0" w:line="240" w:lineRule="auto"/>
              <w:jc w:val="center"/>
              <w:rPr>
                <w:rFonts w:ascii="Calibri" w:eastAsia="Times New Roman" w:hAnsi="Calibri" w:cs="Calibri"/>
                <w:color w:val="000000"/>
                <w:sz w:val="18"/>
                <w:szCs w:val="18"/>
                <w:rtl/>
                <w:lang w:val="en-US"/>
              </w:rPr>
            </w:pPr>
            <w:r w:rsidRPr="006E22E5">
              <w:rPr>
                <w:rFonts w:ascii="Calibri" w:eastAsia="Times New Roman" w:hAnsi="Calibri" w:cs="Calibri" w:hint="cs"/>
                <w:color w:val="000000"/>
                <w:sz w:val="18"/>
                <w:szCs w:val="18"/>
                <w:rtl/>
                <w:lang w:val="en-US"/>
              </w:rPr>
              <w:t>الاجمإلى العام</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149334</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176940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326274</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155163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183982</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339145</w:t>
            </w:r>
          </w:p>
        </w:tc>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170868</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218991</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b/>
                <w:bCs/>
                <w:color w:val="000000"/>
                <w:sz w:val="18"/>
                <w:szCs w:val="18"/>
                <w:lang w:val="en-US"/>
              </w:rPr>
              <w:t>389859</w:t>
            </w:r>
          </w:p>
        </w:tc>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B917B2" w:rsidRPr="006E22E5" w:rsidRDefault="00B917B2" w:rsidP="00B917B2">
            <w:pPr>
              <w:bidi/>
              <w:spacing w:after="0" w:line="240" w:lineRule="auto"/>
              <w:jc w:val="center"/>
              <w:rPr>
                <w:rFonts w:ascii="Calibri" w:eastAsia="Times New Roman" w:hAnsi="Calibri" w:cs="Calibri"/>
                <w:b/>
                <w:bCs/>
                <w:color w:val="000000"/>
                <w:sz w:val="18"/>
                <w:szCs w:val="18"/>
                <w:rtl/>
                <w:lang w:val="en-US"/>
              </w:rPr>
            </w:pPr>
            <w:r w:rsidRPr="006E22E5">
              <w:rPr>
                <w:rFonts w:ascii="Calibri" w:eastAsia="Times New Roman" w:hAnsi="Calibri" w:cs="Calibri" w:hint="cs"/>
                <w:b/>
                <w:bCs/>
                <w:color w:val="000000"/>
                <w:sz w:val="18"/>
                <w:szCs w:val="18"/>
                <w:rtl/>
                <w:lang w:val="en-US"/>
              </w:rPr>
              <w:t>19,5</w:t>
            </w:r>
          </w:p>
        </w:tc>
      </w:tr>
    </w:tbl>
    <w:p w:rsidR="00B917B2" w:rsidRPr="00375EB0" w:rsidRDefault="00B917B2" w:rsidP="00B917B2">
      <w:pPr>
        <w:bidi/>
        <w:spacing w:after="120" w:line="240" w:lineRule="auto"/>
        <w:ind w:left="-737"/>
        <w:jc w:val="both"/>
        <w:rPr>
          <w:rFonts w:ascii="Simplified Arabic" w:eastAsia="Calibri" w:hAnsi="Simplified Arabic" w:cs="Simplified Arabic"/>
          <w:b/>
          <w:bCs/>
          <w:sz w:val="18"/>
          <w:szCs w:val="18"/>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 xml:space="preserve">الجهاز المركزي للتعبئة العامة والاحصاء- النشرة السنوية لخريجي التعليم العالي </w:t>
      </w:r>
      <w:r w:rsidRPr="00375EB0">
        <w:rPr>
          <w:rFonts w:ascii="Simplified Arabic" w:eastAsia="Calibri" w:hAnsi="Simplified Arabic" w:cs="Simplified Arabic" w:hint="cs"/>
          <w:rtl/>
          <w:lang w:val="en-US" w:bidi="ar-EG"/>
        </w:rPr>
        <w:t>للسنوات</w:t>
      </w:r>
      <w:r w:rsidRPr="00375EB0">
        <w:rPr>
          <w:rFonts w:ascii="Simplified Arabic" w:eastAsia="Calibri" w:hAnsi="Simplified Arabic" w:cs="Simplified Arabic"/>
          <w:rtl/>
          <w:lang w:val="en-US" w:bidi="ar-EG"/>
        </w:rPr>
        <w:t xml:space="preserve"> (2010، 2013، 2017)</w:t>
      </w:r>
    </w:p>
    <w:p w:rsidR="00B917B2" w:rsidRPr="00375EB0" w:rsidRDefault="00B917B2" w:rsidP="00616254">
      <w:pPr>
        <w:numPr>
          <w:ilvl w:val="0"/>
          <w:numId w:val="4"/>
        </w:numPr>
        <w:bidi/>
        <w:spacing w:before="240" w:after="120" w:line="240" w:lineRule="auto"/>
        <w:ind w:left="672" w:hanging="502"/>
        <w:contextualSpacing/>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خريجى المعاهد العليا الخاصة</w:t>
      </w:r>
    </w:p>
    <w:p w:rsidR="00B917B2" w:rsidRPr="00375EB0" w:rsidRDefault="00B917B2" w:rsidP="00B917B2">
      <w:pPr>
        <w:bidi/>
        <w:spacing w:after="0" w:line="240" w:lineRule="auto"/>
        <w:ind w:left="170" w:firstLine="646"/>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يعرض جدول (2-15) التوزيع النسبى لخريجي المعاهد العليا الخاصة وفقاً للتخصص خلال الفترة 2010- 2017، وتشير البيانات إلى:</w:t>
      </w:r>
    </w:p>
    <w:p w:rsidR="00B917B2" w:rsidRPr="00375EB0" w:rsidRDefault="00B917B2" w:rsidP="00616254">
      <w:pPr>
        <w:numPr>
          <w:ilvl w:val="0"/>
          <w:numId w:val="8"/>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ن أعلى نسب للخريجين من المعاهد العليا الخاصة عام 2017 كانت لخريجي المعاهد العليا التجارية 32,7٪، المعاهد العليا للحاسب الإلى 19,7٪، المعاهد العليا الهندسية 19,3٪، </w:t>
      </w:r>
      <w:r w:rsidRPr="00375EB0">
        <w:rPr>
          <w:rFonts w:ascii="Simplified Arabic" w:eastAsia="Calibri" w:hAnsi="Simplified Arabic" w:cs="Simplified Arabic" w:hint="cs"/>
          <w:sz w:val="28"/>
          <w:szCs w:val="28"/>
          <w:rtl/>
          <w:lang w:val="en-US" w:bidi="ar-EG"/>
        </w:rPr>
        <w:t>و</w:t>
      </w:r>
      <w:r w:rsidRPr="00375EB0">
        <w:rPr>
          <w:rFonts w:ascii="Simplified Arabic" w:eastAsia="Calibri" w:hAnsi="Simplified Arabic" w:cs="Simplified Arabic"/>
          <w:sz w:val="28"/>
          <w:szCs w:val="28"/>
          <w:rtl/>
          <w:lang w:val="en-US" w:bidi="ar-EG"/>
        </w:rPr>
        <w:t>المعاهد العليا للخدمة الاجتماعية 17,3٪.</w:t>
      </w:r>
    </w:p>
    <w:p w:rsidR="00B917B2" w:rsidRPr="00375EB0" w:rsidRDefault="00B917B2" w:rsidP="00616254">
      <w:pPr>
        <w:numPr>
          <w:ilvl w:val="0"/>
          <w:numId w:val="8"/>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قل نسب للخريجين كانت لخريجي المعاهد العليا للفنون التطبيقية 0,6٪، </w:t>
      </w:r>
      <w:r w:rsidRPr="00375EB0">
        <w:rPr>
          <w:rFonts w:ascii="Simplified Arabic" w:eastAsia="Calibri" w:hAnsi="Simplified Arabic" w:cs="Simplified Arabic" w:hint="cs"/>
          <w:sz w:val="28"/>
          <w:szCs w:val="28"/>
          <w:rtl/>
          <w:lang w:val="en-US" w:bidi="ar-EG"/>
        </w:rPr>
        <w:t>و</w:t>
      </w:r>
      <w:r w:rsidRPr="00375EB0">
        <w:rPr>
          <w:rFonts w:ascii="Simplified Arabic" w:eastAsia="Calibri" w:hAnsi="Simplified Arabic" w:cs="Simplified Arabic"/>
          <w:sz w:val="28"/>
          <w:szCs w:val="28"/>
          <w:rtl/>
          <w:lang w:val="en-US" w:bidi="ar-EG"/>
        </w:rPr>
        <w:t>الدراسات الأدبية 0,7٪ لعام 2017.</w:t>
      </w:r>
    </w:p>
    <w:p w:rsidR="00B917B2" w:rsidRPr="00375EB0" w:rsidRDefault="00B917B2" w:rsidP="00616254">
      <w:pPr>
        <w:numPr>
          <w:ilvl w:val="0"/>
          <w:numId w:val="8"/>
        </w:numPr>
        <w:bidi/>
        <w:spacing w:after="0" w:line="240" w:lineRule="auto"/>
        <w:ind w:left="530"/>
        <w:contextualSpacing/>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lastRenderedPageBreak/>
        <w:t>تزايد نسبة خريجي المعاهد العليا الخاصة للهندسة من 8,5٪ عام 2010 إلى 19,3٪ عام 2017، والحاسب الآلى من 15,8٪ إلى 19,7٪، وبالمثل للفنون التطبيقية والزراعية واللغات والترجمة والاعلام لإجمإلي الخريجين بالمعاهد العليا الخاصة، بينما انخفضت النسبة لباقي التخصصات بين عامي 2010- 2017.</w:t>
      </w:r>
    </w:p>
    <w:p w:rsidR="00B917B2" w:rsidRPr="00375EB0" w:rsidRDefault="00B917B2" w:rsidP="00B917B2">
      <w:pPr>
        <w:bidi/>
        <w:spacing w:before="120"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جدول (2-15): التوزيع النسبى لخريجي المعاهد العليا الخاصة وفقاً للتخصص للأعوام</w:t>
      </w:r>
    </w:p>
    <w:p w:rsidR="00B917B2" w:rsidRPr="00375EB0" w:rsidRDefault="00B917B2" w:rsidP="00B917B2">
      <w:pPr>
        <w:bidi/>
        <w:spacing w:after="6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(2010، 2013، 2017)</w:t>
      </w:r>
    </w:p>
    <w:tbl>
      <w:tblPr>
        <w:bidiVisual/>
        <w:tblW w:w="76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51"/>
        <w:gridCol w:w="1559"/>
        <w:gridCol w:w="1701"/>
        <w:gridCol w:w="1559"/>
      </w:tblGrid>
      <w:tr w:rsidR="00B917B2" w:rsidRPr="00375EB0" w:rsidTr="00B917B2">
        <w:trPr>
          <w:trHeight w:val="315"/>
          <w:jc w:val="center"/>
        </w:trPr>
        <w:tc>
          <w:tcPr>
            <w:tcW w:w="2851" w:type="dxa"/>
            <w:vMerge w:val="restart"/>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bidi="ar-EG"/>
              </w:rPr>
              <w:t>التخصص</w:t>
            </w:r>
          </w:p>
        </w:tc>
        <w:tc>
          <w:tcPr>
            <w:tcW w:w="4819" w:type="dxa"/>
            <w:gridSpan w:val="3"/>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التوزيع النسبى للخريجين ٪</w:t>
            </w:r>
          </w:p>
        </w:tc>
      </w:tr>
      <w:tr w:rsidR="00B917B2" w:rsidRPr="00375EB0" w:rsidTr="00B917B2">
        <w:trPr>
          <w:trHeight w:val="315"/>
          <w:jc w:val="center"/>
        </w:trPr>
        <w:tc>
          <w:tcPr>
            <w:tcW w:w="2851" w:type="dxa"/>
            <w:vMerge/>
            <w:shd w:val="clear" w:color="auto" w:fill="auto"/>
            <w:vAlign w:val="center"/>
            <w:hideMark/>
          </w:tcPr>
          <w:p w:rsidR="00B917B2" w:rsidRPr="00375EB0" w:rsidRDefault="00B917B2" w:rsidP="00B917B2">
            <w:pPr>
              <w:spacing w:after="0" w:line="240" w:lineRule="auto"/>
              <w:rPr>
                <w:rFonts w:ascii="Simplified Arabic" w:eastAsia="Times New Roman" w:hAnsi="Simplified Arabic" w:cs="Simplified Arabic"/>
                <w:b/>
                <w:bCs/>
                <w:lang w:eastAsia="en-GB"/>
              </w:rPr>
            </w:pPr>
          </w:p>
        </w:tc>
        <w:tc>
          <w:tcPr>
            <w:tcW w:w="1559" w:type="dxa"/>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2010</w:t>
            </w:r>
          </w:p>
        </w:tc>
        <w:tc>
          <w:tcPr>
            <w:tcW w:w="1701" w:type="dxa"/>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2013</w:t>
            </w:r>
          </w:p>
        </w:tc>
        <w:tc>
          <w:tcPr>
            <w:tcW w:w="1559" w:type="dxa"/>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2017</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الهندسية</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8,5</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17,2</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19,3</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للفنون التطبيقية</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0,3</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0,4</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0,6</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للحاسب الإلى</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15,8</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16,6</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19,7</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التجارية</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32,4</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26,7</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32,7</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الزراعية</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1,9</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1,6</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2,2</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للخدمة الاجتماعية</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31,1</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28,6</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17,3</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للغات/اللغات والترجمة</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0,7</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rtl/>
                <w:lang w:eastAsia="en-GB" w:bidi="ar-EG"/>
              </w:rPr>
            </w:pPr>
            <w:r w:rsidRPr="00375EB0">
              <w:rPr>
                <w:rFonts w:ascii="Simplified Arabic" w:eastAsia="Times New Roman" w:hAnsi="Simplified Arabic" w:cs="Simplified Arabic"/>
                <w:b/>
                <w:bCs/>
                <w:rtl/>
                <w:lang w:val="en-US" w:eastAsia="en-GB"/>
              </w:rPr>
              <w:t>1,0</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0,9</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للسياحة والفنادق</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6,6</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6,3</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5,4</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المعاهد العليا للإعلام</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0,9</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1,1</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1,2</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المعهد العإلى للدراسات الأدبية</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1,9</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0,5</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0,7</w:t>
            </w:r>
          </w:p>
        </w:tc>
      </w:tr>
      <w:tr w:rsidR="00B917B2" w:rsidRPr="00375EB0" w:rsidTr="00B917B2">
        <w:trPr>
          <w:trHeight w:val="315"/>
          <w:jc w:val="center"/>
        </w:trPr>
        <w:tc>
          <w:tcPr>
            <w:tcW w:w="2851" w:type="dxa"/>
            <w:shd w:val="clear" w:color="auto" w:fill="auto"/>
            <w:noWrap/>
            <w:vAlign w:val="center"/>
            <w:hideMark/>
          </w:tcPr>
          <w:p w:rsidR="00B917B2" w:rsidRPr="00375EB0" w:rsidRDefault="00B917B2" w:rsidP="00B917B2">
            <w:pPr>
              <w:bidi/>
              <w:spacing w:after="0" w:line="240" w:lineRule="auto"/>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الاجمإلى العام</w:t>
            </w:r>
          </w:p>
        </w:tc>
        <w:tc>
          <w:tcPr>
            <w:tcW w:w="1559" w:type="dxa"/>
            <w:shd w:val="clear" w:color="auto" w:fill="auto"/>
            <w:noWrap/>
            <w:vAlign w:val="center"/>
            <w:hideMark/>
          </w:tcPr>
          <w:p w:rsidR="00B917B2" w:rsidRPr="00375EB0" w:rsidRDefault="00B917B2" w:rsidP="00B917B2">
            <w:pPr>
              <w:bidi/>
              <w:spacing w:after="0" w:line="240" w:lineRule="auto"/>
              <w:ind w:left="369"/>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c>
          <w:tcPr>
            <w:tcW w:w="1701" w:type="dxa"/>
            <w:shd w:val="clear" w:color="auto" w:fill="auto"/>
            <w:noWrap/>
            <w:vAlign w:val="center"/>
            <w:hideMark/>
          </w:tcPr>
          <w:p w:rsidR="00B917B2" w:rsidRPr="00375EB0" w:rsidRDefault="00B917B2" w:rsidP="00B917B2">
            <w:pPr>
              <w:bidi/>
              <w:spacing w:after="0" w:line="240" w:lineRule="auto"/>
              <w:ind w:left="494"/>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c>
          <w:tcPr>
            <w:tcW w:w="1559" w:type="dxa"/>
            <w:shd w:val="clear" w:color="auto" w:fill="auto"/>
            <w:noWrap/>
            <w:vAlign w:val="center"/>
            <w:hideMark/>
          </w:tcPr>
          <w:p w:rsidR="00B917B2" w:rsidRPr="00375EB0" w:rsidRDefault="00B917B2" w:rsidP="00B917B2">
            <w:pPr>
              <w:bidi/>
              <w:spacing w:after="0" w:line="240" w:lineRule="auto"/>
              <w:ind w:left="477"/>
              <w:jc w:val="both"/>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r>
    </w:tbl>
    <w:p w:rsidR="00B917B2" w:rsidRPr="00375EB0" w:rsidRDefault="00B917B2" w:rsidP="00B917B2">
      <w:pPr>
        <w:bidi/>
        <w:spacing w:after="120" w:line="240" w:lineRule="auto"/>
        <w:ind w:left="680" w:hanging="680"/>
        <w:jc w:val="both"/>
        <w:rPr>
          <w:rFonts w:ascii="Simplified Arabic" w:eastAsia="Calibri" w:hAnsi="Simplified Arabic" w:cs="Simplified Arabic"/>
          <w:b/>
          <w:bCs/>
          <w:sz w:val="24"/>
          <w:szCs w:val="24"/>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 xml:space="preserve">الجهاز المركزي للتعبئة العامة والاحصاء- النشرة السنوية لخريجي التعليم العالي </w:t>
      </w:r>
      <w:r w:rsidRPr="00375EB0">
        <w:rPr>
          <w:rFonts w:ascii="Simplified Arabic" w:eastAsia="Calibri" w:hAnsi="Simplified Arabic" w:cs="Simplified Arabic" w:hint="cs"/>
          <w:rtl/>
          <w:lang w:val="en-US" w:bidi="ar-EG"/>
        </w:rPr>
        <w:t>للسنوات</w:t>
      </w:r>
      <w:r w:rsidRPr="00375EB0">
        <w:rPr>
          <w:rFonts w:ascii="Simplified Arabic" w:eastAsia="Calibri" w:hAnsi="Simplified Arabic" w:cs="Simplified Arabic"/>
          <w:rtl/>
          <w:lang w:val="en-US" w:bidi="ar-EG"/>
        </w:rPr>
        <w:t xml:space="preserve"> (2010، 2013، 2017)</w:t>
      </w:r>
      <w:r w:rsidRPr="00375EB0">
        <w:rPr>
          <w:rFonts w:ascii="Simplified Arabic" w:eastAsia="Calibri" w:hAnsi="Simplified Arabic" w:cs="Simplified Arabic" w:hint="cs"/>
          <w:rtl/>
          <w:lang w:val="en-US" w:bidi="ar-EG"/>
        </w:rPr>
        <w:t>.</w:t>
      </w:r>
    </w:p>
    <w:p w:rsidR="00B917B2" w:rsidRPr="00375EB0" w:rsidRDefault="00B917B2" w:rsidP="00616254">
      <w:pPr>
        <w:numPr>
          <w:ilvl w:val="0"/>
          <w:numId w:val="4"/>
        </w:numPr>
        <w:bidi/>
        <w:spacing w:before="240" w:after="0" w:line="240" w:lineRule="auto"/>
        <w:ind w:left="661" w:hanging="491"/>
        <w:contextualSpacing/>
        <w:jc w:val="both"/>
        <w:rPr>
          <w:rFonts w:ascii="Simplified Arabic" w:eastAsia="Calibri" w:hAnsi="Simplified Arabic" w:cs="Simplified Arabic"/>
          <w:b/>
          <w:bCs/>
          <w:sz w:val="30"/>
          <w:szCs w:val="30"/>
          <w:u w:val="single"/>
          <w:rtl/>
          <w:lang w:val="en-US" w:bidi="ar-EG"/>
        </w:rPr>
      </w:pPr>
      <w:r w:rsidRPr="00375EB0">
        <w:rPr>
          <w:rFonts w:ascii="Simplified Arabic" w:eastAsia="Calibri" w:hAnsi="Simplified Arabic" w:cs="Simplified Arabic"/>
          <w:b/>
          <w:bCs/>
          <w:sz w:val="30"/>
          <w:szCs w:val="30"/>
          <w:u w:val="single"/>
          <w:rtl/>
          <w:lang w:val="en-US" w:bidi="ar-EG"/>
        </w:rPr>
        <w:t>خريجى المعاهد الفنية (حكومية وخاصة)</w:t>
      </w:r>
    </w:p>
    <w:p w:rsidR="00B917B2" w:rsidRPr="00375EB0" w:rsidRDefault="00B917B2" w:rsidP="00B917B2">
      <w:pPr>
        <w:bidi/>
        <w:spacing w:after="0" w:line="240" w:lineRule="auto"/>
        <w:ind w:left="170" w:firstLine="661"/>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يعرض جدول (2-16) التوزيع النسبى لخريجي المعاهد الفنية وفقاً للتخصص الأعوام 2010، 2013، 2017 وتشير البيانات إلى: </w:t>
      </w:r>
    </w:p>
    <w:p w:rsidR="00B917B2" w:rsidRPr="00375EB0" w:rsidRDefault="00B917B2" w:rsidP="00616254">
      <w:pPr>
        <w:numPr>
          <w:ilvl w:val="0"/>
          <w:numId w:val="9"/>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انخفاض نسبة خريجي المعاهد الفنية الصناعية عام 2017 عن عام 2010 بنسبة قدرها 4,2٪، وكذلك خريجي المعاهد الفنية التجارية بنسبة بلغت 18,6٪.</w:t>
      </w:r>
    </w:p>
    <w:p w:rsidR="00B917B2" w:rsidRPr="00375EB0" w:rsidRDefault="00B917B2" w:rsidP="00616254">
      <w:pPr>
        <w:numPr>
          <w:ilvl w:val="0"/>
          <w:numId w:val="9"/>
        </w:numPr>
        <w:bidi/>
        <w:spacing w:after="0" w:line="240" w:lineRule="auto"/>
        <w:ind w:left="530"/>
        <w:contextualSpacing/>
        <w:jc w:val="both"/>
        <w:rPr>
          <w:rFonts w:ascii="Simplified Arabic" w:eastAsia="Calibri" w:hAnsi="Simplified Arabic" w:cs="Simplified Arabic"/>
          <w:sz w:val="28"/>
          <w:szCs w:val="28"/>
          <w:lang w:val="en-US" w:bidi="ar-EG"/>
        </w:rPr>
      </w:pPr>
      <w:r w:rsidRPr="00375EB0">
        <w:rPr>
          <w:rFonts w:ascii="Simplified Arabic" w:eastAsia="Calibri" w:hAnsi="Simplified Arabic" w:cs="Simplified Arabic"/>
          <w:sz w:val="28"/>
          <w:szCs w:val="28"/>
          <w:rtl/>
          <w:lang w:val="en-US" w:bidi="ar-EG"/>
        </w:rPr>
        <w:t xml:space="preserve">على الرغم من انخفاض أعداد خريجى المعاهد الفنية التجارية والصناعية، إلا أن خريجى معاهد التمريض والمعاهد الصحية فى زيادة مضطردة، لزيادة أعداد </w:t>
      </w:r>
      <w:r w:rsidRPr="00375EB0">
        <w:rPr>
          <w:rFonts w:ascii="Simplified Arabic" w:eastAsia="Calibri" w:hAnsi="Simplified Arabic" w:cs="Simplified Arabic"/>
          <w:sz w:val="28"/>
          <w:szCs w:val="28"/>
          <w:rtl/>
          <w:lang w:val="en-US" w:bidi="ar-EG"/>
        </w:rPr>
        <w:lastRenderedPageBreak/>
        <w:t>المتقدمين للالتحاق بها حيث يجد خريجيها فرص العمل عقب التخرج دون الوقوف في طابور الانتظار، وبلغت نسبة الزيادة فى عدد الخريجين بمعاهد التمريض 5,8٪</w:t>
      </w:r>
      <w:r w:rsidRPr="00375EB0">
        <w:rPr>
          <w:rFonts w:ascii="Simplified Arabic" w:eastAsia="Calibri" w:hAnsi="Simplified Arabic" w:cs="Simplified Arabic" w:hint="cs"/>
          <w:sz w:val="28"/>
          <w:szCs w:val="28"/>
          <w:rtl/>
          <w:lang w:val="en-US" w:bidi="ar-EG"/>
        </w:rPr>
        <w:t xml:space="preserve"> </w:t>
      </w:r>
      <w:r w:rsidRPr="00375EB0">
        <w:rPr>
          <w:rFonts w:ascii="Simplified Arabic" w:eastAsia="Calibri" w:hAnsi="Simplified Arabic" w:cs="Simplified Arabic"/>
          <w:sz w:val="28"/>
          <w:szCs w:val="28"/>
          <w:rtl/>
          <w:lang w:val="en-US" w:bidi="ar-EG"/>
        </w:rPr>
        <w:t xml:space="preserve">عام 2017 عن عام 2010 </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ما نسبة الزيادة بالمعاهد الصحية بلغت 21,6٪.</w:t>
      </w:r>
    </w:p>
    <w:p w:rsidR="00B917B2" w:rsidRPr="00375EB0" w:rsidRDefault="00B917B2" w:rsidP="006E22E5">
      <w:pPr>
        <w:bidi/>
        <w:spacing w:after="0" w:line="240" w:lineRule="auto"/>
        <w:jc w:val="center"/>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جدول (2-16): التوزيع النسبى لخريجي المعاهد الفنية وفقاً للتخصص للأعوام(2010، 2013، 2017)</w:t>
      </w:r>
    </w:p>
    <w:tbl>
      <w:tblPr>
        <w:bidiVisual/>
        <w:tblW w:w="71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80"/>
        <w:gridCol w:w="1410"/>
        <w:gridCol w:w="1560"/>
        <w:gridCol w:w="1417"/>
      </w:tblGrid>
      <w:tr w:rsidR="00B917B2" w:rsidRPr="00375EB0" w:rsidTr="00B917B2">
        <w:trPr>
          <w:trHeight w:val="315"/>
          <w:jc w:val="center"/>
        </w:trPr>
        <w:tc>
          <w:tcPr>
            <w:tcW w:w="2780" w:type="dxa"/>
            <w:vMerge w:val="restart"/>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bidi="ar-EG"/>
              </w:rPr>
              <w:t>التخصص</w:t>
            </w:r>
          </w:p>
        </w:tc>
        <w:tc>
          <w:tcPr>
            <w:tcW w:w="4387" w:type="dxa"/>
            <w:gridSpan w:val="3"/>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التوزيع النسبى للخريجين</w:t>
            </w:r>
          </w:p>
        </w:tc>
      </w:tr>
      <w:tr w:rsidR="00B917B2" w:rsidRPr="00375EB0" w:rsidTr="00B917B2">
        <w:trPr>
          <w:trHeight w:val="315"/>
          <w:jc w:val="center"/>
        </w:trPr>
        <w:tc>
          <w:tcPr>
            <w:tcW w:w="2780" w:type="dxa"/>
            <w:vMerge/>
            <w:shd w:val="clear" w:color="auto" w:fill="auto"/>
            <w:vAlign w:val="center"/>
            <w:hideMark/>
          </w:tcPr>
          <w:p w:rsidR="00B917B2" w:rsidRPr="00375EB0" w:rsidRDefault="00B917B2" w:rsidP="00B917B2">
            <w:pPr>
              <w:spacing w:after="0" w:line="240" w:lineRule="auto"/>
              <w:rPr>
                <w:rFonts w:ascii="Simplified Arabic" w:eastAsia="Times New Roman" w:hAnsi="Simplified Arabic" w:cs="Simplified Arabic"/>
                <w:b/>
                <w:bCs/>
                <w:lang w:eastAsia="en-GB"/>
              </w:rPr>
            </w:pPr>
          </w:p>
        </w:tc>
        <w:tc>
          <w:tcPr>
            <w:tcW w:w="1410" w:type="dxa"/>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2010</w:t>
            </w:r>
          </w:p>
        </w:tc>
        <w:tc>
          <w:tcPr>
            <w:tcW w:w="1560" w:type="dxa"/>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2013</w:t>
            </w:r>
          </w:p>
        </w:tc>
        <w:tc>
          <w:tcPr>
            <w:tcW w:w="1417" w:type="dxa"/>
            <w:shd w:val="clear" w:color="auto" w:fill="auto"/>
            <w:noWrap/>
            <w:vAlign w:val="center"/>
            <w:hideMark/>
          </w:tcPr>
          <w:p w:rsidR="00B917B2" w:rsidRPr="00375EB0" w:rsidRDefault="00B917B2" w:rsidP="00B917B2">
            <w:pPr>
              <w:bidi/>
              <w:spacing w:after="0" w:line="240" w:lineRule="auto"/>
              <w:jc w:val="center"/>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2017</w:t>
            </w:r>
          </w:p>
        </w:tc>
      </w:tr>
      <w:tr w:rsidR="00B917B2" w:rsidRPr="00375EB0" w:rsidTr="00B917B2">
        <w:trPr>
          <w:trHeight w:val="300"/>
          <w:jc w:val="center"/>
        </w:trPr>
        <w:tc>
          <w:tcPr>
            <w:tcW w:w="2780" w:type="dxa"/>
            <w:shd w:val="clear" w:color="auto" w:fill="auto"/>
            <w:vAlign w:val="center"/>
            <w:hideMark/>
          </w:tcPr>
          <w:p w:rsidR="00B917B2" w:rsidRPr="00375EB0" w:rsidRDefault="00B917B2" w:rsidP="00B917B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الفنية الصناعية</w:t>
            </w:r>
          </w:p>
        </w:tc>
        <w:tc>
          <w:tcPr>
            <w:tcW w:w="1410" w:type="dxa"/>
            <w:shd w:val="clear" w:color="auto" w:fill="auto"/>
            <w:noWrap/>
            <w:vAlign w:val="center"/>
            <w:hideMark/>
          </w:tcPr>
          <w:p w:rsidR="00B917B2" w:rsidRPr="00375EB0" w:rsidRDefault="00B917B2" w:rsidP="00B917B2">
            <w:pPr>
              <w:bidi/>
              <w:spacing w:after="0" w:line="240" w:lineRule="auto"/>
              <w:ind w:left="407"/>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val="en-US" w:eastAsia="en-GB"/>
              </w:rPr>
              <w:t>31,0</w:t>
            </w:r>
          </w:p>
        </w:tc>
        <w:tc>
          <w:tcPr>
            <w:tcW w:w="1560" w:type="dxa"/>
            <w:shd w:val="clear" w:color="auto" w:fill="auto"/>
            <w:noWrap/>
            <w:vAlign w:val="center"/>
            <w:hideMark/>
          </w:tcPr>
          <w:p w:rsidR="00B917B2" w:rsidRPr="00375EB0" w:rsidRDefault="00B917B2" w:rsidP="00B917B2">
            <w:pPr>
              <w:bidi/>
              <w:spacing w:after="0" w:line="240" w:lineRule="auto"/>
              <w:ind w:left="3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30,6</w:t>
            </w:r>
          </w:p>
        </w:tc>
        <w:tc>
          <w:tcPr>
            <w:tcW w:w="1417" w:type="dxa"/>
            <w:shd w:val="clear" w:color="auto" w:fill="auto"/>
            <w:noWrap/>
            <w:vAlign w:val="center"/>
            <w:hideMark/>
          </w:tcPr>
          <w:p w:rsidR="00B917B2" w:rsidRPr="00375EB0" w:rsidRDefault="00B917B2" w:rsidP="00B917B2">
            <w:pPr>
              <w:bidi/>
              <w:spacing w:after="0" w:line="240" w:lineRule="auto"/>
              <w:ind w:left="4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26,8</w:t>
            </w:r>
          </w:p>
        </w:tc>
      </w:tr>
      <w:tr w:rsidR="00B917B2" w:rsidRPr="00375EB0" w:rsidTr="00B917B2">
        <w:trPr>
          <w:trHeight w:val="300"/>
          <w:jc w:val="center"/>
        </w:trPr>
        <w:tc>
          <w:tcPr>
            <w:tcW w:w="2780" w:type="dxa"/>
            <w:shd w:val="clear" w:color="auto" w:fill="auto"/>
            <w:vAlign w:val="center"/>
            <w:hideMark/>
          </w:tcPr>
          <w:p w:rsidR="00B917B2" w:rsidRPr="00375EB0" w:rsidRDefault="00B917B2" w:rsidP="00B917B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الفنية التجارية</w:t>
            </w:r>
          </w:p>
        </w:tc>
        <w:tc>
          <w:tcPr>
            <w:tcW w:w="1410" w:type="dxa"/>
            <w:shd w:val="clear" w:color="auto" w:fill="auto"/>
            <w:noWrap/>
            <w:vAlign w:val="center"/>
            <w:hideMark/>
          </w:tcPr>
          <w:p w:rsidR="00B917B2" w:rsidRPr="00375EB0" w:rsidRDefault="00B917B2" w:rsidP="00B917B2">
            <w:pPr>
              <w:bidi/>
              <w:spacing w:after="0" w:line="240" w:lineRule="auto"/>
              <w:ind w:left="407"/>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val="en-US" w:eastAsia="en-GB"/>
              </w:rPr>
              <w:t>46,6</w:t>
            </w:r>
          </w:p>
        </w:tc>
        <w:tc>
          <w:tcPr>
            <w:tcW w:w="1560" w:type="dxa"/>
            <w:shd w:val="clear" w:color="auto" w:fill="auto"/>
            <w:noWrap/>
            <w:vAlign w:val="center"/>
            <w:hideMark/>
          </w:tcPr>
          <w:p w:rsidR="00B917B2" w:rsidRPr="00375EB0" w:rsidRDefault="00B917B2" w:rsidP="00B917B2">
            <w:pPr>
              <w:bidi/>
              <w:spacing w:after="0" w:line="240" w:lineRule="auto"/>
              <w:ind w:left="3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27,1</w:t>
            </w:r>
          </w:p>
        </w:tc>
        <w:tc>
          <w:tcPr>
            <w:tcW w:w="1417" w:type="dxa"/>
            <w:shd w:val="clear" w:color="auto" w:fill="auto"/>
            <w:noWrap/>
            <w:vAlign w:val="center"/>
            <w:hideMark/>
          </w:tcPr>
          <w:p w:rsidR="00B917B2" w:rsidRPr="00375EB0" w:rsidRDefault="00B917B2" w:rsidP="00B917B2">
            <w:pPr>
              <w:bidi/>
              <w:spacing w:after="0" w:line="240" w:lineRule="auto"/>
              <w:ind w:left="4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27,9</w:t>
            </w:r>
          </w:p>
        </w:tc>
      </w:tr>
      <w:tr w:rsidR="00B917B2" w:rsidRPr="00375EB0" w:rsidTr="00B917B2">
        <w:trPr>
          <w:trHeight w:val="315"/>
          <w:jc w:val="center"/>
        </w:trPr>
        <w:tc>
          <w:tcPr>
            <w:tcW w:w="2780" w:type="dxa"/>
            <w:shd w:val="clear" w:color="auto" w:fill="auto"/>
            <w:vAlign w:val="center"/>
            <w:hideMark/>
          </w:tcPr>
          <w:p w:rsidR="00B917B2" w:rsidRPr="00375EB0" w:rsidRDefault="00B917B2" w:rsidP="00B917B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الخدمة الاجتماعية فوق المتوسط</w:t>
            </w:r>
          </w:p>
        </w:tc>
        <w:tc>
          <w:tcPr>
            <w:tcW w:w="1410" w:type="dxa"/>
            <w:shd w:val="clear" w:color="auto" w:fill="auto"/>
            <w:noWrap/>
            <w:vAlign w:val="center"/>
            <w:hideMark/>
          </w:tcPr>
          <w:p w:rsidR="00B917B2" w:rsidRPr="00375EB0" w:rsidRDefault="00B917B2" w:rsidP="00B917B2">
            <w:pPr>
              <w:bidi/>
              <w:spacing w:after="0" w:line="240" w:lineRule="auto"/>
              <w:ind w:left="407"/>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6,1</w:t>
            </w:r>
          </w:p>
        </w:tc>
        <w:tc>
          <w:tcPr>
            <w:tcW w:w="1560" w:type="dxa"/>
            <w:shd w:val="clear" w:color="auto" w:fill="auto"/>
            <w:noWrap/>
            <w:vAlign w:val="center"/>
            <w:hideMark/>
          </w:tcPr>
          <w:p w:rsidR="00B917B2" w:rsidRPr="00375EB0" w:rsidRDefault="00B917B2" w:rsidP="00B917B2">
            <w:pPr>
              <w:bidi/>
              <w:spacing w:after="0" w:line="240" w:lineRule="auto"/>
              <w:ind w:left="3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5,4</w:t>
            </w:r>
          </w:p>
        </w:tc>
        <w:tc>
          <w:tcPr>
            <w:tcW w:w="1417" w:type="dxa"/>
            <w:shd w:val="clear" w:color="auto" w:fill="auto"/>
            <w:noWrap/>
            <w:vAlign w:val="center"/>
            <w:hideMark/>
          </w:tcPr>
          <w:p w:rsidR="00B917B2" w:rsidRPr="00375EB0" w:rsidRDefault="00B917B2" w:rsidP="00B917B2">
            <w:pPr>
              <w:bidi/>
              <w:spacing w:after="0" w:line="240" w:lineRule="auto"/>
              <w:ind w:left="4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2,2</w:t>
            </w:r>
          </w:p>
        </w:tc>
      </w:tr>
      <w:tr w:rsidR="00B917B2" w:rsidRPr="00375EB0" w:rsidTr="00B917B2">
        <w:trPr>
          <w:trHeight w:val="315"/>
          <w:jc w:val="center"/>
        </w:trPr>
        <w:tc>
          <w:tcPr>
            <w:tcW w:w="2780" w:type="dxa"/>
            <w:shd w:val="clear" w:color="auto" w:fill="auto"/>
            <w:vAlign w:val="center"/>
            <w:hideMark/>
          </w:tcPr>
          <w:p w:rsidR="00B917B2" w:rsidRPr="00375EB0" w:rsidRDefault="00B917B2" w:rsidP="00B917B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الفنية للسياحة والفنادق</w:t>
            </w:r>
          </w:p>
        </w:tc>
        <w:tc>
          <w:tcPr>
            <w:tcW w:w="1410" w:type="dxa"/>
            <w:shd w:val="clear" w:color="auto" w:fill="auto"/>
            <w:noWrap/>
            <w:vAlign w:val="center"/>
            <w:hideMark/>
          </w:tcPr>
          <w:p w:rsidR="00B917B2" w:rsidRPr="00375EB0" w:rsidRDefault="00B917B2" w:rsidP="00B917B2">
            <w:pPr>
              <w:bidi/>
              <w:spacing w:after="0" w:line="240" w:lineRule="auto"/>
              <w:ind w:left="407"/>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2,6</w:t>
            </w:r>
          </w:p>
        </w:tc>
        <w:tc>
          <w:tcPr>
            <w:tcW w:w="1560" w:type="dxa"/>
            <w:shd w:val="clear" w:color="auto" w:fill="auto"/>
            <w:noWrap/>
            <w:vAlign w:val="center"/>
            <w:hideMark/>
          </w:tcPr>
          <w:p w:rsidR="00B917B2" w:rsidRPr="00375EB0" w:rsidRDefault="00B917B2" w:rsidP="00B917B2">
            <w:pPr>
              <w:bidi/>
              <w:spacing w:after="0" w:line="240" w:lineRule="auto"/>
              <w:ind w:left="3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2,1</w:t>
            </w:r>
          </w:p>
        </w:tc>
        <w:tc>
          <w:tcPr>
            <w:tcW w:w="1417" w:type="dxa"/>
            <w:shd w:val="clear" w:color="auto" w:fill="auto"/>
            <w:noWrap/>
            <w:vAlign w:val="center"/>
            <w:hideMark/>
          </w:tcPr>
          <w:p w:rsidR="00B917B2" w:rsidRPr="00375EB0" w:rsidRDefault="00B917B2" w:rsidP="00B917B2">
            <w:pPr>
              <w:bidi/>
              <w:spacing w:after="0" w:line="240" w:lineRule="auto"/>
              <w:ind w:left="4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1,9</w:t>
            </w:r>
          </w:p>
        </w:tc>
      </w:tr>
      <w:tr w:rsidR="00B917B2" w:rsidRPr="00375EB0" w:rsidTr="00B917B2">
        <w:trPr>
          <w:trHeight w:val="300"/>
          <w:jc w:val="center"/>
        </w:trPr>
        <w:tc>
          <w:tcPr>
            <w:tcW w:w="2780" w:type="dxa"/>
            <w:shd w:val="clear" w:color="auto" w:fill="auto"/>
            <w:vAlign w:val="center"/>
            <w:hideMark/>
          </w:tcPr>
          <w:p w:rsidR="00B917B2" w:rsidRPr="00375EB0" w:rsidRDefault="00B917B2" w:rsidP="00B917B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الفنية الصحية</w:t>
            </w:r>
          </w:p>
        </w:tc>
        <w:tc>
          <w:tcPr>
            <w:tcW w:w="1410" w:type="dxa"/>
            <w:shd w:val="clear" w:color="auto" w:fill="auto"/>
            <w:noWrap/>
            <w:vAlign w:val="center"/>
            <w:hideMark/>
          </w:tcPr>
          <w:p w:rsidR="00B917B2" w:rsidRPr="00375EB0" w:rsidRDefault="00B917B2" w:rsidP="00B917B2">
            <w:pPr>
              <w:bidi/>
              <w:spacing w:after="0" w:line="240" w:lineRule="auto"/>
              <w:ind w:left="407"/>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val="en-US" w:eastAsia="en-GB"/>
              </w:rPr>
              <w:t>12,0</w:t>
            </w:r>
          </w:p>
        </w:tc>
        <w:tc>
          <w:tcPr>
            <w:tcW w:w="1560" w:type="dxa"/>
            <w:shd w:val="clear" w:color="auto" w:fill="auto"/>
            <w:noWrap/>
            <w:vAlign w:val="center"/>
            <w:hideMark/>
          </w:tcPr>
          <w:p w:rsidR="00B917B2" w:rsidRPr="00375EB0" w:rsidRDefault="00B917B2" w:rsidP="00B917B2">
            <w:pPr>
              <w:bidi/>
              <w:spacing w:after="0" w:line="240" w:lineRule="auto"/>
              <w:ind w:left="3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28,4</w:t>
            </w:r>
          </w:p>
        </w:tc>
        <w:tc>
          <w:tcPr>
            <w:tcW w:w="1417" w:type="dxa"/>
            <w:shd w:val="clear" w:color="auto" w:fill="auto"/>
            <w:noWrap/>
            <w:vAlign w:val="center"/>
            <w:hideMark/>
          </w:tcPr>
          <w:p w:rsidR="00B917B2" w:rsidRPr="00375EB0" w:rsidRDefault="00B917B2" w:rsidP="00B917B2">
            <w:pPr>
              <w:bidi/>
              <w:spacing w:after="0" w:line="240" w:lineRule="auto"/>
              <w:ind w:left="4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33,6</w:t>
            </w:r>
          </w:p>
        </w:tc>
      </w:tr>
      <w:tr w:rsidR="00B917B2" w:rsidRPr="00375EB0" w:rsidTr="00B917B2">
        <w:trPr>
          <w:trHeight w:val="300"/>
          <w:jc w:val="center"/>
        </w:trPr>
        <w:tc>
          <w:tcPr>
            <w:tcW w:w="2780" w:type="dxa"/>
            <w:shd w:val="clear" w:color="auto" w:fill="auto"/>
            <w:vAlign w:val="center"/>
            <w:hideMark/>
          </w:tcPr>
          <w:p w:rsidR="00B917B2" w:rsidRPr="00375EB0" w:rsidRDefault="00B917B2" w:rsidP="00B917B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الفنية للتمريض</w:t>
            </w:r>
          </w:p>
        </w:tc>
        <w:tc>
          <w:tcPr>
            <w:tcW w:w="1410" w:type="dxa"/>
            <w:shd w:val="clear" w:color="auto" w:fill="auto"/>
            <w:noWrap/>
            <w:vAlign w:val="center"/>
            <w:hideMark/>
          </w:tcPr>
          <w:p w:rsidR="00B917B2" w:rsidRPr="00375EB0" w:rsidRDefault="00B917B2" w:rsidP="00B917B2">
            <w:pPr>
              <w:bidi/>
              <w:spacing w:after="0" w:line="240" w:lineRule="auto"/>
              <w:ind w:left="407"/>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1,7</w:t>
            </w:r>
          </w:p>
        </w:tc>
        <w:tc>
          <w:tcPr>
            <w:tcW w:w="1560" w:type="dxa"/>
            <w:shd w:val="clear" w:color="auto" w:fill="auto"/>
            <w:noWrap/>
            <w:vAlign w:val="center"/>
            <w:hideMark/>
          </w:tcPr>
          <w:p w:rsidR="00B917B2" w:rsidRPr="00375EB0" w:rsidRDefault="00B917B2" w:rsidP="00B917B2">
            <w:pPr>
              <w:bidi/>
              <w:spacing w:after="0" w:line="240" w:lineRule="auto"/>
              <w:ind w:left="3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val="en-US" w:eastAsia="en-GB"/>
              </w:rPr>
              <w:t>3,0</w:t>
            </w:r>
          </w:p>
        </w:tc>
        <w:tc>
          <w:tcPr>
            <w:tcW w:w="1417" w:type="dxa"/>
            <w:shd w:val="clear" w:color="auto" w:fill="auto"/>
            <w:noWrap/>
            <w:vAlign w:val="center"/>
            <w:hideMark/>
          </w:tcPr>
          <w:p w:rsidR="00B917B2" w:rsidRPr="00375EB0" w:rsidRDefault="00B917B2" w:rsidP="00B917B2">
            <w:pPr>
              <w:bidi/>
              <w:spacing w:after="0" w:line="240" w:lineRule="auto"/>
              <w:ind w:left="4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7,5</w:t>
            </w:r>
          </w:p>
        </w:tc>
      </w:tr>
      <w:tr w:rsidR="00B917B2" w:rsidRPr="00375EB0" w:rsidTr="00B917B2">
        <w:trPr>
          <w:trHeight w:val="300"/>
          <w:jc w:val="center"/>
        </w:trPr>
        <w:tc>
          <w:tcPr>
            <w:tcW w:w="2780" w:type="dxa"/>
            <w:shd w:val="clear" w:color="auto" w:fill="auto"/>
            <w:vAlign w:val="center"/>
            <w:hideMark/>
          </w:tcPr>
          <w:p w:rsidR="00B917B2" w:rsidRPr="00375EB0" w:rsidRDefault="00B917B2" w:rsidP="00B917B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الفنية الأزهرية</w:t>
            </w:r>
          </w:p>
        </w:tc>
        <w:tc>
          <w:tcPr>
            <w:tcW w:w="1410" w:type="dxa"/>
            <w:shd w:val="clear" w:color="auto" w:fill="auto"/>
            <w:noWrap/>
            <w:vAlign w:val="center"/>
            <w:hideMark/>
          </w:tcPr>
          <w:p w:rsidR="00B917B2" w:rsidRPr="00375EB0" w:rsidRDefault="00B917B2" w:rsidP="00B917B2">
            <w:pPr>
              <w:bidi/>
              <w:spacing w:after="0" w:line="240" w:lineRule="auto"/>
              <w:ind w:left="407"/>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0,0</w:t>
            </w:r>
          </w:p>
        </w:tc>
        <w:tc>
          <w:tcPr>
            <w:tcW w:w="1560" w:type="dxa"/>
            <w:shd w:val="clear" w:color="auto" w:fill="auto"/>
            <w:noWrap/>
            <w:vAlign w:val="center"/>
            <w:hideMark/>
          </w:tcPr>
          <w:p w:rsidR="00B917B2" w:rsidRPr="00375EB0" w:rsidRDefault="00B917B2" w:rsidP="00B917B2">
            <w:pPr>
              <w:bidi/>
              <w:spacing w:after="0" w:line="240" w:lineRule="auto"/>
              <w:ind w:left="3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3,4</w:t>
            </w:r>
          </w:p>
        </w:tc>
        <w:tc>
          <w:tcPr>
            <w:tcW w:w="1417" w:type="dxa"/>
            <w:shd w:val="clear" w:color="auto" w:fill="auto"/>
            <w:noWrap/>
            <w:vAlign w:val="center"/>
            <w:hideMark/>
          </w:tcPr>
          <w:p w:rsidR="00B917B2" w:rsidRPr="00375EB0" w:rsidRDefault="00B917B2" w:rsidP="00B917B2">
            <w:pPr>
              <w:bidi/>
              <w:spacing w:after="0" w:line="240" w:lineRule="auto"/>
              <w:ind w:left="4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0,1</w:t>
            </w:r>
          </w:p>
        </w:tc>
      </w:tr>
      <w:tr w:rsidR="00B917B2" w:rsidRPr="00375EB0" w:rsidTr="00B917B2">
        <w:trPr>
          <w:trHeight w:val="315"/>
          <w:jc w:val="center"/>
        </w:trPr>
        <w:tc>
          <w:tcPr>
            <w:tcW w:w="2780" w:type="dxa"/>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الإجمإلي العام</w:t>
            </w:r>
          </w:p>
        </w:tc>
        <w:tc>
          <w:tcPr>
            <w:tcW w:w="1410" w:type="dxa"/>
            <w:shd w:val="clear" w:color="auto" w:fill="auto"/>
            <w:noWrap/>
            <w:vAlign w:val="center"/>
            <w:hideMark/>
          </w:tcPr>
          <w:p w:rsidR="00B917B2" w:rsidRPr="00375EB0" w:rsidRDefault="00B917B2" w:rsidP="00B917B2">
            <w:pPr>
              <w:bidi/>
              <w:spacing w:after="0" w:line="240" w:lineRule="auto"/>
              <w:ind w:left="407"/>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c>
          <w:tcPr>
            <w:tcW w:w="1560" w:type="dxa"/>
            <w:shd w:val="clear" w:color="auto" w:fill="auto"/>
            <w:noWrap/>
            <w:vAlign w:val="center"/>
            <w:hideMark/>
          </w:tcPr>
          <w:p w:rsidR="00B917B2" w:rsidRPr="00375EB0" w:rsidRDefault="00B917B2" w:rsidP="00B917B2">
            <w:pPr>
              <w:bidi/>
              <w:spacing w:after="0" w:line="240" w:lineRule="auto"/>
              <w:ind w:left="3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lang w:val="en-US" w:eastAsia="en-GB"/>
              </w:rPr>
              <w:t>100</w:t>
            </w:r>
          </w:p>
        </w:tc>
        <w:tc>
          <w:tcPr>
            <w:tcW w:w="1417" w:type="dxa"/>
            <w:shd w:val="clear" w:color="auto" w:fill="auto"/>
            <w:noWrap/>
            <w:vAlign w:val="center"/>
            <w:hideMark/>
          </w:tcPr>
          <w:p w:rsidR="00B917B2" w:rsidRPr="00375EB0" w:rsidRDefault="00B917B2" w:rsidP="00B917B2">
            <w:pPr>
              <w:bidi/>
              <w:spacing w:after="0" w:line="240" w:lineRule="auto"/>
              <w:ind w:left="465"/>
              <w:rPr>
                <w:rFonts w:ascii="Simplified Arabic" w:eastAsia="Times New Roman" w:hAnsi="Simplified Arabic" w:cs="Simplified Arabic"/>
                <w:b/>
                <w:bCs/>
                <w:lang w:eastAsia="en-GB"/>
              </w:rPr>
            </w:pPr>
            <w:r w:rsidRPr="00375EB0">
              <w:rPr>
                <w:rFonts w:ascii="Simplified Arabic" w:eastAsia="Times New Roman" w:hAnsi="Simplified Arabic" w:cs="Simplified Arabic"/>
                <w:b/>
                <w:bCs/>
                <w:rtl/>
                <w:lang w:eastAsia="en-GB"/>
              </w:rPr>
              <w:t>100</w:t>
            </w:r>
          </w:p>
        </w:tc>
      </w:tr>
    </w:tbl>
    <w:p w:rsidR="00B917B2" w:rsidRPr="006E22E5" w:rsidRDefault="00B917B2" w:rsidP="00B917B2">
      <w:pPr>
        <w:bidi/>
        <w:spacing w:after="120" w:line="240" w:lineRule="auto"/>
        <w:ind w:left="170"/>
        <w:jc w:val="both"/>
        <w:rPr>
          <w:rFonts w:ascii="Simplified Arabic" w:eastAsia="Calibri" w:hAnsi="Simplified Arabic" w:cs="Simplified Arabic"/>
          <w:b/>
          <w:bCs/>
          <w:sz w:val="24"/>
          <w:szCs w:val="24"/>
          <w:rtl/>
          <w:lang w:val="en-US" w:bidi="ar-EG"/>
        </w:rPr>
      </w:pPr>
      <w:r w:rsidRPr="006E22E5">
        <w:rPr>
          <w:rFonts w:ascii="Simplified Arabic" w:eastAsia="Calibri" w:hAnsi="Simplified Arabic" w:cs="Simplified Arabic"/>
          <w:b/>
          <w:bCs/>
          <w:rtl/>
          <w:lang w:val="en-US" w:bidi="ar-EG"/>
        </w:rPr>
        <w:t xml:space="preserve">المصدر: </w:t>
      </w:r>
      <w:r w:rsidRPr="006E22E5">
        <w:rPr>
          <w:rFonts w:ascii="Simplified Arabic" w:eastAsia="Calibri" w:hAnsi="Simplified Arabic" w:cs="Simplified Arabic"/>
          <w:rtl/>
          <w:lang w:val="en-US" w:bidi="ar-EG"/>
        </w:rPr>
        <w:t xml:space="preserve">الجهاز المركزي للتعبئة العامة والاحصاء- النشرة السنوية لخريجي التعليم العالي </w:t>
      </w:r>
      <w:r w:rsidRPr="006E22E5">
        <w:rPr>
          <w:rFonts w:ascii="Simplified Arabic" w:eastAsia="Calibri" w:hAnsi="Simplified Arabic" w:cs="Simplified Arabic" w:hint="cs"/>
          <w:rtl/>
          <w:lang w:val="en-US" w:bidi="ar-EG"/>
        </w:rPr>
        <w:t>للسنوات</w:t>
      </w:r>
      <w:r w:rsidRPr="006E22E5">
        <w:rPr>
          <w:rFonts w:ascii="Simplified Arabic" w:eastAsia="Calibri" w:hAnsi="Simplified Arabic" w:cs="Simplified Arabic"/>
          <w:rtl/>
          <w:lang w:val="en-US" w:bidi="ar-EG"/>
        </w:rPr>
        <w:t xml:space="preserve"> (2010، 2013، 2017)</w:t>
      </w:r>
      <w:r w:rsidRPr="006E22E5">
        <w:rPr>
          <w:rFonts w:ascii="Simplified Arabic" w:eastAsia="Calibri" w:hAnsi="Simplified Arabic" w:cs="Simplified Arabic" w:hint="cs"/>
          <w:rtl/>
          <w:lang w:val="en-US" w:bidi="ar-EG"/>
        </w:rPr>
        <w:t>.</w:t>
      </w:r>
    </w:p>
    <w:p w:rsidR="00B917B2" w:rsidRPr="00375EB0" w:rsidRDefault="00B917B2" w:rsidP="00616254">
      <w:pPr>
        <w:pStyle w:val="ListParagraph"/>
        <w:numPr>
          <w:ilvl w:val="0"/>
          <w:numId w:val="29"/>
        </w:numPr>
        <w:spacing w:after="0" w:line="240" w:lineRule="auto"/>
        <w:ind w:left="360"/>
        <w:rPr>
          <w:rFonts w:ascii="Simplified Arabic" w:eastAsia="Calibri" w:hAnsi="Simplified Arabic" w:cs="Simplified Arabic"/>
          <w:b/>
          <w:bCs/>
          <w:sz w:val="30"/>
          <w:szCs w:val="30"/>
          <w:rtl/>
          <w:lang w:bidi="ar-EG"/>
        </w:rPr>
      </w:pPr>
      <w:r w:rsidRPr="00375EB0">
        <w:rPr>
          <w:rFonts w:ascii="Simplified Arabic" w:eastAsia="Calibri" w:hAnsi="Simplified Arabic" w:cs="Simplified Arabic"/>
          <w:b/>
          <w:bCs/>
          <w:sz w:val="30"/>
          <w:szCs w:val="30"/>
          <w:u w:val="single"/>
          <w:rtl/>
          <w:lang w:bidi="ar-EG"/>
        </w:rPr>
        <w:t>تطور البطالة بين المتعلمين</w:t>
      </w:r>
    </w:p>
    <w:p w:rsidR="00B917B2" w:rsidRPr="00375EB0" w:rsidRDefault="00B917B2" w:rsidP="006E22E5">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 xml:space="preserve">يعرض جدول (2-17) تقدير أعداد المتعطلين للأفراد الحاصلين علي مؤهلات متوسطة ومؤهلات عليا لاغراض المقارنة وتوضيح حجم البطالة بين المتعلمين مقارنة بالمؤهلات الاخري طبقاً لنوع الخريج خلال سنوات الدراسة، ويتضح من الجدول أن: </w:t>
      </w:r>
    </w:p>
    <w:p w:rsidR="00B917B2" w:rsidRPr="00375EB0" w:rsidRDefault="00B917B2" w:rsidP="00616254">
      <w:pPr>
        <w:pStyle w:val="ListParagraph"/>
        <w:numPr>
          <w:ilvl w:val="0"/>
          <w:numId w:val="27"/>
        </w:numPr>
        <w:spacing w:after="0" w:line="240" w:lineRule="auto"/>
        <w:ind w:left="603" w:hanging="433"/>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حوإلي 40٪ من الحاصلين علي مؤهل جامعي فأعلي متعطلين عام 2010.</w:t>
      </w:r>
    </w:p>
    <w:p w:rsidR="00B917B2" w:rsidRPr="00375EB0" w:rsidRDefault="00B917B2" w:rsidP="00616254">
      <w:pPr>
        <w:pStyle w:val="ListParagraph"/>
        <w:numPr>
          <w:ilvl w:val="0"/>
          <w:numId w:val="27"/>
        </w:numPr>
        <w:spacing w:after="0" w:line="240" w:lineRule="auto"/>
        <w:ind w:left="603" w:hanging="433"/>
        <w:jc w:val="both"/>
        <w:rPr>
          <w:rFonts w:ascii="Simplified Arabic" w:eastAsia="Calibri" w:hAnsi="Simplified Arabic" w:cs="Simplified Arabic"/>
          <w:sz w:val="28"/>
          <w:szCs w:val="28"/>
          <w:rtl/>
          <w:lang w:bidi="ar-EG"/>
        </w:rPr>
      </w:pPr>
      <w:r w:rsidRPr="00375EB0">
        <w:rPr>
          <w:rFonts w:ascii="Simplified Arabic" w:eastAsia="Calibri" w:hAnsi="Simplified Arabic" w:cs="Simplified Arabic"/>
          <w:sz w:val="28"/>
          <w:szCs w:val="28"/>
          <w:rtl/>
          <w:lang w:bidi="ar-EG"/>
        </w:rPr>
        <w:t>تبدأ النسبة في الانخفاض منذ عام 2011 بعد ثورة يناير 2011، والاعوام التإلية كنتيجة لحركة التشغيل التي اتبعت خلال تلك الفترة كتهدئة لثورة المجتمع علي ال</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حوال بصفة عامة لتصل إلي اقل نسبة عام 2014 وهو العام المسمي بعام الفراغ كنتيجة لتعديل نظام الدراسة بالتعليم قبل الجامعي (الصف الخامس والصف السادس الابتدائي) لتصل إلي 27,9٪، ثم تعود لشكلها المعتاد عامي 2015،2016 لترتفع مرة اخري عام 2017 لتصل إلي 34٪.</w:t>
      </w:r>
    </w:p>
    <w:p w:rsidR="00B917B2" w:rsidRPr="00375EB0" w:rsidRDefault="00B917B2" w:rsidP="00B917B2">
      <w:pPr>
        <w:bidi/>
        <w:spacing w:before="120" w:after="120" w:line="240" w:lineRule="auto"/>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lastRenderedPageBreak/>
        <w:t>جدول (2-17) تقدير أعداد المتعطلين حسب الحالة التعليمية خلال سنوات الدراسة</w:t>
      </w:r>
      <w:r w:rsidRPr="00375EB0">
        <w:rPr>
          <w:rFonts w:ascii="Simplified Arabic" w:eastAsia="Calibri" w:hAnsi="Simplified Arabic" w:cs="Simplified Arabic" w:hint="cs"/>
          <w:b/>
          <w:bCs/>
          <w:rtl/>
          <w:lang w:val="en-US" w:bidi="ar-EG"/>
        </w:rPr>
        <w:t xml:space="preserve">           </w:t>
      </w:r>
      <w:r w:rsidRPr="00375EB0">
        <w:rPr>
          <w:rFonts w:ascii="Simplified Arabic" w:eastAsia="Calibri" w:hAnsi="Simplified Arabic" w:cs="Simplified Arabic"/>
          <w:b/>
          <w:bCs/>
          <w:rtl/>
          <w:lang w:val="en-US" w:bidi="ar-EG"/>
        </w:rPr>
        <w:t>العدد بالمئات</w:t>
      </w:r>
    </w:p>
    <w:tbl>
      <w:tblPr>
        <w:bidiVisual/>
        <w:tblW w:w="7478" w:type="dxa"/>
        <w:jc w:val="center"/>
        <w:tblLook w:val="04A0" w:firstRow="1" w:lastRow="0" w:firstColumn="1" w:lastColumn="0" w:noHBand="0" w:noVBand="1"/>
      </w:tblPr>
      <w:tblGrid>
        <w:gridCol w:w="1844"/>
        <w:gridCol w:w="774"/>
        <w:gridCol w:w="774"/>
        <w:gridCol w:w="774"/>
        <w:gridCol w:w="774"/>
        <w:gridCol w:w="774"/>
        <w:gridCol w:w="774"/>
        <w:gridCol w:w="774"/>
        <w:gridCol w:w="774"/>
      </w:tblGrid>
      <w:tr w:rsidR="00B917B2" w:rsidRPr="00375EB0" w:rsidTr="00B917B2">
        <w:trPr>
          <w:trHeight w:val="300"/>
          <w:jc w:val="center"/>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17B2" w:rsidRPr="00375EB0" w:rsidRDefault="00B917B2" w:rsidP="00B917B2">
            <w:pPr>
              <w:bidi/>
              <w:spacing w:after="0" w:line="240" w:lineRule="auto"/>
              <w:rPr>
                <w:rFonts w:ascii="Calibri" w:eastAsia="Times New Roman" w:hAnsi="Calibri" w:cs="Calibri"/>
                <w:color w:val="000000"/>
                <w:lang w:val="en-US"/>
              </w:rPr>
            </w:pPr>
            <w:r w:rsidRPr="00375EB0">
              <w:rPr>
                <w:rFonts w:ascii="Calibri" w:eastAsia="Times New Roman" w:hAnsi="Calibri" w:cs="Calibri" w:hint="cs"/>
                <w:color w:val="000000"/>
                <w:rtl/>
                <w:lang w:val="en-US"/>
              </w:rPr>
              <w:t>الحالة التعليمية</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color w:val="000000"/>
                <w:lang w:val="en-US"/>
              </w:rPr>
              <w:t>2010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color w:val="000000"/>
                <w:lang w:val="en-US"/>
              </w:rPr>
              <w:t>2011</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color w:val="000000"/>
                <w:lang w:val="en-US"/>
              </w:rPr>
              <w:t>2012</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color w:val="000000"/>
                <w:lang w:val="en-US"/>
              </w:rPr>
              <w:t>2013</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color w:val="000000"/>
                <w:lang w:val="en-US"/>
              </w:rPr>
              <w:t>2014</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color w:val="000000"/>
                <w:lang w:val="en-US"/>
              </w:rPr>
              <w:t>2015</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color w:val="000000"/>
                <w:lang w:val="en-US"/>
              </w:rPr>
              <w:t>2016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jc w:val="center"/>
              <w:rPr>
                <w:rFonts w:ascii="Calibri" w:eastAsia="Times New Roman" w:hAnsi="Calibri" w:cs="Calibri"/>
                <w:color w:val="000000"/>
                <w:rtl/>
                <w:lang w:val="en-US"/>
              </w:rPr>
            </w:pPr>
            <w:r w:rsidRPr="00375EB0">
              <w:rPr>
                <w:rFonts w:ascii="Calibri" w:eastAsia="Times New Roman" w:hAnsi="Calibri" w:cs="Calibri"/>
                <w:color w:val="000000"/>
                <w:lang w:val="en-US"/>
              </w:rPr>
              <w:t>2017</w:t>
            </w:r>
          </w:p>
        </w:tc>
      </w:tr>
      <w:tr w:rsidR="00B917B2" w:rsidRPr="00375EB0" w:rsidTr="00B917B2">
        <w:trPr>
          <w:trHeight w:val="300"/>
          <w:jc w:val="center"/>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ثانوية عامة وثانوية أزهرية</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524</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683</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712</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592</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604</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531</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515</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200</w:t>
            </w:r>
          </w:p>
        </w:tc>
      </w:tr>
      <w:tr w:rsidR="00B917B2" w:rsidRPr="00375EB0" w:rsidTr="00B917B2">
        <w:trPr>
          <w:trHeight w:val="300"/>
          <w:jc w:val="center"/>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مؤهل متوسط فنى</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9917</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13292</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15215</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14978</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14491</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15925</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15844</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16520</w:t>
            </w:r>
          </w:p>
        </w:tc>
      </w:tr>
      <w:tr w:rsidR="00B917B2" w:rsidRPr="00375EB0" w:rsidTr="00B917B2">
        <w:trPr>
          <w:trHeight w:val="600"/>
          <w:jc w:val="center"/>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مؤهــــل فوق المتوسط وأقل من الجامعى</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2068</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1940</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1831</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1628</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1399</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1734</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1682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1461</w:t>
            </w:r>
          </w:p>
        </w:tc>
      </w:tr>
      <w:tr w:rsidR="00B917B2" w:rsidRPr="00375EB0" w:rsidTr="00B917B2">
        <w:trPr>
          <w:trHeight w:val="600"/>
          <w:jc w:val="center"/>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مؤهل جامعى ومؤهل فــوق الجامعى</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9323</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10233</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11382</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11359</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10174</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11597</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11312</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11777</w:t>
            </w:r>
          </w:p>
        </w:tc>
      </w:tr>
      <w:tr w:rsidR="00B917B2" w:rsidRPr="00375EB0" w:rsidTr="00B917B2">
        <w:trPr>
          <w:trHeight w:val="300"/>
          <w:jc w:val="center"/>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اجمإلي الجمهورية</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23505</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31832</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34248</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36488</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36458</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36520</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36023</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34682</w:t>
            </w:r>
          </w:p>
        </w:tc>
      </w:tr>
      <w:tr w:rsidR="00B917B2" w:rsidRPr="00375EB0" w:rsidTr="00B917B2">
        <w:trPr>
          <w:trHeight w:val="600"/>
          <w:jc w:val="center"/>
        </w:trPr>
        <w:tc>
          <w:tcPr>
            <w:tcW w:w="1844" w:type="dxa"/>
            <w:tcBorders>
              <w:top w:val="nil"/>
              <w:left w:val="single" w:sz="4" w:space="0" w:color="auto"/>
              <w:bottom w:val="single" w:sz="4" w:space="0" w:color="auto"/>
              <w:right w:val="single" w:sz="4" w:space="0" w:color="auto"/>
            </w:tcBorders>
            <w:shd w:val="clear" w:color="auto" w:fill="auto"/>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hint="cs"/>
                <w:color w:val="000000"/>
                <w:rtl/>
                <w:lang w:val="en-US"/>
              </w:rPr>
              <w:t>نسبة البطالة بين المتعلمين لاجمإلي الجمهورية</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39,7</w:t>
            </w:r>
          </w:p>
        </w:tc>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32,1</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33,2</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31,1</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27,9</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31,8</w:t>
            </w: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31,4</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Calibri" w:eastAsia="Times New Roman" w:hAnsi="Calibri" w:cs="Calibri"/>
                <w:color w:val="000000"/>
                <w:rtl/>
                <w:lang w:val="en-US"/>
              </w:rPr>
            </w:pPr>
            <w:r w:rsidRPr="00375EB0">
              <w:rPr>
                <w:rFonts w:ascii="Calibri" w:eastAsia="Times New Roman" w:hAnsi="Calibri" w:cs="Calibri"/>
                <w:color w:val="000000"/>
                <w:lang w:val="en-US"/>
              </w:rPr>
              <w:t>34,0</w:t>
            </w:r>
          </w:p>
        </w:tc>
      </w:tr>
    </w:tbl>
    <w:p w:rsidR="00B917B2" w:rsidRPr="00375EB0" w:rsidRDefault="00B917B2" w:rsidP="00B917B2">
      <w:pPr>
        <w:bidi/>
        <w:spacing w:after="0" w:line="240" w:lineRule="auto"/>
        <w:jc w:val="both"/>
        <w:rPr>
          <w:rFonts w:ascii="Simplified Arabic" w:eastAsia="Calibri" w:hAnsi="Simplified Arabic" w:cs="Simplified Arabic"/>
          <w:b/>
          <w:bCs/>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بحث القوى العاملة للفترة (2010 – 2017)</w:t>
      </w:r>
      <w:r w:rsidRPr="00375EB0">
        <w:rPr>
          <w:rFonts w:ascii="Simplified Arabic" w:eastAsia="Calibri" w:hAnsi="Simplified Arabic" w:cs="Simplified Arabic" w:hint="cs"/>
          <w:rtl/>
          <w:lang w:val="en-US" w:bidi="ar-EG"/>
        </w:rPr>
        <w:t>.</w:t>
      </w:r>
    </w:p>
    <w:p w:rsidR="00B917B2" w:rsidRPr="00375EB0" w:rsidRDefault="00B917B2" w:rsidP="00B917B2">
      <w:pPr>
        <w:bidi/>
        <w:spacing w:before="120"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يعرض جدول (2-18) نسب البطالة للأفراد (15-64 سنة) الحاصلين علي مؤهل جامعي فأعلي، والحاصلين علي مؤهل فوق المتوسط وأقل من الجامعي والحاصلين علي مؤهل متوسط ل</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غراض المقارنة وتوضيح حجم البطالة بين المتعلمين مقارنة بالمؤهلات ال</w:t>
      </w:r>
      <w:r w:rsidRPr="00375EB0">
        <w:rPr>
          <w:rFonts w:ascii="Simplified Arabic" w:eastAsia="Calibri" w:hAnsi="Simplified Arabic" w:cs="Simplified Arabic" w:hint="cs"/>
          <w:sz w:val="28"/>
          <w:szCs w:val="28"/>
          <w:rtl/>
          <w:lang w:val="en-US" w:bidi="ar-EG"/>
        </w:rPr>
        <w:t>أ</w:t>
      </w:r>
      <w:r w:rsidRPr="00375EB0">
        <w:rPr>
          <w:rFonts w:ascii="Simplified Arabic" w:eastAsia="Calibri" w:hAnsi="Simplified Arabic" w:cs="Simplified Arabic"/>
          <w:sz w:val="28"/>
          <w:szCs w:val="28"/>
          <w:rtl/>
          <w:lang w:val="en-US" w:bidi="ar-EG"/>
        </w:rPr>
        <w:t xml:space="preserve">خري خلال فترة الدراسة (2010، 2017)، وتشير بيانات الجدول إلي أن: </w:t>
      </w:r>
    </w:p>
    <w:p w:rsidR="00B917B2" w:rsidRPr="00375EB0" w:rsidRDefault="00B917B2" w:rsidP="00616254">
      <w:pPr>
        <w:pStyle w:val="ListParagraph"/>
        <w:numPr>
          <w:ilvl w:val="0"/>
          <w:numId w:val="28"/>
        </w:numPr>
        <w:spacing w:after="12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أعلى نسب للبطالة كانت بين الحاصلين على مؤهل فني متوسط، </w:t>
      </w:r>
      <w:r w:rsidRPr="00375EB0">
        <w:rPr>
          <w:rFonts w:ascii="Simplified Arabic" w:eastAsia="Calibri" w:hAnsi="Simplified Arabic" w:cs="Simplified Arabic" w:hint="cs"/>
          <w:sz w:val="28"/>
          <w:szCs w:val="28"/>
          <w:rtl/>
          <w:lang w:bidi="ar-EG"/>
        </w:rPr>
        <w:t>و</w:t>
      </w:r>
      <w:r w:rsidRPr="00375EB0">
        <w:rPr>
          <w:rFonts w:ascii="Simplified Arabic" w:eastAsia="Calibri" w:hAnsi="Simplified Arabic" w:cs="Simplified Arabic"/>
          <w:sz w:val="28"/>
          <w:szCs w:val="28"/>
          <w:rtl/>
          <w:lang w:bidi="ar-EG"/>
        </w:rPr>
        <w:t>الحاصلين علي مؤهلات جامعية فأعلي.</w:t>
      </w:r>
    </w:p>
    <w:p w:rsidR="00B917B2" w:rsidRPr="00375EB0" w:rsidRDefault="00B917B2" w:rsidP="00616254">
      <w:pPr>
        <w:pStyle w:val="ListParagraph"/>
        <w:numPr>
          <w:ilvl w:val="0"/>
          <w:numId w:val="28"/>
        </w:numPr>
        <w:spacing w:after="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ترتفع </w:t>
      </w:r>
      <w:r w:rsidRPr="00375EB0">
        <w:rPr>
          <w:rFonts w:ascii="Simplified Arabic" w:eastAsia="Calibri" w:hAnsi="Simplified Arabic" w:cs="Simplified Arabic" w:hint="cs"/>
          <w:sz w:val="28"/>
          <w:szCs w:val="28"/>
          <w:rtl/>
          <w:lang w:bidi="ar-EG"/>
        </w:rPr>
        <w:t xml:space="preserve">نسب البطالة </w:t>
      </w:r>
      <w:r w:rsidRPr="00375EB0">
        <w:rPr>
          <w:rFonts w:ascii="Simplified Arabic" w:eastAsia="Calibri" w:hAnsi="Simplified Arabic" w:cs="Simplified Arabic"/>
          <w:sz w:val="28"/>
          <w:szCs w:val="28"/>
          <w:rtl/>
          <w:lang w:bidi="ar-EG"/>
        </w:rPr>
        <w:t>بين الحاصلين علي مؤهلات متوسطة فنية من 42,2٪ عام 2010 إلى 47,6٪ عام 2017.</w:t>
      </w:r>
    </w:p>
    <w:p w:rsidR="00B917B2" w:rsidRPr="00375EB0" w:rsidRDefault="00B917B2" w:rsidP="00616254">
      <w:pPr>
        <w:pStyle w:val="ListParagraph"/>
        <w:numPr>
          <w:ilvl w:val="0"/>
          <w:numId w:val="28"/>
        </w:numPr>
        <w:spacing w:after="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بينما تنخفض نسب البطالة بين الحاصلين على مؤهل جامعي فأعلي بمقدار 5,7 نقطة مئوية لتصل من 39,7٪ عام 2010 إلى 34٪ عام 2017، دالاً ذالك علي اتجاه سوق العمل لاستيعاب الحاصلين علي مؤهلات جامعية فأعلي مقابل الحاصلين علي مؤهل فني متوسط.</w:t>
      </w:r>
    </w:p>
    <w:p w:rsidR="00B917B2" w:rsidRPr="00375EB0" w:rsidRDefault="00B917B2" w:rsidP="00616254">
      <w:pPr>
        <w:pStyle w:val="ListParagraph"/>
        <w:numPr>
          <w:ilvl w:val="0"/>
          <w:numId w:val="28"/>
        </w:numPr>
        <w:spacing w:after="12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أقل نسب للبطالة للحاصلين على مؤهل متوسط عام (ثانوية عامة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و ثانوية ازهرية) ربما لقلة عددهم أو ل</w:t>
      </w:r>
      <w:r w:rsidRPr="00375EB0">
        <w:rPr>
          <w:rFonts w:ascii="Simplified Arabic" w:eastAsia="Calibri" w:hAnsi="Simplified Arabic" w:cs="Simplified Arabic" w:hint="cs"/>
          <w:sz w:val="28"/>
          <w:szCs w:val="28"/>
          <w:rtl/>
          <w:lang w:bidi="ar-EG"/>
        </w:rPr>
        <w:t>ق</w:t>
      </w:r>
      <w:r w:rsidRPr="00375EB0">
        <w:rPr>
          <w:rFonts w:ascii="Simplified Arabic" w:eastAsia="Calibri" w:hAnsi="Simplified Arabic" w:cs="Simplified Arabic"/>
          <w:sz w:val="28"/>
          <w:szCs w:val="28"/>
          <w:rtl/>
          <w:lang w:bidi="ar-EG"/>
        </w:rPr>
        <w:t>بولهم العمل عند مستويات معقولة من ال</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 xml:space="preserve">جور، كما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 xml:space="preserve">نها تأخذ </w:t>
      </w:r>
      <w:r w:rsidRPr="00375EB0">
        <w:rPr>
          <w:rFonts w:ascii="Simplified Arabic" w:eastAsia="Calibri" w:hAnsi="Simplified Arabic" w:cs="Simplified Arabic"/>
          <w:sz w:val="28"/>
          <w:szCs w:val="28"/>
          <w:rtl/>
          <w:lang w:bidi="ar-EG"/>
        </w:rPr>
        <w:lastRenderedPageBreak/>
        <w:t>اتجاهاً متناقصاً طوال فترة الدراسة لتصل من 2,2 ٪ عام 2010 إلي 0,6 ٪ عام 2017.</w:t>
      </w:r>
    </w:p>
    <w:p w:rsidR="00B917B2" w:rsidRPr="00375EB0" w:rsidRDefault="00B917B2" w:rsidP="00E1563B">
      <w:pPr>
        <w:bidi/>
        <w:spacing w:after="0" w:line="240" w:lineRule="auto"/>
        <w:jc w:val="center"/>
        <w:rPr>
          <w:rFonts w:ascii="Simplified Arabic" w:eastAsia="Calibri" w:hAnsi="Simplified Arabic" w:cs="Simplified Arabic"/>
          <w:b/>
          <w:bCs/>
          <w:lang w:val="en-US" w:bidi="ar-EG"/>
        </w:rPr>
      </w:pPr>
      <w:r w:rsidRPr="00375EB0">
        <w:rPr>
          <w:rFonts w:ascii="Simplified Arabic" w:eastAsia="Calibri" w:hAnsi="Simplified Arabic" w:cs="Simplified Arabic"/>
          <w:b/>
          <w:bCs/>
          <w:rtl/>
          <w:lang w:val="en-US" w:bidi="ar-EG"/>
        </w:rPr>
        <w:t>جدول (2-18) نسبة البطالة بين الحاصلين علي مؤهلات متوسطة حتي الجامعي فأعلي خلال فترة الدراسة</w:t>
      </w:r>
    </w:p>
    <w:tbl>
      <w:tblPr>
        <w:tblStyle w:val="TableGrid"/>
        <w:bidiVisual/>
        <w:tblW w:w="8267" w:type="dxa"/>
        <w:jc w:val="center"/>
        <w:tblLook w:val="04A0" w:firstRow="1" w:lastRow="0" w:firstColumn="1" w:lastColumn="0" w:noHBand="0" w:noVBand="1"/>
      </w:tblPr>
      <w:tblGrid>
        <w:gridCol w:w="1932"/>
        <w:gridCol w:w="851"/>
        <w:gridCol w:w="756"/>
        <w:gridCol w:w="863"/>
        <w:gridCol w:w="756"/>
        <w:gridCol w:w="756"/>
        <w:gridCol w:w="756"/>
        <w:gridCol w:w="756"/>
        <w:gridCol w:w="841"/>
      </w:tblGrid>
      <w:tr w:rsidR="00B917B2" w:rsidRPr="00E1563B" w:rsidTr="00E1563B">
        <w:trPr>
          <w:trHeight w:hRule="exact" w:val="340"/>
          <w:jc w:val="center"/>
        </w:trPr>
        <w:tc>
          <w:tcPr>
            <w:tcW w:w="1932"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rtl/>
              </w:rPr>
              <w:t>الحالة التعليمية</w:t>
            </w:r>
          </w:p>
        </w:tc>
        <w:tc>
          <w:tcPr>
            <w:tcW w:w="851"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lang w:bidi="ar-EG"/>
              </w:rPr>
              <w:t>2010</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lang w:bidi="ar-EG"/>
              </w:rPr>
              <w:t>2011</w:t>
            </w:r>
          </w:p>
        </w:tc>
        <w:tc>
          <w:tcPr>
            <w:tcW w:w="863"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lang w:bidi="ar-EG"/>
              </w:rPr>
              <w:t>2012</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lang w:bidi="ar-EG"/>
              </w:rPr>
              <w:t>2013</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lang w:bidi="ar-EG"/>
              </w:rPr>
              <w:t>2014</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lang w:bidi="ar-EG"/>
              </w:rPr>
              <w:t>2015</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lang w:bidi="ar-EG"/>
              </w:rPr>
              <w:t>2016</w:t>
            </w:r>
          </w:p>
        </w:tc>
        <w:tc>
          <w:tcPr>
            <w:tcW w:w="841" w:type="dxa"/>
            <w:noWrap/>
            <w:vAlign w:val="center"/>
            <w:hideMark/>
          </w:tcPr>
          <w:p w:rsidR="00B917B2" w:rsidRPr="00E1563B" w:rsidRDefault="00B917B2" w:rsidP="00E1563B">
            <w:pPr>
              <w:bidi/>
              <w:spacing w:after="0"/>
              <w:jc w:val="both"/>
              <w:rPr>
                <w:rFonts w:ascii="Simplified Arabic" w:eastAsia="Calibri" w:hAnsi="Simplified Arabic" w:cs="Simplified Arabic"/>
                <w:b/>
                <w:bCs/>
                <w:lang w:bidi="ar-EG"/>
              </w:rPr>
            </w:pPr>
            <w:r w:rsidRPr="00E1563B">
              <w:rPr>
                <w:rFonts w:ascii="Simplified Arabic" w:eastAsia="Calibri" w:hAnsi="Simplified Arabic" w:cs="Simplified Arabic"/>
                <w:b/>
                <w:bCs/>
                <w:lang w:bidi="ar-EG"/>
              </w:rPr>
              <w:t>2017</w:t>
            </w:r>
          </w:p>
        </w:tc>
      </w:tr>
      <w:tr w:rsidR="00B917B2" w:rsidRPr="00E1563B" w:rsidTr="00E1563B">
        <w:trPr>
          <w:trHeight w:hRule="exact" w:val="737"/>
          <w:jc w:val="center"/>
        </w:trPr>
        <w:tc>
          <w:tcPr>
            <w:tcW w:w="1932"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rtl/>
              </w:rPr>
              <w:t>ثانوية عامة وثانوية أزهرية</w:t>
            </w:r>
          </w:p>
        </w:tc>
        <w:tc>
          <w:tcPr>
            <w:tcW w:w="85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2,2</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2,1</w:t>
            </w:r>
          </w:p>
        </w:tc>
        <w:tc>
          <w:tcPr>
            <w:tcW w:w="863"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2,1</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1,6</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1,7</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1,5</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1,4</w:t>
            </w:r>
          </w:p>
        </w:tc>
        <w:tc>
          <w:tcPr>
            <w:tcW w:w="84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0,6</w:t>
            </w:r>
          </w:p>
        </w:tc>
      </w:tr>
      <w:tr w:rsidR="00B917B2" w:rsidRPr="00E1563B" w:rsidTr="00E1563B">
        <w:trPr>
          <w:trHeight w:hRule="exact" w:val="737"/>
          <w:jc w:val="center"/>
        </w:trPr>
        <w:tc>
          <w:tcPr>
            <w:tcW w:w="1932"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rtl/>
              </w:rPr>
              <w:t>مؤهل متوسط فنى</w:t>
            </w:r>
          </w:p>
        </w:tc>
        <w:tc>
          <w:tcPr>
            <w:tcW w:w="85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42,2</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41,8</w:t>
            </w:r>
          </w:p>
        </w:tc>
        <w:tc>
          <w:tcPr>
            <w:tcW w:w="863"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44,4</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41,0</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39,7</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43,6</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44,0</w:t>
            </w:r>
          </w:p>
        </w:tc>
        <w:tc>
          <w:tcPr>
            <w:tcW w:w="84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47,6</w:t>
            </w:r>
          </w:p>
        </w:tc>
      </w:tr>
      <w:tr w:rsidR="00B917B2" w:rsidRPr="00E1563B" w:rsidTr="00E1563B">
        <w:trPr>
          <w:trHeight w:hRule="exact" w:val="737"/>
          <w:jc w:val="center"/>
        </w:trPr>
        <w:tc>
          <w:tcPr>
            <w:tcW w:w="1932"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rtl/>
              </w:rPr>
              <w:t>مؤهــــل فوق المتوسط وأقل من الجامعى</w:t>
            </w:r>
          </w:p>
        </w:tc>
        <w:tc>
          <w:tcPr>
            <w:tcW w:w="85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8,8</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6,1</w:t>
            </w:r>
          </w:p>
        </w:tc>
        <w:tc>
          <w:tcPr>
            <w:tcW w:w="863"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5,3</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4,5</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3,8</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4,7</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4,7</w:t>
            </w:r>
          </w:p>
        </w:tc>
        <w:tc>
          <w:tcPr>
            <w:tcW w:w="84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4,2</w:t>
            </w:r>
          </w:p>
        </w:tc>
      </w:tr>
      <w:tr w:rsidR="00B917B2" w:rsidRPr="00E1563B" w:rsidTr="00E1563B">
        <w:trPr>
          <w:trHeight w:hRule="exact" w:val="737"/>
          <w:jc w:val="center"/>
        </w:trPr>
        <w:tc>
          <w:tcPr>
            <w:tcW w:w="1932"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rtl/>
              </w:rPr>
              <w:t>مؤهل جامعى ومؤهل فــوق الجامعى</w:t>
            </w:r>
          </w:p>
        </w:tc>
        <w:tc>
          <w:tcPr>
            <w:tcW w:w="85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39,7</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32,1</w:t>
            </w:r>
          </w:p>
        </w:tc>
        <w:tc>
          <w:tcPr>
            <w:tcW w:w="863"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33,2</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31,1</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27,9</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31,8</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31,4</w:t>
            </w:r>
          </w:p>
        </w:tc>
        <w:tc>
          <w:tcPr>
            <w:tcW w:w="84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34,0</w:t>
            </w:r>
          </w:p>
        </w:tc>
      </w:tr>
      <w:tr w:rsidR="00B917B2" w:rsidRPr="00E1563B" w:rsidTr="00E1563B">
        <w:trPr>
          <w:trHeight w:hRule="exact" w:val="737"/>
          <w:jc w:val="center"/>
        </w:trPr>
        <w:tc>
          <w:tcPr>
            <w:tcW w:w="1932"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rtl/>
              </w:rPr>
              <w:t>النسبة العامة للبطالة لاجمإلي الجمهورية</w:t>
            </w:r>
          </w:p>
        </w:tc>
        <w:tc>
          <w:tcPr>
            <w:tcW w:w="85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9,0</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12,0</w:t>
            </w:r>
          </w:p>
        </w:tc>
        <w:tc>
          <w:tcPr>
            <w:tcW w:w="863"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12,7</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13,2</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13,0</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12,8</w:t>
            </w:r>
          </w:p>
        </w:tc>
        <w:tc>
          <w:tcPr>
            <w:tcW w:w="756"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12,5</w:t>
            </w:r>
          </w:p>
        </w:tc>
        <w:tc>
          <w:tcPr>
            <w:tcW w:w="841" w:type="dxa"/>
            <w:noWrap/>
            <w:vAlign w:val="center"/>
            <w:hideMark/>
          </w:tcPr>
          <w:p w:rsidR="00B917B2" w:rsidRPr="00E1563B" w:rsidRDefault="00B917B2" w:rsidP="00E1563B">
            <w:pPr>
              <w:bidi/>
              <w:spacing w:after="0"/>
              <w:jc w:val="both"/>
              <w:rPr>
                <w:rFonts w:ascii="Simplified Arabic" w:eastAsia="Calibri" w:hAnsi="Simplified Arabic" w:cs="Simplified Arabic"/>
                <w:b/>
                <w:bCs/>
                <w:sz w:val="20"/>
                <w:szCs w:val="20"/>
                <w:lang w:bidi="ar-EG"/>
              </w:rPr>
            </w:pPr>
            <w:r w:rsidRPr="00E1563B">
              <w:rPr>
                <w:rFonts w:ascii="Simplified Arabic" w:eastAsia="Calibri" w:hAnsi="Simplified Arabic" w:cs="Simplified Arabic"/>
                <w:b/>
                <w:bCs/>
                <w:sz w:val="20"/>
                <w:szCs w:val="20"/>
                <w:lang w:bidi="ar-EG"/>
              </w:rPr>
              <w:t>11,8</w:t>
            </w:r>
          </w:p>
        </w:tc>
      </w:tr>
    </w:tbl>
    <w:p w:rsidR="00B917B2" w:rsidRPr="00375EB0" w:rsidRDefault="00B917B2" w:rsidP="00E1563B">
      <w:pPr>
        <w:bidi/>
        <w:spacing w:after="0" w:line="240" w:lineRule="auto"/>
        <w:contextualSpacing/>
        <w:rPr>
          <w:rFonts w:ascii="Simplified Arabic" w:eastAsia="Times New Roman" w:hAnsi="Simplified Arabic" w:cs="Simplified Arabic"/>
          <w:b/>
          <w:bCs/>
          <w:noProof/>
          <w:rtl/>
          <w:lang w:val="en-US"/>
        </w:rPr>
      </w:pPr>
      <w:r w:rsidRPr="00375EB0">
        <w:rPr>
          <w:rFonts w:ascii="Simplified Arabic" w:eastAsia="Times New Roman" w:hAnsi="Simplified Arabic" w:cs="Simplified Arabic"/>
          <w:b/>
          <w:bCs/>
          <w:noProof/>
          <w:rtl/>
          <w:lang w:val="en-US"/>
        </w:rPr>
        <w:t xml:space="preserve">المصدر: </w:t>
      </w:r>
      <w:r w:rsidRPr="00375EB0">
        <w:rPr>
          <w:rFonts w:ascii="Simplified Arabic" w:eastAsia="Times New Roman" w:hAnsi="Simplified Arabic" w:cs="Simplified Arabic"/>
          <w:noProof/>
          <w:rtl/>
          <w:lang w:val="en-US"/>
        </w:rPr>
        <w:t>الجهاز المركزي للتعبئة العامة والاحصاء، بحث القوى العاملة للفترة (2010 – 2017)</w:t>
      </w:r>
      <w:r w:rsidRPr="00375EB0">
        <w:rPr>
          <w:rFonts w:ascii="Simplified Arabic" w:eastAsia="Times New Roman" w:hAnsi="Simplified Arabic" w:cs="Simplified Arabic" w:hint="cs"/>
          <w:noProof/>
          <w:rtl/>
          <w:lang w:val="en-US"/>
        </w:rPr>
        <w:t>.</w:t>
      </w:r>
    </w:p>
    <w:p w:rsidR="00B917B2" w:rsidRPr="00375EB0" w:rsidRDefault="00B917B2" w:rsidP="00B917B2">
      <w:pPr>
        <w:bidi/>
        <w:spacing w:after="0" w:line="240" w:lineRule="auto"/>
        <w:contextualSpacing/>
        <w:rPr>
          <w:rFonts w:ascii="Simplified Arabic" w:eastAsia="Times New Roman" w:hAnsi="Simplified Arabic" w:cs="Simplified Arabic"/>
          <w:noProof/>
          <w:sz w:val="10"/>
          <w:szCs w:val="10"/>
          <w:rtl/>
          <w:lang w:val="en-US"/>
        </w:rPr>
      </w:pPr>
    </w:p>
    <w:p w:rsidR="00B917B2" w:rsidRPr="00375EB0" w:rsidRDefault="00B917B2" w:rsidP="00B917B2">
      <w:pPr>
        <w:bidi/>
        <w:spacing w:after="0" w:line="240" w:lineRule="auto"/>
        <w:contextualSpacing/>
        <w:jc w:val="center"/>
        <w:rPr>
          <w:rFonts w:ascii="Simplified Arabic" w:eastAsia="Times New Roman" w:hAnsi="Simplified Arabic" w:cs="Simplified Arabic"/>
          <w:b/>
          <w:bCs/>
          <w:noProof/>
          <w:rtl/>
          <w:lang w:val="en-US"/>
        </w:rPr>
      </w:pPr>
      <w:r w:rsidRPr="00375EB0">
        <w:rPr>
          <w:rFonts w:ascii="Simplified Arabic" w:eastAsia="Times New Roman" w:hAnsi="Simplified Arabic" w:cs="Simplified Arabic"/>
          <w:b/>
          <w:bCs/>
          <w:noProof/>
          <w:rtl/>
          <w:lang w:val="en-US"/>
        </w:rPr>
        <w:t>شكل (2-13) تطور البطالة بين المتعلمين خلال فترة الدراسة (2010 – 2017)</w:t>
      </w:r>
    </w:p>
    <w:p w:rsidR="00B917B2" w:rsidRPr="00375EB0" w:rsidRDefault="00B917B2" w:rsidP="00B917B2">
      <w:pPr>
        <w:bidi/>
        <w:spacing w:before="120" w:after="0" w:line="240" w:lineRule="auto"/>
        <w:contextualSpacing/>
        <w:jc w:val="center"/>
        <w:rPr>
          <w:rFonts w:ascii="Simplified Arabic" w:eastAsia="Times New Roman" w:hAnsi="Simplified Arabic" w:cs="Simplified Arabic"/>
          <w:b/>
          <w:bCs/>
          <w:noProof/>
          <w:sz w:val="24"/>
          <w:szCs w:val="24"/>
          <w:lang w:val="en-US"/>
        </w:rPr>
      </w:pPr>
      <w:r w:rsidRPr="00375EB0">
        <w:rPr>
          <w:rFonts w:ascii="Simplified Arabic" w:hAnsi="Simplified Arabic" w:cs="Simplified Arabic"/>
          <w:noProof/>
          <w:lang w:val="en-US"/>
        </w:rPr>
        <w:drawing>
          <wp:inline distT="0" distB="0" distL="0" distR="0" wp14:anchorId="62745C57" wp14:editId="25076015">
            <wp:extent cx="4572000" cy="1759226"/>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917B2" w:rsidRPr="00375EB0" w:rsidRDefault="00B917B2" w:rsidP="00B917B2">
      <w:pPr>
        <w:bidi/>
        <w:spacing w:before="120" w:after="0" w:line="240" w:lineRule="auto"/>
        <w:ind w:left="2"/>
        <w:contextualSpacing/>
        <w:jc w:val="both"/>
        <w:rPr>
          <w:rFonts w:ascii="Simplified Arabic" w:eastAsia="Calibri" w:hAnsi="Simplified Arabic" w:cs="Simplified Arabic"/>
          <w:b/>
          <w:bCs/>
          <w:rtl/>
          <w:lang w:val="en-US"/>
        </w:rPr>
      </w:pPr>
      <w:r w:rsidRPr="00375EB0">
        <w:rPr>
          <w:rFonts w:ascii="Simplified Arabic" w:eastAsia="Calibri" w:hAnsi="Simplified Arabic" w:cs="Simplified Arabic"/>
          <w:b/>
          <w:bCs/>
          <w:rtl/>
          <w:lang w:val="en-US"/>
        </w:rPr>
        <w:t xml:space="preserve">المصدر: </w:t>
      </w:r>
      <w:r w:rsidRPr="00375EB0">
        <w:rPr>
          <w:rFonts w:ascii="Simplified Arabic" w:eastAsia="Calibri" w:hAnsi="Simplified Arabic" w:cs="Simplified Arabic"/>
          <w:rtl/>
          <w:lang w:val="en-US"/>
        </w:rPr>
        <w:t>الجهاز المركزي للتعبئة العامة والاحصاء، بحث القوى العاملة للفترة (2010 – 2017)</w:t>
      </w:r>
      <w:r w:rsidRPr="00375EB0">
        <w:rPr>
          <w:rFonts w:ascii="Simplified Arabic" w:eastAsia="Calibri" w:hAnsi="Simplified Arabic" w:cs="Simplified Arabic" w:hint="cs"/>
          <w:rtl/>
          <w:lang w:val="en-US"/>
        </w:rPr>
        <w:t>.</w:t>
      </w:r>
    </w:p>
    <w:p w:rsidR="00B917B2" w:rsidRPr="00375EB0" w:rsidRDefault="00B917B2" w:rsidP="00616254">
      <w:pPr>
        <w:pStyle w:val="ListParagraph"/>
        <w:numPr>
          <w:ilvl w:val="0"/>
          <w:numId w:val="29"/>
        </w:numPr>
        <w:spacing w:before="120" w:after="0" w:line="240" w:lineRule="auto"/>
        <w:ind w:left="360"/>
        <w:jc w:val="both"/>
        <w:rPr>
          <w:rFonts w:ascii="Simplified Arabic" w:eastAsia="Calibri" w:hAnsi="Simplified Arabic" w:cs="Simplified Arabic"/>
          <w:b/>
          <w:bCs/>
          <w:sz w:val="30"/>
          <w:szCs w:val="30"/>
          <w:u w:val="single"/>
          <w:rtl/>
        </w:rPr>
      </w:pPr>
      <w:r w:rsidRPr="00375EB0">
        <w:rPr>
          <w:rFonts w:ascii="Simplified Arabic" w:eastAsia="Calibri" w:hAnsi="Simplified Arabic" w:cs="Simplified Arabic"/>
          <w:b/>
          <w:bCs/>
          <w:sz w:val="30"/>
          <w:szCs w:val="30"/>
          <w:u w:val="single"/>
          <w:rtl/>
        </w:rPr>
        <w:t>نسبة البطالة وفقا للفئات العمرية</w:t>
      </w:r>
      <w:r w:rsidRPr="00375EB0">
        <w:rPr>
          <w:rFonts w:ascii="Simplified Arabic" w:eastAsia="Calibri" w:hAnsi="Simplified Arabic" w:cs="Simplified Arabic"/>
          <w:b/>
          <w:bCs/>
          <w:sz w:val="30"/>
          <w:szCs w:val="30"/>
          <w:rtl/>
        </w:rPr>
        <w:t>:</w:t>
      </w:r>
    </w:p>
    <w:p w:rsidR="00B917B2" w:rsidRPr="00375EB0" w:rsidRDefault="00B917B2" w:rsidP="00B917B2">
      <w:pPr>
        <w:bidi/>
        <w:spacing w:after="0" w:line="240" w:lineRule="auto"/>
        <w:ind w:left="170"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sz w:val="28"/>
          <w:szCs w:val="28"/>
          <w:rtl/>
          <w:lang w:val="en-US" w:bidi="ar-EG"/>
        </w:rPr>
        <w:t>يعرض جدول (2-19)، شكل (2-14) نسبة البطالة وتطورها وفقا للفئة العمرية والنوع خلال سنوات الدراسة، ويلاحظ من الجدول:</w:t>
      </w:r>
    </w:p>
    <w:p w:rsidR="00B917B2" w:rsidRPr="00375EB0" w:rsidRDefault="00B917B2" w:rsidP="00616254">
      <w:pPr>
        <w:pStyle w:val="ListParagraph"/>
        <w:numPr>
          <w:ilvl w:val="0"/>
          <w:numId w:val="30"/>
        </w:numPr>
        <w:spacing w:after="12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ان الفئات العمــــرية الثلاث الأولي من الجدول والتي تحوي خريجي النظام التعليمي سجلت أعلى نسبة بطالة خلال فترة الدراسة.</w:t>
      </w:r>
    </w:p>
    <w:p w:rsidR="00B917B2" w:rsidRPr="00375EB0" w:rsidRDefault="00B917B2" w:rsidP="00616254">
      <w:pPr>
        <w:pStyle w:val="ListParagraph"/>
        <w:numPr>
          <w:ilvl w:val="0"/>
          <w:numId w:val="30"/>
        </w:numPr>
        <w:spacing w:after="12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lastRenderedPageBreak/>
        <w:t>سجلت الفئة العمرية (20 – 29 عاماً) وهي الفئة التي تشمل خريج التعليم العالي أعلي نسبة بطالة علي مدار سنوات الدراسة، و</w:t>
      </w:r>
      <w:r w:rsidRPr="00375EB0">
        <w:rPr>
          <w:rFonts w:ascii="Simplified Arabic" w:eastAsia="Calibri" w:hAnsi="Simplified Arabic" w:cs="Simplified Arabic" w:hint="cs"/>
          <w:sz w:val="28"/>
          <w:szCs w:val="28"/>
          <w:rtl/>
          <w:lang w:bidi="ar-EG"/>
        </w:rPr>
        <w:t>إ</w:t>
      </w:r>
      <w:r w:rsidRPr="00375EB0">
        <w:rPr>
          <w:rFonts w:ascii="Simplified Arabic" w:eastAsia="Calibri" w:hAnsi="Simplified Arabic" w:cs="Simplified Arabic"/>
          <w:sz w:val="28"/>
          <w:szCs w:val="28"/>
          <w:rtl/>
          <w:lang w:bidi="ar-EG"/>
        </w:rPr>
        <w:t>ن كانت قد تناقصت بين بداية الفترة ونهايتها من 71,3٪ عام 2010 لتبلغ 52,6٪ في نهاية فترة الدراسة عام 2017.</w:t>
      </w:r>
    </w:p>
    <w:p w:rsidR="00B917B2" w:rsidRPr="00375EB0" w:rsidRDefault="00B917B2" w:rsidP="00616254">
      <w:pPr>
        <w:pStyle w:val="ListParagraph"/>
        <w:numPr>
          <w:ilvl w:val="0"/>
          <w:numId w:val="30"/>
        </w:numPr>
        <w:spacing w:after="0" w:line="240" w:lineRule="auto"/>
        <w:ind w:left="538" w:hanging="368"/>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تبدأ نسبة البطالة في الانخفاض بشكل ملحوظ بين بداية فترة الدراسة ونهايتها علي الرغم من تذبذبها بين الارتفاع والانخفاض خلال الفترة، بدايةً من الفئة العمرية (30 – 40 سنة) وما بعدها </w:t>
      </w:r>
      <w:r w:rsidRPr="00375EB0">
        <w:rPr>
          <w:rFonts w:ascii="Simplified Arabic" w:eastAsia="Calibri" w:hAnsi="Simplified Arabic" w:cs="Simplified Arabic" w:hint="cs"/>
          <w:sz w:val="28"/>
          <w:szCs w:val="28"/>
          <w:rtl/>
          <w:lang w:bidi="ar-EG"/>
        </w:rPr>
        <w:t>ربما لإ</w:t>
      </w:r>
      <w:r w:rsidRPr="00375EB0">
        <w:rPr>
          <w:rFonts w:ascii="Simplified Arabic" w:eastAsia="Calibri" w:hAnsi="Simplified Arabic" w:cs="Simplified Arabic"/>
          <w:sz w:val="28"/>
          <w:szCs w:val="28"/>
          <w:rtl/>
          <w:lang w:bidi="ar-EG"/>
        </w:rPr>
        <w:t>ستقر</w:t>
      </w:r>
      <w:r w:rsidRPr="00375EB0">
        <w:rPr>
          <w:rFonts w:ascii="Simplified Arabic" w:eastAsia="Calibri" w:hAnsi="Simplified Arabic" w:cs="Simplified Arabic" w:hint="cs"/>
          <w:sz w:val="28"/>
          <w:szCs w:val="28"/>
          <w:rtl/>
          <w:lang w:bidi="ar-EG"/>
        </w:rPr>
        <w:t>ار</w:t>
      </w:r>
      <w:r w:rsidRPr="00375EB0">
        <w:rPr>
          <w:rFonts w:ascii="Simplified Arabic" w:eastAsia="Calibri" w:hAnsi="Simplified Arabic" w:cs="Simplified Arabic"/>
          <w:sz w:val="28"/>
          <w:szCs w:val="28"/>
          <w:rtl/>
          <w:lang w:bidi="ar-EG"/>
        </w:rPr>
        <w:t xml:space="preserve"> معظم الخريجين في عمله</w:t>
      </w:r>
      <w:r w:rsidRPr="00375EB0">
        <w:rPr>
          <w:rFonts w:ascii="Simplified Arabic" w:eastAsia="Calibri" w:hAnsi="Simplified Arabic" w:cs="Simplified Arabic" w:hint="cs"/>
          <w:sz w:val="28"/>
          <w:szCs w:val="28"/>
          <w:rtl/>
          <w:lang w:bidi="ar-EG"/>
        </w:rPr>
        <w:t>م</w:t>
      </w:r>
      <w:r w:rsidRPr="00375EB0">
        <w:rPr>
          <w:rFonts w:ascii="Simplified Arabic" w:eastAsia="Calibri" w:hAnsi="Simplified Arabic" w:cs="Simplified Arabic"/>
          <w:sz w:val="28"/>
          <w:szCs w:val="28"/>
          <w:rtl/>
          <w:lang w:bidi="ar-EG"/>
        </w:rPr>
        <w:t xml:space="preserve"> وحياته</w:t>
      </w:r>
      <w:r w:rsidRPr="00375EB0">
        <w:rPr>
          <w:rFonts w:ascii="Simplified Arabic" w:eastAsia="Calibri" w:hAnsi="Simplified Arabic" w:cs="Simplified Arabic" w:hint="cs"/>
          <w:sz w:val="28"/>
          <w:szCs w:val="28"/>
          <w:rtl/>
          <w:lang w:bidi="ar-EG"/>
        </w:rPr>
        <w:t>م في هذه الفئات العمرية</w:t>
      </w:r>
      <w:r w:rsidRPr="00375EB0">
        <w:rPr>
          <w:rFonts w:ascii="Simplified Arabic" w:eastAsia="Calibri" w:hAnsi="Simplified Arabic" w:cs="Simplified Arabic"/>
          <w:sz w:val="28"/>
          <w:szCs w:val="28"/>
          <w:rtl/>
          <w:lang w:bidi="ar-EG"/>
        </w:rPr>
        <w:t>.</w:t>
      </w:r>
    </w:p>
    <w:p w:rsidR="00B917B2" w:rsidRPr="00375EB0" w:rsidRDefault="00B917B2" w:rsidP="00B917B2">
      <w:pPr>
        <w:bidi/>
        <w:spacing w:before="120" w:after="0" w:line="240" w:lineRule="auto"/>
        <w:jc w:val="center"/>
        <w:rPr>
          <w:rFonts w:ascii="Simplified Arabic" w:eastAsia="Calibri" w:hAnsi="Simplified Arabic" w:cs="Simplified Arabic"/>
          <w:lang w:val="en-US" w:bidi="ar-EG"/>
        </w:rPr>
      </w:pPr>
      <w:r w:rsidRPr="00375EB0">
        <w:rPr>
          <w:rFonts w:ascii="Simplified Arabic" w:eastAsia="Calibri" w:hAnsi="Simplified Arabic" w:cs="Simplified Arabic"/>
          <w:b/>
          <w:bCs/>
          <w:rtl/>
          <w:lang w:val="en-US" w:bidi="ar-EG"/>
        </w:rPr>
        <w:t>جدول (2-19): نسبة البطالة وفقا لفئات السن خلال فترة الدراسة (2010 -  2017)</w:t>
      </w:r>
    </w:p>
    <w:tbl>
      <w:tblPr>
        <w:bidiVisual/>
        <w:tblW w:w="7791" w:type="dxa"/>
        <w:jc w:val="center"/>
        <w:tblLook w:val="04A0" w:firstRow="1" w:lastRow="0" w:firstColumn="1" w:lastColumn="0" w:noHBand="0" w:noVBand="1"/>
      </w:tblPr>
      <w:tblGrid>
        <w:gridCol w:w="1711"/>
        <w:gridCol w:w="760"/>
        <w:gridCol w:w="760"/>
        <w:gridCol w:w="760"/>
        <w:gridCol w:w="760"/>
        <w:gridCol w:w="760"/>
        <w:gridCol w:w="760"/>
        <w:gridCol w:w="760"/>
        <w:gridCol w:w="760"/>
      </w:tblGrid>
      <w:tr w:rsidR="00B917B2" w:rsidRPr="00375EB0" w:rsidTr="00B917B2">
        <w:trPr>
          <w:trHeight w:val="170"/>
          <w:jc w:val="center"/>
        </w:trPr>
        <w:tc>
          <w:tcPr>
            <w:tcW w:w="1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فئات العمر</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2010</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2011</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2012</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2013</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2014</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2015</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2016</w:t>
            </w:r>
          </w:p>
        </w:tc>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2017</w:t>
            </w:r>
          </w:p>
        </w:tc>
      </w:tr>
      <w:tr w:rsidR="00B917B2" w:rsidRPr="00375EB0" w:rsidTr="00B917B2">
        <w:trPr>
          <w:trHeight w:val="170"/>
          <w:jc w:val="center"/>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15-19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12,4</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10,0</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11,3</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10,8</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12,4</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23,0</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21,5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18,2</w:t>
            </w:r>
          </w:p>
        </w:tc>
      </w:tr>
      <w:tr w:rsidR="00B917B2" w:rsidRPr="00375EB0" w:rsidTr="00B917B2">
        <w:trPr>
          <w:trHeight w:val="170"/>
          <w:jc w:val="center"/>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20-29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71,3</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62,9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65,7</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63,2</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54,5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53,8</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53,5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52,6</w:t>
            </w:r>
          </w:p>
        </w:tc>
      </w:tr>
      <w:tr w:rsidR="00B917B2" w:rsidRPr="00375EB0" w:rsidTr="00B917B2">
        <w:trPr>
          <w:trHeight w:val="170"/>
          <w:jc w:val="center"/>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30-39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10,7</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14,5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17,4</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16,5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17,8</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7,6</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7,5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7,1</w:t>
            </w:r>
          </w:p>
        </w:tc>
      </w:tr>
      <w:tr w:rsidR="00B917B2" w:rsidRPr="00375EB0" w:rsidTr="00B917B2">
        <w:trPr>
          <w:trHeight w:val="170"/>
          <w:jc w:val="center"/>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40-49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4,6</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9,9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4,9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6,4</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10,6</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3,0</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2,6</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2,2</w:t>
            </w:r>
          </w:p>
        </w:tc>
      </w:tr>
      <w:tr w:rsidR="00B917B2" w:rsidRPr="00375EB0" w:rsidTr="00B917B2">
        <w:trPr>
          <w:trHeight w:val="170"/>
          <w:jc w:val="center"/>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50-59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0,9</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2,2</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0,7</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3,1</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4,5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1,1</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0,7</w:t>
            </w:r>
          </w:p>
        </w:tc>
      </w:tr>
      <w:tr w:rsidR="00B917B2" w:rsidRPr="00375EB0" w:rsidTr="00B917B2">
        <w:trPr>
          <w:trHeight w:val="170"/>
          <w:jc w:val="center"/>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60-64</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0,1</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0,4</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0,1</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0,0</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0,1</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0,6</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0,7</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0,2</w:t>
            </w:r>
          </w:p>
        </w:tc>
      </w:tr>
      <w:tr w:rsidR="00B917B2" w:rsidRPr="00375EB0" w:rsidTr="00B917B2">
        <w:trPr>
          <w:trHeight w:val="170"/>
          <w:jc w:val="center"/>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نسبة البطالة العامة</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9,0</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12,0</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12,7</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13,2</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13,0</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12,8</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12,5</w:t>
            </w:r>
          </w:p>
        </w:tc>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B917B2" w:rsidRPr="00375EB0" w:rsidRDefault="00B917B2" w:rsidP="00B917B2">
            <w:pPr>
              <w:bidi/>
              <w:spacing w:after="0" w:line="240" w:lineRule="auto"/>
              <w:rPr>
                <w:rFonts w:ascii="Simplified Arabic" w:eastAsia="Times New Roman" w:hAnsi="Simplified Arabic" w:cs="Simplified Arabic"/>
                <w:b/>
                <w:bCs/>
                <w:sz w:val="24"/>
                <w:szCs w:val="24"/>
                <w:lang w:eastAsia="en-GB"/>
              </w:rPr>
            </w:pPr>
            <w:r w:rsidRPr="00375EB0">
              <w:rPr>
                <w:rFonts w:ascii="Simplified Arabic" w:eastAsia="Times New Roman" w:hAnsi="Simplified Arabic" w:cs="Simplified Arabic"/>
                <w:b/>
                <w:bCs/>
                <w:sz w:val="24"/>
                <w:szCs w:val="24"/>
                <w:rtl/>
                <w:lang w:eastAsia="en-GB"/>
              </w:rPr>
              <w:t>11,8</w:t>
            </w:r>
          </w:p>
        </w:tc>
      </w:tr>
    </w:tbl>
    <w:p w:rsidR="00B917B2" w:rsidRPr="00375EB0" w:rsidRDefault="00B917B2" w:rsidP="00B917B2">
      <w:pPr>
        <w:bidi/>
        <w:spacing w:before="60" w:after="120" w:line="240" w:lineRule="auto"/>
        <w:rPr>
          <w:rFonts w:ascii="Simplified Arabic" w:eastAsia="Calibri" w:hAnsi="Simplified Arabic" w:cs="Simplified Arabic"/>
          <w:b/>
          <w:bCs/>
          <w:rtl/>
          <w:lang w:val="en-US"/>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بحث القوى العاملة للفترة (2010 – 2017)</w:t>
      </w:r>
      <w:r w:rsidRPr="00375EB0">
        <w:rPr>
          <w:rFonts w:ascii="Simplified Arabic" w:eastAsia="Calibri" w:hAnsi="Simplified Arabic" w:cs="Simplified Arabic" w:hint="cs"/>
          <w:rtl/>
          <w:lang w:val="en-US" w:bidi="ar-EG"/>
        </w:rPr>
        <w:t>.</w:t>
      </w:r>
    </w:p>
    <w:p w:rsidR="00B917B2" w:rsidRPr="00375EB0" w:rsidRDefault="00B917B2" w:rsidP="00B917B2">
      <w:pPr>
        <w:bidi/>
        <w:spacing w:before="120" w:after="0" w:line="240" w:lineRule="auto"/>
        <w:jc w:val="center"/>
        <w:rPr>
          <w:rFonts w:ascii="Simplified Arabic" w:eastAsia="Calibri" w:hAnsi="Simplified Arabic" w:cs="Simplified Arabic"/>
          <w:b/>
          <w:bCs/>
          <w:rtl/>
          <w:lang w:val="en-US"/>
        </w:rPr>
      </w:pPr>
      <w:r w:rsidRPr="00375EB0">
        <w:rPr>
          <w:rFonts w:ascii="Simplified Arabic" w:eastAsia="Calibri" w:hAnsi="Simplified Arabic" w:cs="Simplified Arabic"/>
          <w:b/>
          <w:bCs/>
          <w:rtl/>
          <w:lang w:val="en-US"/>
        </w:rPr>
        <w:t>شكل (2-14) تطور نسب البطالة حسب الفئات العمرية خلال سنوات الدراسة (2010 – 2017)</w:t>
      </w:r>
    </w:p>
    <w:p w:rsidR="00B917B2" w:rsidRPr="00375EB0" w:rsidRDefault="00B917B2" w:rsidP="00B917B2">
      <w:pPr>
        <w:bidi/>
        <w:spacing w:before="120" w:after="0" w:line="240" w:lineRule="auto"/>
        <w:jc w:val="center"/>
        <w:rPr>
          <w:rFonts w:ascii="Simplified Arabic" w:eastAsia="Calibri" w:hAnsi="Simplified Arabic" w:cs="Simplified Arabic"/>
          <w:b/>
          <w:bCs/>
          <w:sz w:val="26"/>
          <w:szCs w:val="26"/>
          <w:rtl/>
          <w:lang w:val="en-US"/>
        </w:rPr>
      </w:pPr>
      <w:r w:rsidRPr="00375EB0">
        <w:rPr>
          <w:rFonts w:ascii="Simplified Arabic" w:hAnsi="Simplified Arabic" w:cs="Simplified Arabic"/>
          <w:noProof/>
          <w:lang w:val="en-US"/>
        </w:rPr>
        <w:drawing>
          <wp:inline distT="0" distB="0" distL="0" distR="0" wp14:anchorId="26FDBD61" wp14:editId="6F56EB1B">
            <wp:extent cx="5188585" cy="207645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917B2" w:rsidRPr="00375EB0" w:rsidRDefault="00B917B2" w:rsidP="00B917B2">
      <w:pPr>
        <w:bidi/>
        <w:spacing w:before="120" w:after="120" w:line="240" w:lineRule="auto"/>
        <w:jc w:val="both"/>
        <w:rPr>
          <w:rFonts w:ascii="Simplified Arabic" w:eastAsia="Calibri" w:hAnsi="Simplified Arabic" w:cs="Simplified Arabic"/>
          <w:rtl/>
          <w:lang w:val="en-US" w:bidi="ar-EG"/>
        </w:rPr>
      </w:pPr>
      <w:r w:rsidRPr="00375EB0">
        <w:rPr>
          <w:rFonts w:ascii="Simplified Arabic" w:eastAsia="Calibri" w:hAnsi="Simplified Arabic" w:cs="Simplified Arabic"/>
          <w:b/>
          <w:bCs/>
          <w:rtl/>
          <w:lang w:val="en-US" w:bidi="ar-EG"/>
        </w:rPr>
        <w:t xml:space="preserve">المصدر: </w:t>
      </w:r>
      <w:r w:rsidRPr="00375EB0">
        <w:rPr>
          <w:rFonts w:ascii="Simplified Arabic" w:eastAsia="Calibri" w:hAnsi="Simplified Arabic" w:cs="Simplified Arabic"/>
          <w:rtl/>
          <w:lang w:val="en-US" w:bidi="ar-EG"/>
        </w:rPr>
        <w:t>الجهاز المركزي للتعبئة العامة والاحصاء، بحث القوى العاملة للفترة (2010 – 2017)</w:t>
      </w:r>
      <w:r w:rsidRPr="00375EB0">
        <w:rPr>
          <w:rFonts w:ascii="Simplified Arabic" w:eastAsia="Calibri" w:hAnsi="Simplified Arabic" w:cs="Simplified Arabic" w:hint="cs"/>
          <w:rtl/>
          <w:lang w:val="en-US" w:bidi="ar-EG"/>
        </w:rPr>
        <w:t>.</w:t>
      </w:r>
    </w:p>
    <w:p w:rsidR="00B917B2" w:rsidRPr="00375EB0" w:rsidRDefault="00B917B2" w:rsidP="00B917B2">
      <w:pPr>
        <w:bidi/>
        <w:spacing w:after="0"/>
        <w:jc w:val="center"/>
        <w:rPr>
          <w:rFonts w:ascii="Simplified Arabic" w:eastAsia="Calibri" w:hAnsi="Simplified Arabic" w:cs="Simplified Arabic"/>
          <w:b/>
          <w:bCs/>
          <w:sz w:val="32"/>
          <w:szCs w:val="32"/>
          <w:u w:val="single"/>
          <w:rtl/>
          <w:lang w:val="en-US" w:bidi="ar-EG"/>
        </w:rPr>
      </w:pPr>
      <w:r w:rsidRPr="00375EB0">
        <w:rPr>
          <w:rFonts w:ascii="Simplified Arabic" w:eastAsia="Calibri" w:hAnsi="Simplified Arabic" w:cs="Simplified Arabic"/>
          <w:rtl/>
          <w:lang w:val="en-US" w:bidi="ar-EG"/>
        </w:rPr>
        <w:br w:type="page"/>
      </w:r>
      <w:r w:rsidRPr="00375EB0">
        <w:rPr>
          <w:rFonts w:ascii="Simplified Arabic" w:eastAsia="Calibri" w:hAnsi="Simplified Arabic" w:cs="Simplified Arabic" w:hint="cs"/>
          <w:b/>
          <w:bCs/>
          <w:sz w:val="32"/>
          <w:szCs w:val="32"/>
          <w:u w:val="single"/>
          <w:rtl/>
          <w:lang w:val="en-US" w:bidi="ar-EG"/>
        </w:rPr>
        <w:lastRenderedPageBreak/>
        <w:t xml:space="preserve">ملخص الفصل </w:t>
      </w:r>
      <w:r>
        <w:rPr>
          <w:rFonts w:ascii="Simplified Arabic" w:eastAsia="Calibri" w:hAnsi="Simplified Arabic" w:cs="Simplified Arabic" w:hint="cs"/>
          <w:b/>
          <w:bCs/>
          <w:sz w:val="32"/>
          <w:szCs w:val="32"/>
          <w:u w:val="single"/>
          <w:rtl/>
          <w:lang w:val="en-US" w:bidi="ar-EG"/>
        </w:rPr>
        <w:t>الثاني</w:t>
      </w:r>
    </w:p>
    <w:p w:rsidR="00B917B2" w:rsidRPr="00375EB0" w:rsidRDefault="00B917B2" w:rsidP="00B917B2">
      <w:pPr>
        <w:bidi/>
        <w:spacing w:after="0" w:line="240" w:lineRule="auto"/>
        <w:ind w:firstLine="720"/>
        <w:jc w:val="both"/>
        <w:rPr>
          <w:rFonts w:ascii="Simplified Arabic" w:eastAsia="Calibri" w:hAnsi="Simplified Arabic" w:cs="Simplified Arabic"/>
          <w:sz w:val="28"/>
          <w:szCs w:val="28"/>
          <w:rtl/>
          <w:lang w:val="en-US" w:bidi="ar-EG"/>
        </w:rPr>
      </w:pPr>
      <w:r w:rsidRPr="00375EB0">
        <w:rPr>
          <w:rFonts w:ascii="Simplified Arabic" w:eastAsia="Calibri" w:hAnsi="Simplified Arabic" w:cs="Simplified Arabic" w:hint="cs"/>
          <w:sz w:val="28"/>
          <w:szCs w:val="28"/>
          <w:rtl/>
          <w:lang w:val="en-US" w:bidi="ar-EG"/>
        </w:rPr>
        <w:t xml:space="preserve">يتناول الفصل </w:t>
      </w:r>
      <w:r>
        <w:rPr>
          <w:rFonts w:ascii="Simplified Arabic" w:eastAsia="Calibri" w:hAnsi="Simplified Arabic" w:cs="Simplified Arabic" w:hint="cs"/>
          <w:sz w:val="28"/>
          <w:szCs w:val="28"/>
          <w:rtl/>
          <w:lang w:val="en-US" w:bidi="ar-EG"/>
        </w:rPr>
        <w:t>الثاني</w:t>
      </w:r>
      <w:r w:rsidRPr="00375EB0">
        <w:rPr>
          <w:rFonts w:ascii="Simplified Arabic" w:eastAsia="Calibri" w:hAnsi="Simplified Arabic" w:cs="Simplified Arabic" w:hint="cs"/>
          <w:sz w:val="28"/>
          <w:szCs w:val="28"/>
          <w:rtl/>
          <w:lang w:val="en-US" w:bidi="ar-EG"/>
        </w:rPr>
        <w:t xml:space="preserve"> بالدراسة والتحليل الاطار النظري للدراسة من خلال مجموعة من النقاط التى تخدم العرض لمشكلة الدراسة وتوضيح اهميتها، والتي يمكن من خلال النقاط التالية استعراض أهمها:</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بلغ عدد السكان فى مصر حوإلي 94,8 مليون نسمة فى عام 2017 بالإضافة إلى حوإلي 9,5 مليون نسمة يعيشون بالخــارج طبقـا لتقديرات وزارة الخارجية، وبذلك يصل إجمإلي عدد السكان بالداخل والخارج حوإلي 104 مليون نسمة.</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rPr>
        <w:t>زاد عدد سكان مصر</w:t>
      </w:r>
      <w:r w:rsidRPr="00375EB0">
        <w:rPr>
          <w:rFonts w:ascii="Simplified Arabic" w:eastAsia="Calibri" w:hAnsi="Simplified Arabic" w:cs="Simplified Arabic"/>
          <w:sz w:val="28"/>
          <w:szCs w:val="28"/>
          <w:lang w:bidi="ar-EG"/>
        </w:rPr>
        <w:t xml:space="preserve"> </w:t>
      </w:r>
      <w:r w:rsidRPr="00375EB0">
        <w:rPr>
          <w:rFonts w:ascii="Simplified Arabic" w:eastAsia="Calibri" w:hAnsi="Simplified Arabic" w:cs="Simplified Arabic"/>
          <w:sz w:val="28"/>
          <w:szCs w:val="28"/>
          <w:rtl/>
        </w:rPr>
        <w:t>من 80,4 مليون نسمة عام 2010 ليصل إلي 95,2 مليون نسمة منصف عام 2017 بنسبة زيادة بلغت 18,4٪ من إجمالى السكان</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rPr>
        <w:t>ارتفاع عدد السكان من حوإلي 95,2 مليون نسمة عام 2017 إلى 153,7 مليون نسمة عام 2052 بزيادة حوالى 58,2 مليون نسمة خلال الفترة، الأمر الذي يشير إلي الزيادة في أعداد الخريجين مع محدودية فرص العمل مما يترتب عليه زيادة نسبة البطالة بين المتعلمين</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 xml:space="preserve">يتميز الهرم السكاني في مصر بقاعدة عريضة حيث يتميز المجتمع المصري بأنه مجتمع فتي مع تركز كبير للسكان </w:t>
      </w:r>
      <w:r w:rsidRPr="00375EB0">
        <w:rPr>
          <w:rFonts w:ascii="Simplified Arabic" w:eastAsia="Calibri" w:hAnsi="Simplified Arabic" w:cs="Simplified Arabic" w:hint="cs"/>
          <w:sz w:val="28"/>
          <w:szCs w:val="28"/>
          <w:rtl/>
          <w:lang w:bidi="ar-EG"/>
        </w:rPr>
        <w:t>بخاصة</w:t>
      </w:r>
      <w:r w:rsidRPr="00375EB0">
        <w:rPr>
          <w:rFonts w:ascii="Simplified Arabic" w:eastAsia="Calibri" w:hAnsi="Simplified Arabic" w:cs="Simplified Arabic"/>
          <w:sz w:val="28"/>
          <w:szCs w:val="28"/>
          <w:rtl/>
          <w:lang w:bidi="ar-EG"/>
        </w:rPr>
        <w:t xml:space="preserve"> في الفئة العمرية أقل من 10 سنــوات، </w:t>
      </w:r>
      <w:r w:rsidRPr="00375EB0">
        <w:rPr>
          <w:rFonts w:ascii="Simplified Arabic" w:eastAsia="Calibri" w:hAnsi="Simplified Arabic" w:cs="Simplified Arabic" w:hint="cs"/>
          <w:sz w:val="28"/>
          <w:szCs w:val="28"/>
          <w:rtl/>
          <w:lang w:bidi="ar-EG"/>
        </w:rPr>
        <w:t>و</w:t>
      </w:r>
      <w:r w:rsidRPr="00375EB0">
        <w:rPr>
          <w:rFonts w:ascii="Simplified Arabic" w:eastAsia="Calibri" w:hAnsi="Simplified Arabic" w:cs="Simplified Arabic"/>
          <w:sz w:val="28"/>
          <w:szCs w:val="28"/>
          <w:rtl/>
          <w:lang w:bidi="ar-EG"/>
        </w:rPr>
        <w:t>الفئة العمرية (20-24)، وهذه الفئة تحمل الشباب في سن التخرج من التعليم الأمر الذي يتطلب توفير فرص عمل ملائمة لهم وإلا سينتهي الأمر إلي زيادة مضطردة في أعداد البطالة بين المتعلمين.</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بلغت الكثافة السكانية فى مصر على أساس المساحة المأهولة 1162,9 نسمة فى الكيلو متر المربع طبقا لبيانات السكان عام 2017 ، وتزداد هذه الكثافة كثيرا عن ذلك المتوسط في بعض المحافظات، حيث بلغت فى القاهرة حوإلي 38,5 ألف نسمة فى الكيلو متر المربع</w:t>
      </w:r>
      <w:r w:rsidRPr="00375EB0">
        <w:rPr>
          <w:rFonts w:ascii="Simplified Arabic" w:eastAsia="Calibri" w:hAnsi="Simplified Arabic" w:cs="Simplified Arabic" w:hint="cs"/>
          <w:sz w:val="28"/>
          <w:szCs w:val="28"/>
          <w:rtl/>
          <w:lang w:bidi="ar-EG"/>
        </w:rPr>
        <w:t>.</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 xml:space="preserve">تزايد نسبة الفقراء فى مصر </w:t>
      </w:r>
      <w:r w:rsidRPr="00375EB0">
        <w:rPr>
          <w:rFonts w:ascii="Simplified Arabic" w:eastAsia="Calibri" w:hAnsi="Simplified Arabic" w:cs="Simplified Arabic" w:hint="cs"/>
          <w:sz w:val="28"/>
          <w:szCs w:val="28"/>
          <w:rtl/>
          <w:lang w:bidi="ar-EG"/>
        </w:rPr>
        <w:t>با</w:t>
      </w:r>
      <w:r w:rsidRPr="00375EB0">
        <w:rPr>
          <w:rFonts w:ascii="Simplified Arabic" w:eastAsia="Calibri" w:hAnsi="Simplified Arabic" w:cs="Simplified Arabic"/>
          <w:sz w:val="28"/>
          <w:szCs w:val="28"/>
          <w:rtl/>
          <w:lang w:bidi="ar-EG"/>
        </w:rPr>
        <w:t>ستمر</w:t>
      </w:r>
      <w:r w:rsidRPr="00375EB0">
        <w:rPr>
          <w:rFonts w:ascii="Simplified Arabic" w:eastAsia="Calibri" w:hAnsi="Simplified Arabic" w:cs="Simplified Arabic" w:hint="cs"/>
          <w:sz w:val="28"/>
          <w:szCs w:val="28"/>
          <w:rtl/>
          <w:lang w:bidi="ar-EG"/>
        </w:rPr>
        <w:t>ار</w:t>
      </w:r>
      <w:r w:rsidRPr="00375EB0">
        <w:rPr>
          <w:rFonts w:ascii="Simplified Arabic" w:eastAsia="Calibri" w:hAnsi="Simplified Arabic" w:cs="Simplified Arabic"/>
          <w:sz w:val="28"/>
          <w:szCs w:val="28"/>
          <w:rtl/>
          <w:lang w:bidi="ar-EG"/>
        </w:rPr>
        <w:t xml:space="preserve"> </w:t>
      </w:r>
      <w:r w:rsidRPr="00375EB0">
        <w:rPr>
          <w:rFonts w:ascii="Simplified Arabic" w:eastAsia="Calibri" w:hAnsi="Simplified Arabic" w:cs="Simplified Arabic" w:hint="cs"/>
          <w:sz w:val="28"/>
          <w:szCs w:val="28"/>
          <w:rtl/>
          <w:lang w:bidi="ar-EG"/>
        </w:rPr>
        <w:t>حيث</w:t>
      </w:r>
      <w:r w:rsidRPr="00375EB0">
        <w:rPr>
          <w:rFonts w:ascii="Simplified Arabic" w:eastAsia="Calibri" w:hAnsi="Simplified Arabic" w:cs="Simplified Arabic"/>
          <w:sz w:val="28"/>
          <w:szCs w:val="28"/>
          <w:rtl/>
          <w:lang w:bidi="ar-EG"/>
        </w:rPr>
        <w:t xml:space="preserve"> ارتفعت من 17</w:t>
      </w:r>
      <w:r w:rsidRPr="00375EB0">
        <w:rPr>
          <w:rFonts w:ascii="Simplified Arabic" w:eastAsia="Calibri" w:hAnsi="Simplified Arabic" w:cs="Simplified Arabic"/>
          <w:sz w:val="28"/>
          <w:szCs w:val="28"/>
          <w:rtl/>
        </w:rPr>
        <w:t>٪</w:t>
      </w:r>
      <w:r w:rsidRPr="00375EB0">
        <w:rPr>
          <w:rFonts w:ascii="Simplified Arabic" w:eastAsia="Calibri" w:hAnsi="Simplified Arabic" w:cs="Simplified Arabic"/>
          <w:sz w:val="28"/>
          <w:szCs w:val="28"/>
          <w:rtl/>
          <w:lang w:bidi="ar-EG"/>
        </w:rPr>
        <w:t xml:space="preserve"> عام 1999/2000 إلى 26</w:t>
      </w:r>
      <w:r w:rsidRPr="00375EB0">
        <w:rPr>
          <w:rFonts w:ascii="Simplified Arabic" w:eastAsia="Calibri" w:hAnsi="Simplified Arabic" w:cs="Simplified Arabic"/>
          <w:sz w:val="28"/>
          <w:szCs w:val="28"/>
          <w:rtl/>
        </w:rPr>
        <w:t>٪</w:t>
      </w:r>
      <w:r w:rsidRPr="00375EB0">
        <w:rPr>
          <w:rFonts w:ascii="Simplified Arabic" w:eastAsia="Calibri" w:hAnsi="Simplified Arabic" w:cs="Simplified Arabic"/>
          <w:sz w:val="28"/>
          <w:szCs w:val="28"/>
          <w:rtl/>
          <w:lang w:bidi="ar-EG"/>
        </w:rPr>
        <w:t xml:space="preserve"> عــام 2012/2013 ثم إلى 27,8</w:t>
      </w:r>
      <w:r w:rsidRPr="00375EB0">
        <w:rPr>
          <w:rFonts w:ascii="Simplified Arabic" w:eastAsia="Calibri" w:hAnsi="Simplified Arabic" w:cs="Simplified Arabic"/>
          <w:sz w:val="28"/>
          <w:szCs w:val="28"/>
          <w:rtl/>
        </w:rPr>
        <w:t>٪</w:t>
      </w:r>
      <w:r w:rsidRPr="00375EB0">
        <w:rPr>
          <w:rFonts w:ascii="Simplified Arabic" w:eastAsia="Calibri" w:hAnsi="Simplified Arabic" w:cs="Simplified Arabic"/>
          <w:sz w:val="28"/>
          <w:szCs w:val="28"/>
          <w:rtl/>
          <w:lang w:bidi="ar-EG"/>
        </w:rPr>
        <w:t xml:space="preserve"> عــام 2015 لتصل إلي 32,5</w:t>
      </w:r>
      <w:r w:rsidRPr="00375EB0">
        <w:rPr>
          <w:rFonts w:ascii="Simplified Arabic" w:eastAsia="Calibri" w:hAnsi="Simplified Arabic" w:cs="Simplified Arabic"/>
          <w:sz w:val="28"/>
          <w:szCs w:val="28"/>
          <w:rtl/>
        </w:rPr>
        <w:t>٪</w:t>
      </w:r>
      <w:r w:rsidRPr="00375EB0">
        <w:rPr>
          <w:rFonts w:ascii="Simplified Arabic" w:eastAsia="Calibri" w:hAnsi="Simplified Arabic" w:cs="Simplified Arabic"/>
          <w:sz w:val="28"/>
          <w:szCs w:val="28"/>
          <w:rtl/>
          <w:lang w:bidi="ar-EG"/>
        </w:rPr>
        <w:t xml:space="preserve"> عام 2017/2018</w:t>
      </w:r>
      <w:r w:rsidRPr="00375EB0">
        <w:rPr>
          <w:rFonts w:ascii="Simplified Arabic" w:eastAsia="Calibri" w:hAnsi="Simplified Arabic" w:cs="Simplified Arabic" w:hint="cs"/>
          <w:sz w:val="28"/>
          <w:szCs w:val="28"/>
          <w:rtl/>
          <w:lang w:bidi="ar-EG"/>
        </w:rPr>
        <w:t>.</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lastRenderedPageBreak/>
        <w:t>بلغت نسبة التسرب للمرحلة الابتدائية 0,4</w:t>
      </w:r>
      <w:r w:rsidRPr="00375EB0">
        <w:rPr>
          <w:rFonts w:ascii="Simplified Arabic" w:eastAsia="Calibri" w:hAnsi="Simplified Arabic" w:cs="Simplified Arabic"/>
          <w:sz w:val="28"/>
          <w:szCs w:val="28"/>
          <w:rtl/>
        </w:rPr>
        <w:t>٪</w:t>
      </w:r>
      <w:r w:rsidRPr="00375EB0">
        <w:rPr>
          <w:rFonts w:ascii="Simplified Arabic" w:eastAsia="Calibri" w:hAnsi="Simplified Arabic" w:cs="Simplified Arabic"/>
          <w:sz w:val="28"/>
          <w:szCs w:val="28"/>
          <w:rtl/>
          <w:lang w:bidi="ar-EG"/>
        </w:rPr>
        <w:t xml:space="preserve"> ما بين عامي 2015/2016، 2016/2017 بينما بلغت النسبة 3,4</w:t>
      </w:r>
      <w:r w:rsidRPr="00375EB0">
        <w:rPr>
          <w:rFonts w:ascii="Simplified Arabic" w:eastAsia="Calibri" w:hAnsi="Simplified Arabic" w:cs="Simplified Arabic"/>
          <w:sz w:val="28"/>
          <w:szCs w:val="28"/>
          <w:rtl/>
        </w:rPr>
        <w:t>٪</w:t>
      </w:r>
      <w:r w:rsidRPr="00375EB0">
        <w:rPr>
          <w:rFonts w:ascii="Simplified Arabic" w:eastAsia="Calibri" w:hAnsi="Simplified Arabic" w:cs="Simplified Arabic"/>
          <w:sz w:val="28"/>
          <w:szCs w:val="28"/>
          <w:rtl/>
          <w:lang w:bidi="ar-EG"/>
        </w:rPr>
        <w:t xml:space="preserve"> للمرحلة الاعدادية.</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hint="cs"/>
          <w:sz w:val="28"/>
          <w:szCs w:val="28"/>
          <w:rtl/>
          <w:lang w:bidi="ar-EG"/>
        </w:rPr>
        <w:t>إ</w:t>
      </w:r>
      <w:r w:rsidRPr="00375EB0">
        <w:rPr>
          <w:rFonts w:ascii="Simplified Arabic" w:eastAsia="Calibri" w:hAnsi="Simplified Arabic" w:cs="Simplified Arabic"/>
          <w:sz w:val="28"/>
          <w:szCs w:val="28"/>
          <w:rtl/>
          <w:lang w:bidi="ar-EG"/>
        </w:rPr>
        <w:t>رتف</w:t>
      </w:r>
      <w:r w:rsidRPr="00375EB0">
        <w:rPr>
          <w:rFonts w:ascii="Simplified Arabic" w:eastAsia="Calibri" w:hAnsi="Simplified Arabic" w:cs="Simplified Arabic" w:hint="cs"/>
          <w:sz w:val="28"/>
          <w:szCs w:val="28"/>
          <w:rtl/>
          <w:lang w:bidi="ar-EG"/>
        </w:rPr>
        <w:t>ا</w:t>
      </w:r>
      <w:r w:rsidRPr="00375EB0">
        <w:rPr>
          <w:rFonts w:ascii="Simplified Arabic" w:eastAsia="Calibri" w:hAnsi="Simplified Arabic" w:cs="Simplified Arabic"/>
          <w:sz w:val="28"/>
          <w:szCs w:val="28"/>
          <w:rtl/>
          <w:lang w:bidi="ar-EG"/>
        </w:rPr>
        <w:t xml:space="preserve">ع عدد الأفراد داخل قوة العمل من 26,2 مليون فرد عام 2010 إلى 29,5 مليون فرد عام 2017 وبنسبة زيادة قدرها </w:t>
      </w:r>
      <w:r w:rsidRPr="00375EB0">
        <w:rPr>
          <w:rFonts w:ascii="Simplified Arabic" w:eastAsia="Calibri" w:hAnsi="Simplified Arabic" w:cs="Simplified Arabic"/>
          <w:sz w:val="28"/>
          <w:szCs w:val="28"/>
          <w:lang w:bidi="ar-EG"/>
        </w:rPr>
        <w:t>11,2</w:t>
      </w:r>
      <w:r w:rsidRPr="00375EB0">
        <w:rPr>
          <w:rFonts w:ascii="Simplified Arabic" w:eastAsia="Calibri" w:hAnsi="Simplified Arabic" w:cs="Simplified Arabic"/>
          <w:sz w:val="28"/>
          <w:szCs w:val="28"/>
          <w:rtl/>
          <w:lang w:bidi="ar-EG"/>
        </w:rPr>
        <w:t>٪.</w:t>
      </w:r>
    </w:p>
    <w:p w:rsidR="00B917B2" w:rsidRPr="00375EB0" w:rsidRDefault="00B917B2" w:rsidP="00616254">
      <w:pPr>
        <w:pStyle w:val="ListParagraph"/>
        <w:numPr>
          <w:ilvl w:val="0"/>
          <w:numId w:val="13"/>
        </w:numPr>
        <w:spacing w:after="0" w:line="240" w:lineRule="auto"/>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hint="cs"/>
          <w:sz w:val="28"/>
          <w:szCs w:val="28"/>
          <w:rtl/>
          <w:lang w:bidi="ar-EG"/>
        </w:rPr>
        <w:t>إ</w:t>
      </w:r>
      <w:r w:rsidRPr="00375EB0">
        <w:rPr>
          <w:rFonts w:ascii="Simplified Arabic" w:eastAsia="Calibri" w:hAnsi="Simplified Arabic" w:cs="Simplified Arabic"/>
          <w:sz w:val="28"/>
          <w:szCs w:val="28"/>
          <w:rtl/>
          <w:lang w:bidi="ar-EG"/>
        </w:rPr>
        <w:t>رتف</w:t>
      </w:r>
      <w:r w:rsidRPr="00375EB0">
        <w:rPr>
          <w:rFonts w:ascii="Simplified Arabic" w:eastAsia="Calibri" w:hAnsi="Simplified Arabic" w:cs="Simplified Arabic" w:hint="cs"/>
          <w:sz w:val="28"/>
          <w:szCs w:val="28"/>
          <w:rtl/>
          <w:lang w:bidi="ar-EG"/>
        </w:rPr>
        <w:t>ا</w:t>
      </w:r>
      <w:r w:rsidRPr="00375EB0">
        <w:rPr>
          <w:rFonts w:ascii="Simplified Arabic" w:eastAsia="Calibri" w:hAnsi="Simplified Arabic" w:cs="Simplified Arabic"/>
          <w:sz w:val="28"/>
          <w:szCs w:val="28"/>
          <w:rtl/>
          <w:lang w:bidi="ar-EG"/>
        </w:rPr>
        <w:t xml:space="preserve">ع عدد المشتغلين من 23,8 مليون مشتغل عام 2010 إلى 26,0 مليون مشتغل عام 2017 وبنسبة زيادة قدرها </w:t>
      </w:r>
      <w:r w:rsidRPr="00375EB0">
        <w:rPr>
          <w:rFonts w:ascii="Simplified Arabic" w:eastAsia="Calibri" w:hAnsi="Simplified Arabic" w:cs="Simplified Arabic"/>
          <w:sz w:val="28"/>
          <w:szCs w:val="28"/>
          <w:lang w:bidi="ar-EG"/>
        </w:rPr>
        <w:t>10,2</w:t>
      </w:r>
      <w:r w:rsidRPr="00375EB0">
        <w:rPr>
          <w:rFonts w:ascii="Simplified Arabic" w:eastAsia="Calibri" w:hAnsi="Simplified Arabic" w:cs="Simplified Arabic"/>
          <w:sz w:val="28"/>
          <w:szCs w:val="28"/>
          <w:rtl/>
          <w:lang w:bidi="ar-EG"/>
        </w:rPr>
        <w:t>٪ خلال نفس الفترة</w:t>
      </w:r>
      <w:r w:rsidRPr="00375EB0">
        <w:rPr>
          <w:rFonts w:ascii="Simplified Arabic" w:eastAsia="Calibri" w:hAnsi="Simplified Arabic" w:cs="Simplified Arabic" w:hint="cs"/>
          <w:sz w:val="28"/>
          <w:szCs w:val="28"/>
          <w:rtl/>
          <w:lang w:bidi="ar-EG"/>
        </w:rPr>
        <w:t>، ب</w:t>
      </w:r>
      <w:r w:rsidRPr="00375EB0">
        <w:rPr>
          <w:rFonts w:ascii="Simplified Arabic" w:eastAsia="Calibri" w:hAnsi="Simplified Arabic" w:cs="Simplified Arabic"/>
          <w:sz w:val="28"/>
          <w:szCs w:val="28"/>
          <w:rtl/>
          <w:lang w:bidi="ar-EG"/>
        </w:rPr>
        <w:t xml:space="preserve">نسبة </w:t>
      </w:r>
      <w:r w:rsidRPr="00375EB0">
        <w:rPr>
          <w:rFonts w:ascii="Simplified Arabic" w:eastAsia="Calibri" w:hAnsi="Simplified Arabic" w:cs="Simplified Arabic" w:hint="cs"/>
          <w:sz w:val="28"/>
          <w:szCs w:val="28"/>
          <w:rtl/>
          <w:lang w:bidi="ar-EG"/>
        </w:rPr>
        <w:t xml:space="preserve">بلغت </w:t>
      </w:r>
      <w:r w:rsidRPr="00375EB0">
        <w:rPr>
          <w:rFonts w:ascii="Simplified Arabic" w:eastAsia="Calibri" w:hAnsi="Simplified Arabic" w:cs="Simplified Arabic"/>
          <w:sz w:val="28"/>
          <w:szCs w:val="28"/>
          <w:rtl/>
          <w:lang w:bidi="ar-EG"/>
        </w:rPr>
        <w:t>39,7٪ عام 2017</w:t>
      </w:r>
      <w:r w:rsidRPr="00375EB0">
        <w:rPr>
          <w:rFonts w:ascii="Simplified Arabic" w:eastAsia="Calibri" w:hAnsi="Simplified Arabic" w:cs="Simplified Arabic" w:hint="cs"/>
          <w:sz w:val="28"/>
          <w:szCs w:val="28"/>
          <w:rtl/>
          <w:lang w:bidi="ar-EG"/>
        </w:rPr>
        <w:t>.</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أعلى نسبة للتشغيل بلغ</w:t>
      </w:r>
      <w:r w:rsidRPr="00375EB0">
        <w:rPr>
          <w:rFonts w:ascii="Simplified Arabic" w:eastAsia="Calibri" w:hAnsi="Simplified Arabic" w:cs="Simplified Arabic" w:hint="cs"/>
          <w:sz w:val="28"/>
          <w:szCs w:val="28"/>
          <w:rtl/>
          <w:lang w:bidi="ar-EG"/>
        </w:rPr>
        <w:t>ت</w:t>
      </w:r>
      <w:r w:rsidRPr="00375EB0">
        <w:rPr>
          <w:rFonts w:ascii="Simplified Arabic" w:eastAsia="Calibri" w:hAnsi="Simplified Arabic" w:cs="Simplified Arabic"/>
          <w:sz w:val="28"/>
          <w:szCs w:val="28"/>
          <w:rtl/>
          <w:lang w:bidi="ar-EG"/>
        </w:rPr>
        <w:t xml:space="preserve"> 62,3٪ بين الحاصلين على مؤهل فوق المتوسط والأقل مِن الجامعي، و</w:t>
      </w:r>
      <w:r w:rsidRPr="00375EB0">
        <w:rPr>
          <w:rFonts w:ascii="Simplified Arabic" w:eastAsia="Calibri" w:hAnsi="Simplified Arabic" w:cs="Simplified Arabic" w:hint="cs"/>
          <w:sz w:val="28"/>
          <w:szCs w:val="28"/>
          <w:rtl/>
          <w:lang w:bidi="ar-EG"/>
        </w:rPr>
        <w:t>ت</w:t>
      </w:r>
      <w:r w:rsidRPr="00375EB0">
        <w:rPr>
          <w:rFonts w:ascii="Simplified Arabic" w:eastAsia="Calibri" w:hAnsi="Simplified Arabic" w:cs="Simplified Arabic"/>
          <w:sz w:val="28"/>
          <w:szCs w:val="28"/>
          <w:rtl/>
          <w:lang w:bidi="ar-EG"/>
        </w:rPr>
        <w:t>رتفع بدرجة كبيرة بين الذكور ل</w:t>
      </w:r>
      <w:r w:rsidRPr="00375EB0">
        <w:rPr>
          <w:rFonts w:ascii="Simplified Arabic" w:eastAsia="Calibri" w:hAnsi="Simplified Arabic" w:cs="Simplified Arabic" w:hint="cs"/>
          <w:sz w:val="28"/>
          <w:szCs w:val="28"/>
          <w:rtl/>
          <w:lang w:bidi="ar-EG"/>
        </w:rPr>
        <w:t>ت</w:t>
      </w:r>
      <w:r w:rsidRPr="00375EB0">
        <w:rPr>
          <w:rFonts w:ascii="Simplified Arabic" w:eastAsia="Calibri" w:hAnsi="Simplified Arabic" w:cs="Simplified Arabic"/>
          <w:sz w:val="28"/>
          <w:szCs w:val="28"/>
          <w:rtl/>
          <w:lang w:bidi="ar-EG"/>
        </w:rPr>
        <w:t xml:space="preserve">صل إلى 81,5٪، مقابل 32,5٪ للإناث. </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hint="cs"/>
          <w:sz w:val="28"/>
          <w:szCs w:val="28"/>
          <w:rtl/>
          <w:lang w:bidi="ar-EG"/>
        </w:rPr>
        <w:t>بلغت نسبة</w:t>
      </w:r>
      <w:r w:rsidRPr="00375EB0">
        <w:rPr>
          <w:rFonts w:ascii="Simplified Arabic" w:eastAsia="Calibri" w:hAnsi="Simplified Arabic" w:cs="Simplified Arabic"/>
          <w:sz w:val="28"/>
          <w:szCs w:val="28"/>
          <w:rtl/>
          <w:lang w:bidi="ar-EG"/>
        </w:rPr>
        <w:t xml:space="preserve"> التشغيل بين الحاصلين على مؤهل جامعي (60٪) و</w:t>
      </w:r>
      <w:r w:rsidRPr="00375EB0">
        <w:rPr>
          <w:rFonts w:ascii="Simplified Arabic" w:eastAsia="Calibri" w:hAnsi="Simplified Arabic" w:cs="Simplified Arabic" w:hint="cs"/>
          <w:sz w:val="28"/>
          <w:szCs w:val="28"/>
          <w:rtl/>
          <w:lang w:bidi="ar-EG"/>
        </w:rPr>
        <w:t>ت</w:t>
      </w:r>
      <w:r w:rsidRPr="00375EB0">
        <w:rPr>
          <w:rFonts w:ascii="Simplified Arabic" w:eastAsia="Calibri" w:hAnsi="Simplified Arabic" w:cs="Simplified Arabic"/>
          <w:sz w:val="28"/>
          <w:szCs w:val="28"/>
          <w:rtl/>
          <w:lang w:bidi="ar-EG"/>
        </w:rPr>
        <w:t xml:space="preserve">رتفع بين الذكور إلى 72,3٪ </w:t>
      </w:r>
      <w:r w:rsidRPr="00375EB0">
        <w:rPr>
          <w:rFonts w:ascii="Simplified Arabic" w:eastAsia="Calibri" w:hAnsi="Simplified Arabic" w:cs="Simplified Arabic" w:hint="cs"/>
          <w:sz w:val="28"/>
          <w:szCs w:val="28"/>
          <w:rtl/>
          <w:lang w:bidi="ar-EG"/>
        </w:rPr>
        <w:t>مقارنة بــــ</w:t>
      </w:r>
      <w:r w:rsidRPr="00375EB0">
        <w:rPr>
          <w:rFonts w:ascii="Simplified Arabic" w:eastAsia="Calibri" w:hAnsi="Simplified Arabic" w:cs="Simplified Arabic"/>
          <w:sz w:val="28"/>
          <w:szCs w:val="28"/>
          <w:rtl/>
          <w:lang w:bidi="ar-EG"/>
        </w:rPr>
        <w:t xml:space="preserve"> 44,0٪ للإناث.</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أكبر نسبة للمشتغلين فى عام 2017 كانت للحاصلين على مؤهل متوسط فني 31,1٪، ثم المشتغلين الأميين 20,1٪، ثم المشتغلين الحاصلين على مؤهل جامعي فأكثر بنسبة بلغت 17,2٪.</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 xml:space="preserve">أقل نسبة تشغيل كانت للحاصلين على ثانوية عامة أو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زهرية بنسبة بلغت 1,9٪.</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انخف</w:t>
      </w:r>
      <w:r w:rsidRPr="00375EB0">
        <w:rPr>
          <w:rFonts w:ascii="Simplified Arabic" w:eastAsia="Calibri" w:hAnsi="Simplified Arabic" w:cs="Simplified Arabic" w:hint="cs"/>
          <w:sz w:val="28"/>
          <w:szCs w:val="28"/>
          <w:rtl/>
          <w:lang w:bidi="ar-EG"/>
        </w:rPr>
        <w:t>اض</w:t>
      </w:r>
      <w:r w:rsidRPr="00375EB0">
        <w:rPr>
          <w:rFonts w:ascii="Simplified Arabic" w:eastAsia="Calibri" w:hAnsi="Simplified Arabic" w:cs="Simplified Arabic"/>
          <w:sz w:val="28"/>
          <w:szCs w:val="28"/>
          <w:rtl/>
          <w:lang w:bidi="ar-EG"/>
        </w:rPr>
        <w:t xml:space="preserve"> نسبة المشتغلين الأميين من 26,5٪ عام 2010 إلى 20,1٪ عام 2017، وفى المقابل ارتفعت نسبة المشتغلين الحاصلين على مؤهل متوسط فني من 29,9٪ عام 2010 إلى 31,1٪ عام 2017، وكذلك نسبة المشتغلين الحاصلين على مؤهل جامعي من 16,8٪ إلى 17,2٪، وأيضا المشتغلين الحاصلين على مؤهل فوق المتوسط من 4,4٪ إلى 4,7٪ خلال نفس الفترة.</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ارتف</w:t>
      </w:r>
      <w:r w:rsidRPr="00375EB0">
        <w:rPr>
          <w:rFonts w:ascii="Simplified Arabic" w:eastAsia="Calibri" w:hAnsi="Simplified Arabic" w:cs="Simplified Arabic" w:hint="cs"/>
          <w:sz w:val="28"/>
          <w:szCs w:val="28"/>
          <w:rtl/>
          <w:lang w:bidi="ar-EG"/>
        </w:rPr>
        <w:t>ا</w:t>
      </w:r>
      <w:r w:rsidRPr="00375EB0">
        <w:rPr>
          <w:rFonts w:ascii="Simplified Arabic" w:eastAsia="Calibri" w:hAnsi="Simplified Arabic" w:cs="Simplified Arabic"/>
          <w:sz w:val="28"/>
          <w:szCs w:val="28"/>
          <w:rtl/>
          <w:lang w:bidi="ar-EG"/>
        </w:rPr>
        <w:t>ع نسبة المشتغلات الأميات مقابل المشتغلين الأميين (23,8٪ مقابل 19,2٪) عام 2017</w:t>
      </w:r>
      <w:r w:rsidRPr="00375EB0">
        <w:rPr>
          <w:rFonts w:ascii="Simplified Arabic" w:eastAsia="Calibri" w:hAnsi="Simplified Arabic" w:cs="Simplified Arabic" w:hint="cs"/>
          <w:sz w:val="28"/>
          <w:szCs w:val="28"/>
          <w:rtl/>
          <w:lang w:bidi="ar-EG"/>
        </w:rPr>
        <w:t>.</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بلغت نسبة البطالة 12,7٪ عام 2012، في أعقاب الثورة والفترات التي تبعتها مِن عدم الاستقرار وانكماش كثير مِن الأنشطة الاقتصادية ارتفعت نسب البطالة لتُسَجِل متوسط يبلغ نحو 13,0٪ خلال الأعوام الثلاث 2013 – 2015</w:t>
      </w:r>
      <w:r w:rsidRPr="00375EB0">
        <w:rPr>
          <w:rFonts w:ascii="Simplified Arabic" w:eastAsia="Calibri" w:hAnsi="Simplified Arabic" w:cs="Simplified Arabic" w:hint="cs"/>
          <w:sz w:val="28"/>
          <w:szCs w:val="28"/>
          <w:rtl/>
          <w:lang w:bidi="ar-EG"/>
        </w:rPr>
        <w:t>.</w:t>
      </w:r>
      <w:r w:rsidRPr="00375EB0">
        <w:rPr>
          <w:rFonts w:ascii="Simplified Arabic" w:eastAsia="Calibri" w:hAnsi="Simplified Arabic" w:cs="Simplified Arabic"/>
          <w:sz w:val="28"/>
          <w:szCs w:val="28"/>
          <w:rtl/>
          <w:lang w:bidi="ar-EG"/>
        </w:rPr>
        <w:t xml:space="preserve"> </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lastRenderedPageBreak/>
        <w:t>مع الاتجاه شيئًا فشيئًا صوب الاستقرار واستكمال بنية مؤسسات الدولة مِن جديد، أخذت نسب البطالة في التراجع بصورة طفيفة بدءً مِن عام 2015 من 12,8٪ حتى بلغ 11,8٪عام 2017.</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 xml:space="preserve">زيادة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عد</w:t>
      </w:r>
      <w:r w:rsidRPr="00375EB0">
        <w:rPr>
          <w:rFonts w:ascii="Simplified Arabic" w:eastAsia="Calibri" w:hAnsi="Simplified Arabic" w:cs="Simplified Arabic" w:hint="cs"/>
          <w:sz w:val="28"/>
          <w:szCs w:val="28"/>
          <w:rtl/>
          <w:lang w:bidi="ar-EG"/>
        </w:rPr>
        <w:t>ا</w:t>
      </w:r>
      <w:r w:rsidRPr="00375EB0">
        <w:rPr>
          <w:rFonts w:ascii="Simplified Arabic" w:eastAsia="Calibri" w:hAnsi="Simplified Arabic" w:cs="Simplified Arabic"/>
          <w:sz w:val="28"/>
          <w:szCs w:val="28"/>
          <w:rtl/>
          <w:lang w:bidi="ar-EG"/>
        </w:rPr>
        <w:t xml:space="preserve">د المتعطلين من 2,3 مليون متعطل عام 2010 الى 3,6 مليون متعطل عام 2016 ثم تناقص </w:t>
      </w:r>
      <w:r w:rsidRPr="00375EB0">
        <w:rPr>
          <w:rFonts w:ascii="Simplified Arabic" w:eastAsia="Calibri" w:hAnsi="Simplified Arabic" w:cs="Simplified Arabic" w:hint="cs"/>
          <w:sz w:val="28"/>
          <w:szCs w:val="28"/>
          <w:rtl/>
          <w:lang w:bidi="ar-EG"/>
        </w:rPr>
        <w:t>العدد</w:t>
      </w:r>
      <w:r w:rsidRPr="00375EB0">
        <w:rPr>
          <w:rFonts w:ascii="Simplified Arabic" w:eastAsia="Calibri" w:hAnsi="Simplified Arabic" w:cs="Simplified Arabic"/>
          <w:sz w:val="28"/>
          <w:szCs w:val="28"/>
          <w:rtl/>
          <w:lang w:bidi="ar-EG"/>
        </w:rPr>
        <w:t xml:space="preserve"> قليلا حتى بلغ 3,4</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مليون متعطل عام 2017</w:t>
      </w:r>
      <w:r w:rsidRPr="00375EB0">
        <w:rPr>
          <w:rFonts w:ascii="Simplified Arabic" w:eastAsia="Calibri" w:hAnsi="Simplified Arabic" w:cs="Simplified Arabic" w:hint="cs"/>
          <w:sz w:val="28"/>
          <w:szCs w:val="28"/>
          <w:rtl/>
          <w:lang w:bidi="ar-EG"/>
        </w:rPr>
        <w:t>.</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ارتف</w:t>
      </w:r>
      <w:r w:rsidRPr="00375EB0">
        <w:rPr>
          <w:rFonts w:ascii="Simplified Arabic" w:eastAsia="Calibri" w:hAnsi="Simplified Arabic" w:cs="Simplified Arabic" w:hint="cs"/>
          <w:sz w:val="28"/>
          <w:szCs w:val="28"/>
          <w:rtl/>
          <w:lang w:bidi="ar-EG"/>
        </w:rPr>
        <w:t>ا</w:t>
      </w:r>
      <w:r w:rsidRPr="00375EB0">
        <w:rPr>
          <w:rFonts w:ascii="Simplified Arabic" w:eastAsia="Calibri" w:hAnsi="Simplified Arabic" w:cs="Simplified Arabic"/>
          <w:sz w:val="28"/>
          <w:szCs w:val="28"/>
          <w:rtl/>
          <w:lang w:bidi="ar-EG"/>
        </w:rPr>
        <w:t xml:space="preserve">ع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عد</w:t>
      </w:r>
      <w:r w:rsidRPr="00375EB0">
        <w:rPr>
          <w:rFonts w:ascii="Simplified Arabic" w:eastAsia="Calibri" w:hAnsi="Simplified Arabic" w:cs="Simplified Arabic" w:hint="cs"/>
          <w:sz w:val="28"/>
          <w:szCs w:val="28"/>
          <w:rtl/>
          <w:lang w:bidi="ar-EG"/>
        </w:rPr>
        <w:t>ا</w:t>
      </w:r>
      <w:r w:rsidRPr="00375EB0">
        <w:rPr>
          <w:rFonts w:ascii="Simplified Arabic" w:eastAsia="Calibri" w:hAnsi="Simplified Arabic" w:cs="Simplified Arabic"/>
          <w:sz w:val="28"/>
          <w:szCs w:val="28"/>
          <w:rtl/>
          <w:lang w:bidi="ar-EG"/>
        </w:rPr>
        <w:t>د المتعطلين الذكور من 987 ألف متعطل عام 2010 إلى 1,853</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مليون متعطل عام 2017، بنسبة زيادة قدرها 87,7٪</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وبالنسبة للإناث تزايد العدد من 1,363</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مليون إلى 1,615</w:t>
      </w:r>
      <w:r w:rsidRPr="00375EB0">
        <w:rPr>
          <w:rFonts w:ascii="Simplified Arabic" w:eastAsia="Calibri" w:hAnsi="Simplified Arabic" w:cs="Simplified Arabic" w:hint="cs"/>
          <w:sz w:val="28"/>
          <w:szCs w:val="28"/>
          <w:rtl/>
          <w:lang w:bidi="ar-EG"/>
        </w:rPr>
        <w:t xml:space="preserve"> </w:t>
      </w:r>
      <w:r w:rsidRPr="00375EB0">
        <w:rPr>
          <w:rFonts w:ascii="Simplified Arabic" w:eastAsia="Calibri" w:hAnsi="Simplified Arabic" w:cs="Simplified Arabic"/>
          <w:sz w:val="28"/>
          <w:szCs w:val="28"/>
          <w:rtl/>
          <w:lang w:bidi="ar-EG"/>
        </w:rPr>
        <w:t>مليون بنسبة زيادة قدرها 18,5٪.</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hint="cs"/>
          <w:sz w:val="28"/>
          <w:szCs w:val="28"/>
          <w:rtl/>
          <w:lang w:bidi="ar-EG"/>
        </w:rPr>
        <w:t>27,2</w:t>
      </w:r>
      <w:r w:rsidRPr="00375EB0">
        <w:rPr>
          <w:rFonts w:ascii="Simplified Arabic" w:eastAsia="Calibri" w:hAnsi="Simplified Arabic" w:cs="Simplified Arabic"/>
          <w:sz w:val="28"/>
          <w:szCs w:val="28"/>
          <w:rtl/>
          <w:lang w:bidi="ar-EG"/>
        </w:rPr>
        <w:t>٪ من الذكور المتعطلين الحاصلين على مؤهل جامعى فأعلى، 23,8٪ من الإناث المتعطلات باحثون/باحثات عن عمل وراغبون/راغبات فيه منذ مدة أقل من عام (التعطل قصير الأمد).</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 xml:space="preserve">34,6٪ من إجمالى المتعطلين الذكور الحاصلين على مؤهل جامعى فأعلى، يبحثون عن عمل لمدة تراوحت بين عام وعامين، أكبر نسبة للإناث الباحثات عن عمل لمدة 3 سنوات فأكثر بلغت 34,7٪، دالاً ذلك على طول فترة التعطل بشكل أكبر فى حالة الإناث حيث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نه</w:t>
      </w:r>
      <w:r w:rsidRPr="00375EB0">
        <w:rPr>
          <w:rFonts w:ascii="Simplified Arabic" w:eastAsia="Calibri" w:hAnsi="Simplified Arabic" w:cs="Simplified Arabic" w:hint="cs"/>
          <w:sz w:val="28"/>
          <w:szCs w:val="28"/>
          <w:rtl/>
          <w:lang w:bidi="ar-EG"/>
        </w:rPr>
        <w:t>ن</w:t>
      </w:r>
      <w:r w:rsidRPr="00375EB0">
        <w:rPr>
          <w:rFonts w:ascii="Simplified Arabic" w:eastAsia="Calibri" w:hAnsi="Simplified Arabic" w:cs="Simplified Arabic"/>
          <w:sz w:val="28"/>
          <w:szCs w:val="28"/>
          <w:rtl/>
          <w:lang w:bidi="ar-EG"/>
        </w:rPr>
        <w:t xml:space="preserve"> يفضلن العمل فى الغالب وفقا لشروط معينة تتوافق وظروفهن.</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 xml:space="preserve">أعلى نسب للبطالة توجد بين الحاصلين على مؤهل جامعي فأكثر، </w:t>
      </w:r>
      <w:r w:rsidRPr="00375EB0">
        <w:rPr>
          <w:rFonts w:ascii="Simplified Arabic" w:eastAsia="Calibri" w:hAnsi="Simplified Arabic" w:cs="Simplified Arabic" w:hint="cs"/>
          <w:sz w:val="28"/>
          <w:szCs w:val="28"/>
          <w:rtl/>
          <w:lang w:bidi="ar-EG"/>
        </w:rPr>
        <w:t>حيث ترتفع</w:t>
      </w:r>
      <w:r w:rsidRPr="00375EB0">
        <w:rPr>
          <w:rFonts w:ascii="Simplified Arabic" w:eastAsia="Calibri" w:hAnsi="Simplified Arabic" w:cs="Simplified Arabic"/>
          <w:sz w:val="28"/>
          <w:szCs w:val="28"/>
          <w:rtl/>
          <w:lang w:bidi="ar-EG"/>
        </w:rPr>
        <w:t xml:space="preserve"> من 18,9٪ عام 2010 إلى 20,8٪ عام 2017، كذلك ترتفع أيضاً نسب البطالة بين الحاصلين على مؤهل متوسط فني من 12,2٪ عام 2010 الى 17٪ عام 2017</w:t>
      </w:r>
      <w:r w:rsidRPr="00375EB0">
        <w:rPr>
          <w:rFonts w:ascii="Simplified Arabic" w:eastAsia="Calibri" w:hAnsi="Simplified Arabic" w:cs="Simplified Arabic" w:hint="cs"/>
          <w:sz w:val="28"/>
          <w:szCs w:val="28"/>
          <w:rtl/>
          <w:lang w:bidi="ar-EG"/>
        </w:rPr>
        <w:t>.</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أقل نسب للبطالة للحاصلين على مؤهل أقل من المتوسط أو يقرأون ويكتبون والأميين.</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ارتفاع عدد خريجي التعليم العالى من 465,2 ألف خريج عام 2010، إلى 537,4 ألف خريج عام 2017 بزيادة قدرها 72,2 ألف خريج، بنسبة 15,5٪.</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lang w:bidi="ar-EG"/>
        </w:rPr>
        <w:t>معظم خريجي التعليم العالى من الجامعات الحكومية وجامعة الأزهر، بنسبة بلغت 68,4٪ عام 2016، ثم خريجى المعاهد العليا الخاصة بنسبة 17,1٪.</w:t>
      </w:r>
    </w:p>
    <w:p w:rsidR="00B917B2" w:rsidRPr="00375EB0" w:rsidRDefault="00B917B2" w:rsidP="00616254">
      <w:pPr>
        <w:pStyle w:val="ListParagraph"/>
        <w:numPr>
          <w:ilvl w:val="0"/>
          <w:numId w:val="13"/>
        </w:numPr>
        <w:spacing w:after="0" w:line="240" w:lineRule="auto"/>
        <w:ind w:left="427" w:hanging="567"/>
        <w:jc w:val="both"/>
        <w:rPr>
          <w:rFonts w:ascii="Simplified Arabic" w:eastAsia="Calibri" w:hAnsi="Simplified Arabic" w:cs="Simplified Arabic"/>
          <w:sz w:val="28"/>
          <w:szCs w:val="28"/>
          <w:lang w:val="en-GB" w:bidi="ar-EG"/>
        </w:rPr>
      </w:pPr>
      <w:r w:rsidRPr="00375EB0">
        <w:rPr>
          <w:rFonts w:ascii="Simplified Arabic" w:eastAsia="Calibri" w:hAnsi="Simplified Arabic" w:cs="Simplified Arabic"/>
          <w:sz w:val="28"/>
          <w:szCs w:val="28"/>
          <w:rtl/>
        </w:rPr>
        <w:lastRenderedPageBreak/>
        <w:t>تمثل</w:t>
      </w:r>
      <w:r w:rsidRPr="00375EB0">
        <w:rPr>
          <w:rFonts w:ascii="Simplified Arabic" w:eastAsia="Calibri" w:hAnsi="Simplified Arabic" w:cs="Simplified Arabic"/>
          <w:sz w:val="28"/>
          <w:szCs w:val="28"/>
          <w:rtl/>
          <w:lang w:bidi="ar-EG"/>
        </w:rPr>
        <w:t xml:space="preserve"> نسبة خريجى الجامعات الخاصة 4,2٪، ونسبة خريجى ال</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 xml:space="preserve">كاديميات 1,3٪، </w:t>
      </w:r>
      <w:r w:rsidRPr="00375EB0">
        <w:rPr>
          <w:rFonts w:ascii="Simplified Arabic" w:eastAsia="Calibri" w:hAnsi="Simplified Arabic" w:cs="Simplified Arabic" w:hint="cs"/>
          <w:sz w:val="28"/>
          <w:szCs w:val="28"/>
          <w:rtl/>
          <w:lang w:bidi="ar-EG"/>
        </w:rPr>
        <w:t>و</w:t>
      </w:r>
      <w:r w:rsidRPr="00375EB0">
        <w:rPr>
          <w:rFonts w:ascii="Simplified Arabic" w:eastAsia="Calibri" w:hAnsi="Simplified Arabic" w:cs="Simplified Arabic"/>
          <w:sz w:val="28"/>
          <w:szCs w:val="28"/>
          <w:rtl/>
          <w:lang w:bidi="ar-EG"/>
        </w:rPr>
        <w:t xml:space="preserve">خريجى المعاهد الفنية فوق المتوسطة 9,1٪ من إجمإلي خريجي التعليم العالى. </w:t>
      </w:r>
    </w:p>
    <w:p w:rsidR="00B917B2" w:rsidRPr="00375EB0" w:rsidRDefault="00B917B2" w:rsidP="00B917B2">
      <w:pPr>
        <w:bidi/>
        <w:spacing w:before="240" w:after="0" w:line="240" w:lineRule="auto"/>
        <w:jc w:val="both"/>
        <w:rPr>
          <w:rFonts w:ascii="Simplified Arabic" w:eastAsia="Calibri" w:hAnsi="Simplified Arabic" w:cs="Simplified Arabic"/>
          <w:b/>
          <w:bCs/>
          <w:sz w:val="28"/>
          <w:szCs w:val="28"/>
          <w:rtl/>
          <w:lang w:val="en-US" w:bidi="ar-EG"/>
        </w:rPr>
      </w:pPr>
      <w:r w:rsidRPr="00375EB0">
        <w:rPr>
          <w:rFonts w:ascii="Simplified Arabic" w:eastAsia="Calibri" w:hAnsi="Simplified Arabic" w:cs="Simplified Arabic"/>
          <w:b/>
          <w:bCs/>
          <w:sz w:val="28"/>
          <w:szCs w:val="28"/>
          <w:u w:val="single"/>
          <w:rtl/>
          <w:lang w:val="en-US" w:bidi="ar-EG"/>
        </w:rPr>
        <w:t>تطور البطالة بين المتعلمين</w:t>
      </w:r>
    </w:p>
    <w:p w:rsidR="00B917B2" w:rsidRPr="00375EB0" w:rsidRDefault="00B917B2" w:rsidP="00616254">
      <w:pPr>
        <w:pStyle w:val="ListParagraph"/>
        <w:numPr>
          <w:ilvl w:val="0"/>
          <w:numId w:val="14"/>
        </w:numPr>
        <w:spacing w:after="0" w:line="240" w:lineRule="auto"/>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حوإلي 40٪ من الحاصلين علي مؤهل جامعي فأعلي متعطلين عام 2010.</w:t>
      </w:r>
    </w:p>
    <w:p w:rsidR="00B917B2" w:rsidRPr="00375EB0" w:rsidRDefault="00B917B2" w:rsidP="00616254">
      <w:pPr>
        <w:pStyle w:val="ListParagraph"/>
        <w:numPr>
          <w:ilvl w:val="0"/>
          <w:numId w:val="14"/>
        </w:numPr>
        <w:spacing w:after="0" w:line="240" w:lineRule="auto"/>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تبدأ النسبة في الانخفاض منذ عام 2011 بعد ثورة يناير 2011، والاعوام التإلية كنتيجة لحركة التشغيل التي اتبعت خلال تلك الفترة كتهدئة لثورة المجتمع علي ال</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حوال بصفة عامة لتصل إلي اقل نسبة عام 2014 وهو العام المسمي بعام الفراغ كنتيجة لتعديل نظام الدراسة بالتعليم قبل الجامعي (الصف الخامس والصف السادس الابتدائي) لتصل إلي 27,9٪، ثم تعود لشكلها المعتاد عامي 2015،2016 لترتفع مرة اخري عام 2017 لتصل إلي 34٪.</w:t>
      </w:r>
    </w:p>
    <w:p w:rsidR="00B917B2" w:rsidRPr="00375EB0" w:rsidRDefault="00B917B2" w:rsidP="00616254">
      <w:pPr>
        <w:pStyle w:val="ListParagraph"/>
        <w:numPr>
          <w:ilvl w:val="0"/>
          <w:numId w:val="14"/>
        </w:numPr>
        <w:spacing w:after="0" w:line="240" w:lineRule="auto"/>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أعلى نسب للبطالة كانت بين الحاصلين على مؤهل فني متوسط، </w:t>
      </w:r>
      <w:r w:rsidRPr="00375EB0">
        <w:rPr>
          <w:rFonts w:ascii="Simplified Arabic" w:eastAsia="Calibri" w:hAnsi="Simplified Arabic" w:cs="Simplified Arabic" w:hint="cs"/>
          <w:sz w:val="28"/>
          <w:szCs w:val="28"/>
          <w:rtl/>
          <w:lang w:bidi="ar-EG"/>
        </w:rPr>
        <w:t>و</w:t>
      </w:r>
      <w:r w:rsidRPr="00375EB0">
        <w:rPr>
          <w:rFonts w:ascii="Simplified Arabic" w:eastAsia="Calibri" w:hAnsi="Simplified Arabic" w:cs="Simplified Arabic"/>
          <w:sz w:val="28"/>
          <w:szCs w:val="28"/>
          <w:rtl/>
          <w:lang w:bidi="ar-EG"/>
        </w:rPr>
        <w:t>الحاصلين علي مؤهلات جامعية فأعلي.</w:t>
      </w:r>
    </w:p>
    <w:p w:rsidR="00B917B2" w:rsidRPr="00375EB0" w:rsidRDefault="00B917B2" w:rsidP="00616254">
      <w:pPr>
        <w:pStyle w:val="ListParagraph"/>
        <w:numPr>
          <w:ilvl w:val="0"/>
          <w:numId w:val="14"/>
        </w:numPr>
        <w:spacing w:after="0" w:line="240" w:lineRule="auto"/>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تنخفض نسب البطالة بين الحاصلين على مؤهل جامعي فأعلي بمقدار 5,7 نقطة مئوية لتصل من 39,7٪ عام 2010 إلى 34٪ عام 2017، دالاً ذالك علي اتجاه سوق العمل لاستيعاب الحاصلين علي مؤهلات جامعية فأعلي مقابل الحاصلين علي مؤهل فني متوسط.</w:t>
      </w:r>
    </w:p>
    <w:p w:rsidR="00B917B2" w:rsidRPr="00375EB0" w:rsidRDefault="00B917B2" w:rsidP="00616254">
      <w:pPr>
        <w:pStyle w:val="ListParagraph"/>
        <w:numPr>
          <w:ilvl w:val="0"/>
          <w:numId w:val="14"/>
        </w:numPr>
        <w:spacing w:after="0" w:line="240" w:lineRule="auto"/>
        <w:jc w:val="both"/>
        <w:rPr>
          <w:rFonts w:ascii="Simplified Arabic" w:eastAsia="Calibri" w:hAnsi="Simplified Arabic" w:cs="Simplified Arabic"/>
          <w:sz w:val="28"/>
          <w:szCs w:val="28"/>
          <w:lang w:bidi="ar-EG"/>
        </w:rPr>
      </w:pPr>
      <w:r w:rsidRPr="00375EB0">
        <w:rPr>
          <w:rFonts w:ascii="Simplified Arabic" w:eastAsia="Calibri" w:hAnsi="Simplified Arabic" w:cs="Simplified Arabic"/>
          <w:sz w:val="28"/>
          <w:szCs w:val="28"/>
          <w:rtl/>
          <w:lang w:bidi="ar-EG"/>
        </w:rPr>
        <w:t xml:space="preserve">أقل نسب للبطالة للحاصلين على مؤهل متوسط عام (ثانوية عامة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و ثانوية ازهرية) ربما لقلة عددهم أو ل</w:t>
      </w:r>
      <w:r w:rsidRPr="00375EB0">
        <w:rPr>
          <w:rFonts w:ascii="Simplified Arabic" w:eastAsia="Calibri" w:hAnsi="Simplified Arabic" w:cs="Simplified Arabic" w:hint="cs"/>
          <w:sz w:val="28"/>
          <w:szCs w:val="28"/>
          <w:rtl/>
          <w:lang w:bidi="ar-EG"/>
        </w:rPr>
        <w:t>ق</w:t>
      </w:r>
      <w:r w:rsidRPr="00375EB0">
        <w:rPr>
          <w:rFonts w:ascii="Simplified Arabic" w:eastAsia="Calibri" w:hAnsi="Simplified Arabic" w:cs="Simplified Arabic"/>
          <w:sz w:val="28"/>
          <w:szCs w:val="28"/>
          <w:rtl/>
          <w:lang w:bidi="ar-EG"/>
        </w:rPr>
        <w:t>بولهم العمل عند مستويات معقولة من ال</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 xml:space="preserve">جور، كما </w:t>
      </w:r>
      <w:r w:rsidRPr="00375EB0">
        <w:rPr>
          <w:rFonts w:ascii="Simplified Arabic" w:eastAsia="Calibri" w:hAnsi="Simplified Arabic" w:cs="Simplified Arabic" w:hint="cs"/>
          <w:sz w:val="28"/>
          <w:szCs w:val="28"/>
          <w:rtl/>
          <w:lang w:bidi="ar-EG"/>
        </w:rPr>
        <w:t>أ</w:t>
      </w:r>
      <w:r w:rsidRPr="00375EB0">
        <w:rPr>
          <w:rFonts w:ascii="Simplified Arabic" w:eastAsia="Calibri" w:hAnsi="Simplified Arabic" w:cs="Simplified Arabic"/>
          <w:sz w:val="28"/>
          <w:szCs w:val="28"/>
          <w:rtl/>
          <w:lang w:bidi="ar-EG"/>
        </w:rPr>
        <w:t>نها تأخذ اتجاهاً متناقصاً طوال فترة الدراسة لتصل من 2,</w:t>
      </w:r>
      <w:bookmarkStart w:id="6" w:name="_GoBack"/>
      <w:bookmarkEnd w:id="6"/>
      <w:r w:rsidRPr="00375EB0">
        <w:rPr>
          <w:rFonts w:ascii="Simplified Arabic" w:eastAsia="Calibri" w:hAnsi="Simplified Arabic" w:cs="Simplified Arabic"/>
          <w:sz w:val="28"/>
          <w:szCs w:val="28"/>
          <w:rtl/>
          <w:lang w:bidi="ar-EG"/>
        </w:rPr>
        <w:t>2 ٪ عام 2010 إلي 0,6 ٪ عام 2017.</w:t>
      </w:r>
    </w:p>
    <w:p w:rsidR="00B917B2" w:rsidRPr="00375EB0" w:rsidRDefault="00B917B2" w:rsidP="00B917B2">
      <w:pPr>
        <w:bidi/>
        <w:spacing w:after="0" w:line="240" w:lineRule="auto"/>
        <w:jc w:val="both"/>
        <w:rPr>
          <w:rFonts w:ascii="Simplified Arabic" w:eastAsia="Calibri" w:hAnsi="Simplified Arabic" w:cs="Simplified Arabic"/>
          <w:sz w:val="28"/>
          <w:szCs w:val="28"/>
          <w:rtl/>
          <w:lang w:val="en-US" w:bidi="ar-EG"/>
        </w:rPr>
      </w:pPr>
    </w:p>
    <w:p w:rsidR="00B917B2" w:rsidRPr="00375EB0" w:rsidRDefault="00B917B2" w:rsidP="00B917B2">
      <w:pPr>
        <w:bidi/>
        <w:spacing w:before="120" w:after="120" w:line="240" w:lineRule="auto"/>
        <w:jc w:val="both"/>
        <w:rPr>
          <w:rFonts w:ascii="Simplified Arabic" w:eastAsia="Calibri" w:hAnsi="Simplified Arabic" w:cs="Simplified Arabic"/>
          <w:rtl/>
          <w:lang w:val="en-US" w:bidi="ar-EG"/>
        </w:rPr>
      </w:pPr>
    </w:p>
    <w:p w:rsidR="00B917B2" w:rsidRPr="00375EB0" w:rsidRDefault="00B917B2" w:rsidP="00B917B2">
      <w:pPr>
        <w:bidi/>
        <w:spacing w:before="120" w:after="120" w:line="240" w:lineRule="auto"/>
        <w:jc w:val="both"/>
        <w:rPr>
          <w:rFonts w:ascii="Simplified Arabic" w:eastAsia="Calibri" w:hAnsi="Simplified Arabic" w:cs="Simplified Arabic"/>
          <w:b/>
          <w:bCs/>
          <w:rtl/>
          <w:lang w:val="en-US" w:bidi="ar-EG"/>
        </w:rPr>
      </w:pPr>
    </w:p>
    <w:p w:rsidR="00D54682" w:rsidRDefault="00D54682" w:rsidP="00B917B2">
      <w:pPr>
        <w:bidi/>
        <w:rPr>
          <w:lang w:bidi="ar-EG"/>
        </w:rPr>
      </w:pPr>
    </w:p>
    <w:sectPr w:rsidR="00D54682" w:rsidSect="00B917B2">
      <w:footerReference w:type="default" r:id="rId21"/>
      <w:pgSz w:w="10319" w:h="14572" w:code="13"/>
      <w:pgMar w:top="1134" w:right="1701" w:bottom="1134" w:left="1134"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254" w:rsidRDefault="00616254" w:rsidP="00B917B2">
      <w:pPr>
        <w:spacing w:after="0" w:line="240" w:lineRule="auto"/>
      </w:pPr>
      <w:r>
        <w:separator/>
      </w:r>
    </w:p>
  </w:endnote>
  <w:endnote w:type="continuationSeparator" w:id="0">
    <w:p w:rsidR="00616254" w:rsidRDefault="00616254" w:rsidP="00B91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efRuqaa-Regular">
    <w:altName w:val="Times New Roman"/>
    <w:charset w:val="00"/>
    <w:family w:val="auto"/>
    <w:pitch w:val="variable"/>
    <w:sig w:usb0="00000000" w:usb1="8000004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ontreal-Demi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Interstate-Bold">
    <w:altName w:val="Arial"/>
    <w:panose1 w:val="00000000000000000000"/>
    <w:charset w:val="00"/>
    <w:family w:val="swiss"/>
    <w:notTrueType/>
    <w:pitch w:val="default"/>
    <w:sig w:usb0="00000003" w:usb1="00000000" w:usb2="00000000" w:usb3="00000000" w:csb0="00000001" w:csb1="00000000"/>
  </w:font>
  <w:font w:name="Interstate-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71138063"/>
      <w:docPartObj>
        <w:docPartGallery w:val="Page Numbers (Bottom of Page)"/>
        <w:docPartUnique/>
      </w:docPartObj>
    </w:sdtPr>
    <w:sdtEndPr>
      <w:rPr>
        <w:noProof/>
      </w:rPr>
    </w:sdtEndPr>
    <w:sdtContent>
      <w:p w:rsidR="00B917B2" w:rsidRDefault="00B917B2">
        <w:pPr>
          <w:pStyle w:val="Footer"/>
          <w:jc w:val="center"/>
        </w:pPr>
        <w:r>
          <w:fldChar w:fldCharType="begin"/>
        </w:r>
        <w:r>
          <w:instrText xml:space="preserve"> PAGE   \* MERGEFORMAT </w:instrText>
        </w:r>
        <w:r>
          <w:fldChar w:fldCharType="separate"/>
        </w:r>
        <w:r w:rsidR="00697F9E">
          <w:rPr>
            <w:noProof/>
            <w:rtl/>
          </w:rPr>
          <w:t>53</w:t>
        </w:r>
        <w:r>
          <w:rPr>
            <w:noProof/>
          </w:rPr>
          <w:fldChar w:fldCharType="end"/>
        </w:r>
      </w:p>
    </w:sdtContent>
  </w:sdt>
  <w:p w:rsidR="00B917B2" w:rsidRDefault="00B917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254" w:rsidRDefault="00616254" w:rsidP="00B917B2">
      <w:pPr>
        <w:spacing w:after="0" w:line="240" w:lineRule="auto"/>
      </w:pPr>
      <w:r>
        <w:separator/>
      </w:r>
    </w:p>
  </w:footnote>
  <w:footnote w:type="continuationSeparator" w:id="0">
    <w:p w:rsidR="00616254" w:rsidRDefault="00616254" w:rsidP="00B917B2">
      <w:pPr>
        <w:spacing w:after="0" w:line="240" w:lineRule="auto"/>
      </w:pPr>
      <w:r>
        <w:continuationSeparator/>
      </w:r>
    </w:p>
  </w:footnote>
  <w:footnote w:id="1">
    <w:p w:rsidR="00B917B2" w:rsidRDefault="00B917B2" w:rsidP="00B917B2">
      <w:pPr>
        <w:pStyle w:val="FootnoteText"/>
        <w:bidi/>
        <w:jc w:val="both"/>
        <w:rPr>
          <w:rtl/>
          <w:lang w:bidi="ar-EG"/>
        </w:rPr>
      </w:pPr>
      <w:r>
        <w:rPr>
          <w:rStyle w:val="FootnoteReference"/>
        </w:rPr>
        <w:footnoteRef/>
      </w:r>
      <w:r>
        <w:t xml:space="preserve"> </w:t>
      </w:r>
      <w:r>
        <w:rPr>
          <w:rtl/>
        </w:rPr>
        <w:t xml:space="preserve">حنان جرجس، توطين أهداف التنمية المستدامة على مستوى المحافظات، </w:t>
      </w:r>
      <w:r>
        <w:rPr>
          <w:rFonts w:hint="cs"/>
          <w:rtl/>
        </w:rPr>
        <w:t>2018، المركز</w:t>
      </w:r>
      <w:r>
        <w:rPr>
          <w:rtl/>
        </w:rPr>
        <w:t xml:space="preserve"> المصري لبحوث الرأي العام </w:t>
      </w:r>
      <w:r>
        <w:rPr>
          <w:rFonts w:hint="cs"/>
          <w:rtl/>
        </w:rPr>
        <w:t>(بصيرة</w:t>
      </w:r>
      <w:r>
        <w:t xml:space="preserve"> (</w:t>
      </w:r>
      <w:r>
        <w:rPr>
          <w:rFonts w:hint="cs"/>
          <w:rtl/>
        </w:rPr>
        <w:t>.</w:t>
      </w:r>
    </w:p>
  </w:footnote>
  <w:footnote w:id="2">
    <w:p w:rsidR="00B917B2" w:rsidRDefault="00B917B2" w:rsidP="00B917B2">
      <w:pPr>
        <w:pStyle w:val="FootnoteText"/>
        <w:bidi/>
        <w:rPr>
          <w:rtl/>
          <w:lang w:bidi="ar-EG"/>
        </w:rPr>
      </w:pPr>
      <w:r>
        <w:rPr>
          <w:rStyle w:val="FootnoteReference"/>
        </w:rPr>
        <w:footnoteRef/>
      </w:r>
      <w:r>
        <w:t xml:space="preserve"> </w:t>
      </w:r>
      <w:r>
        <w:rPr>
          <w:rtl/>
        </w:rPr>
        <w:t xml:space="preserve">حسين عبد العزيز، الفرصة السكانية: حالة مصر، </w:t>
      </w:r>
      <w:r>
        <w:rPr>
          <w:rFonts w:hint="cs"/>
          <w:rtl/>
        </w:rPr>
        <w:t>2018، الجهاز</w:t>
      </w:r>
      <w:r>
        <w:rPr>
          <w:rtl/>
        </w:rPr>
        <w:t xml:space="preserve"> المركزي للتعبئة العامة والإحصاء وصندوق الأمم المتحدة للسكان</w:t>
      </w:r>
      <w:r>
        <w:t>.</w:t>
      </w:r>
    </w:p>
  </w:footnote>
  <w:footnote w:id="3">
    <w:p w:rsidR="00B917B2" w:rsidRDefault="00B917B2" w:rsidP="00B917B2">
      <w:pPr>
        <w:pStyle w:val="FootnoteText"/>
      </w:pPr>
      <w:r w:rsidRPr="001B7E52">
        <w:rPr>
          <w:rStyle w:val="FootnoteReference"/>
        </w:rPr>
        <w:footnoteRef/>
      </w:r>
      <w:r w:rsidRPr="001B7E52">
        <w:t xml:space="preserve"> Osman</w:t>
      </w:r>
      <w:r>
        <w:t>.</w:t>
      </w:r>
      <w:r w:rsidRPr="001B7E52">
        <w:t xml:space="preserve"> Magued</w:t>
      </w:r>
      <w:r>
        <w:t>.</w:t>
      </w:r>
      <w:r w:rsidRPr="001B7E52">
        <w:t xml:space="preserve"> Others</w:t>
      </w:r>
      <w:r>
        <w:t>.</w:t>
      </w:r>
      <w:r w:rsidRPr="001B7E52">
        <w:t xml:space="preserve"> Population Situation Analysis</w:t>
      </w:r>
      <w:r>
        <w:t>.</w:t>
      </w:r>
      <w:r w:rsidRPr="001B7E52">
        <w:t xml:space="preserve"> Egyptian Center for Public Opinion Research (Baseera). UNFPA</w:t>
      </w:r>
      <w:r w:rsidRPr="001B7E52">
        <w:rPr>
          <w:rFonts w:hint="cs"/>
          <w:rtl/>
        </w:rPr>
        <w:t xml:space="preserve"> </w:t>
      </w:r>
      <w:r w:rsidRPr="001B7E52">
        <w:t>-2016</w:t>
      </w:r>
    </w:p>
  </w:footnote>
  <w:footnote w:id="4">
    <w:p w:rsidR="00B917B2" w:rsidRPr="005D2023" w:rsidRDefault="00B917B2" w:rsidP="00B917B2">
      <w:pPr>
        <w:pStyle w:val="FootnoteText"/>
        <w:bidi/>
        <w:jc w:val="both"/>
        <w:rPr>
          <w:rtl/>
          <w:lang w:bidi="ar-EG"/>
        </w:rPr>
      </w:pPr>
      <w:r>
        <w:rPr>
          <w:rStyle w:val="FootnoteReference"/>
        </w:rPr>
        <w:footnoteRef/>
      </w:r>
      <w:r>
        <w:t xml:space="preserve"> </w:t>
      </w:r>
      <w:r>
        <w:rPr>
          <w:rFonts w:hint="cs"/>
          <w:rtl/>
        </w:rPr>
        <w:t xml:space="preserve"> </w:t>
      </w:r>
      <w:r w:rsidRPr="00FE1B04">
        <w:rPr>
          <w:rFonts w:ascii="Calibri" w:eastAsia="Calibri" w:hAnsi="Calibri" w:cs="Arial"/>
          <w:sz w:val="22"/>
          <w:szCs w:val="22"/>
          <w:rtl/>
        </w:rPr>
        <w:t>حسين</w:t>
      </w:r>
      <w:r>
        <w:rPr>
          <w:rFonts w:hint="cs"/>
          <w:rtl/>
          <w:lang w:bidi="ar-EG"/>
        </w:rPr>
        <w:t xml:space="preserve"> </w:t>
      </w:r>
      <w:r w:rsidRPr="00FE1B04">
        <w:rPr>
          <w:rFonts w:ascii="Calibri" w:eastAsia="Calibri" w:hAnsi="Calibri" w:cs="Arial"/>
          <w:sz w:val="22"/>
          <w:szCs w:val="22"/>
          <w:rtl/>
        </w:rPr>
        <w:t xml:space="preserve">عبد العزيز، </w:t>
      </w:r>
      <w:r>
        <w:rPr>
          <w:rFonts w:hint="cs"/>
          <w:rtl/>
          <w:lang w:bidi="ar-EG"/>
        </w:rPr>
        <w:t>مرجع سابق ذكره.</w:t>
      </w:r>
    </w:p>
  </w:footnote>
  <w:footnote w:id="5">
    <w:p w:rsidR="00B917B2" w:rsidRDefault="00B917B2" w:rsidP="00B917B2">
      <w:pPr>
        <w:pStyle w:val="FootnoteText"/>
        <w:bidi/>
        <w:rPr>
          <w:rtl/>
          <w:lang w:bidi="ar-EG"/>
        </w:rPr>
      </w:pPr>
      <w:r>
        <w:rPr>
          <w:rStyle w:val="FootnoteReference"/>
        </w:rPr>
        <w:footnoteRef/>
      </w:r>
      <w:r>
        <w:t xml:space="preserve"> </w:t>
      </w:r>
      <w:r>
        <w:rPr>
          <w:rFonts w:hint="cs"/>
          <w:rtl/>
          <w:lang w:bidi="ar-EG"/>
        </w:rPr>
        <w:t xml:space="preserve"> </w:t>
      </w:r>
      <w:r>
        <w:rPr>
          <w:rFonts w:hint="cs"/>
          <w:rtl/>
          <w:lang w:bidi="ar-EG"/>
        </w:rPr>
        <w:t>الجهاز المركزي للتعبئة العامة والاحصاء- تعداد السكان 2017.</w:t>
      </w:r>
    </w:p>
  </w:footnote>
  <w:footnote w:id="6">
    <w:p w:rsidR="00B917B2" w:rsidRDefault="00B917B2" w:rsidP="00B917B2">
      <w:pPr>
        <w:pStyle w:val="FootnoteText"/>
        <w:bidi/>
        <w:rPr>
          <w:rtl/>
          <w:lang w:bidi="ar-EG"/>
        </w:rPr>
      </w:pPr>
      <w:r>
        <w:rPr>
          <w:rStyle w:val="FootnoteReference"/>
        </w:rPr>
        <w:footnoteRef/>
      </w:r>
      <w:r>
        <w:t xml:space="preserve"> </w:t>
      </w:r>
      <w:r>
        <w:rPr>
          <w:rFonts w:hint="cs"/>
          <w:rtl/>
          <w:lang w:bidi="ar-EG"/>
        </w:rPr>
        <w:t>الجهاز المركزي للتعبئة العامة والاحصاء، التعداد العام للسكان والإسكان والمنشآت، 2017.</w:t>
      </w:r>
    </w:p>
  </w:footnote>
  <w:footnote w:id="7">
    <w:p w:rsidR="00B917B2" w:rsidRPr="00B3004D" w:rsidRDefault="00B917B2" w:rsidP="00B917B2">
      <w:pPr>
        <w:pStyle w:val="FootnoteText"/>
        <w:bidi/>
        <w:rPr>
          <w:rtl/>
          <w:lang w:bidi="ar-EG"/>
        </w:rPr>
      </w:pPr>
      <w:r>
        <w:rPr>
          <w:rStyle w:val="FootnoteReference"/>
        </w:rPr>
        <w:footnoteRef/>
      </w:r>
      <w:r>
        <w:t xml:space="preserve"> </w:t>
      </w:r>
      <w:r>
        <w:rPr>
          <w:rFonts w:cs="Arial" w:hint="cs"/>
          <w:rtl/>
        </w:rPr>
        <w:t xml:space="preserve"> </w:t>
      </w:r>
      <w:r w:rsidRPr="00C1751F">
        <w:rPr>
          <w:rFonts w:cs="Arial"/>
          <w:rtl/>
        </w:rPr>
        <w:t>الجهاز المركزي للتعبئة العامة والاحصاء - التعداد العام للسكان والاسكان والمنشآت 2017.</w:t>
      </w:r>
    </w:p>
  </w:footnote>
  <w:footnote w:id="8">
    <w:p w:rsidR="00B917B2" w:rsidRPr="003542D4" w:rsidRDefault="00B917B2" w:rsidP="00B917B2">
      <w:pPr>
        <w:pStyle w:val="FootnoteText"/>
        <w:bidi/>
        <w:rPr>
          <w:rFonts w:ascii="Simplified Arabic" w:hAnsi="Simplified Arabic" w:cs="Simplified Arabic"/>
          <w:rtl/>
          <w:lang w:bidi="ar-EG"/>
        </w:rPr>
      </w:pPr>
      <w:r w:rsidRPr="003542D4">
        <w:rPr>
          <w:rStyle w:val="FootnoteReference"/>
          <w:rFonts w:ascii="Simplified Arabic" w:hAnsi="Simplified Arabic" w:cs="Simplified Arabic"/>
        </w:rPr>
        <w:footnoteRef/>
      </w:r>
      <w:r w:rsidRPr="003542D4">
        <w:rPr>
          <w:rFonts w:ascii="Simplified Arabic" w:hAnsi="Simplified Arabic" w:cs="Simplified Arabic"/>
        </w:rPr>
        <w:t xml:space="preserve"> </w:t>
      </w:r>
      <w:r>
        <w:rPr>
          <w:rFonts w:ascii="Simplified Arabic" w:hAnsi="Simplified Arabic" w:cs="Simplified Arabic" w:hint="cs"/>
          <w:rtl/>
        </w:rPr>
        <w:t xml:space="preserve"> </w:t>
      </w:r>
      <w:r w:rsidRPr="003542D4">
        <w:rPr>
          <w:rFonts w:ascii="Simplified Arabic" w:hAnsi="Simplified Arabic" w:cs="Simplified Arabic"/>
          <w:rtl/>
        </w:rPr>
        <w:t>الجهاز المركزى للتعبئة العامة والإحصاء، مسح الدخل والإنفاق والاستهلاك، سنوات مختلفة.</w:t>
      </w:r>
    </w:p>
  </w:footnote>
  <w:footnote w:id="9">
    <w:p w:rsidR="00B917B2" w:rsidRPr="003542D4" w:rsidRDefault="00B917B2" w:rsidP="00B917B2">
      <w:pPr>
        <w:pStyle w:val="FootnoteText"/>
        <w:bidi/>
        <w:rPr>
          <w:rFonts w:ascii="Simplified Arabic" w:hAnsi="Simplified Arabic" w:cs="Simplified Arabic"/>
          <w:rtl/>
          <w:lang w:bidi="ar-EG"/>
        </w:rPr>
      </w:pPr>
      <w:r w:rsidRPr="003542D4">
        <w:rPr>
          <w:rStyle w:val="FootnoteReference"/>
          <w:rFonts w:ascii="Simplified Arabic" w:hAnsi="Simplified Arabic" w:cs="Simplified Arabic"/>
        </w:rPr>
        <w:footnoteRef/>
      </w:r>
      <w:r w:rsidRPr="003542D4">
        <w:rPr>
          <w:rFonts w:ascii="Simplified Arabic" w:hAnsi="Simplified Arabic" w:cs="Simplified Arabic"/>
        </w:rPr>
        <w:t xml:space="preserve"> </w:t>
      </w:r>
      <w:r>
        <w:rPr>
          <w:rFonts w:ascii="Simplified Arabic" w:hAnsi="Simplified Arabic" w:cs="Simplified Arabic" w:hint="cs"/>
          <w:rtl/>
        </w:rPr>
        <w:t xml:space="preserve"> </w:t>
      </w:r>
      <w:r w:rsidRPr="003542D4">
        <w:rPr>
          <w:rFonts w:ascii="Simplified Arabic" w:hAnsi="Simplified Arabic" w:cs="Simplified Arabic"/>
          <w:rtl/>
          <w:lang w:bidi="ar-EG"/>
        </w:rPr>
        <w:t>وزارة التربية والتعليم، الكتاب الاحصائي السنوي، (2014-2015، 2015-2016).</w:t>
      </w:r>
    </w:p>
  </w:footnote>
  <w:footnote w:id="10">
    <w:p w:rsidR="00B917B2" w:rsidRPr="003542D4" w:rsidRDefault="00B917B2" w:rsidP="00B917B2">
      <w:pPr>
        <w:pStyle w:val="FootnoteText"/>
        <w:bidi/>
        <w:rPr>
          <w:rFonts w:ascii="Simplified Arabic" w:hAnsi="Simplified Arabic" w:cs="Simplified Arabic"/>
          <w:rtl/>
          <w:lang w:bidi="ar-EG"/>
        </w:rPr>
      </w:pPr>
      <w:r w:rsidRPr="003542D4">
        <w:rPr>
          <w:rStyle w:val="FootnoteReference"/>
          <w:rFonts w:ascii="Simplified Arabic" w:hAnsi="Simplified Arabic" w:cs="Simplified Arabic"/>
        </w:rPr>
        <w:footnoteRef/>
      </w:r>
      <w:r w:rsidRPr="003542D4">
        <w:rPr>
          <w:rFonts w:ascii="Simplified Arabic" w:hAnsi="Simplified Arabic" w:cs="Simplified Arabic"/>
        </w:rPr>
        <w:t xml:space="preserve"> </w:t>
      </w:r>
      <w:r w:rsidRPr="003542D4">
        <w:rPr>
          <w:rFonts w:ascii="Simplified Arabic" w:hAnsi="Simplified Arabic" w:cs="Simplified Arabic"/>
          <w:rtl/>
        </w:rPr>
        <w:t>الجهاز المركزي للتعبئة العامة والاحصاء، بحث القوي العاملة، 2010 – 2017</w:t>
      </w:r>
    </w:p>
  </w:footnote>
  <w:footnote w:id="11">
    <w:p w:rsidR="00B917B2" w:rsidRDefault="00B917B2" w:rsidP="00B917B2">
      <w:pPr>
        <w:pStyle w:val="FootnoteText"/>
        <w:bidi/>
        <w:ind w:left="185" w:hanging="185"/>
        <w:jc w:val="both"/>
        <w:rPr>
          <w:rFonts w:ascii="Simplified Arabic" w:hAnsi="Simplified Arabic" w:cs="Simplified Arabic"/>
          <w:sz w:val="18"/>
          <w:szCs w:val="18"/>
          <w:rtl/>
          <w:lang w:bidi="ar-EG"/>
        </w:rPr>
      </w:pPr>
      <w:r>
        <w:rPr>
          <w:rStyle w:val="FootnoteReference"/>
          <w:rFonts w:ascii="Simplified Arabic" w:hAnsi="Simplified Arabic" w:cs="Simplified Arabic"/>
          <w:sz w:val="18"/>
          <w:szCs w:val="18"/>
        </w:rPr>
        <w:footnoteRef/>
      </w:r>
      <w:r>
        <w:rPr>
          <w:rFonts w:ascii="Simplified Arabic" w:hAnsi="Simplified Arabic" w:cs="Simplified Arabic"/>
          <w:sz w:val="18"/>
          <w:szCs w:val="18"/>
        </w:rPr>
        <w:t xml:space="preserve"> </w:t>
      </w:r>
      <w:r>
        <w:rPr>
          <w:rFonts w:ascii="Simplified Arabic" w:hAnsi="Simplified Arabic" w:cs="Simplified Arabic"/>
          <w:sz w:val="18"/>
          <w:szCs w:val="18"/>
          <w:rtl/>
          <w:lang w:bidi="ar-EG"/>
        </w:rPr>
        <w:t xml:space="preserve"> </w:t>
      </w:r>
      <w:r>
        <w:rPr>
          <w:rFonts w:ascii="Simplified Arabic" w:hAnsi="Simplified Arabic" w:cs="Simplified Arabic"/>
          <w:sz w:val="18"/>
          <w:szCs w:val="18"/>
          <w:rtl/>
          <w:lang w:bidi="ar-EG"/>
        </w:rPr>
        <w:t>على عبد الوهاب نجا، مشكلة البطالة وأثر برنامج الإصلاح الاقتصادى عليها (دراسة تحليلية- تطبيقية)، الدار الجامعية، الاسكندرية، 2015، ص 148-149</w:t>
      </w:r>
      <w:r>
        <w:rPr>
          <w:rFonts w:ascii="Simplified Arabic" w:hAnsi="Simplified Arabic" w:cs="Simplified Arabic"/>
          <w:sz w:val="18"/>
          <w:szCs w:val="18"/>
          <w:lang w:bidi="ar-EG"/>
        </w:rPr>
        <w:t>.</w:t>
      </w:r>
    </w:p>
    <w:p w:rsidR="00B917B2" w:rsidRDefault="00B917B2" w:rsidP="00B917B2">
      <w:pPr>
        <w:pStyle w:val="FootnoteText"/>
        <w:bidi/>
        <w:rPr>
          <w:rFonts w:ascii="Simplified Arabic" w:hAnsi="Simplified Arabic" w:cs="Simplified Arabic"/>
          <w:sz w:val="18"/>
          <w:szCs w:val="18"/>
          <w:rtl/>
          <w:lang w:bidi="ar-EG"/>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32A8"/>
    <w:multiLevelType w:val="hybridMultilevel"/>
    <w:tmpl w:val="A5E0360C"/>
    <w:lvl w:ilvl="0" w:tplc="C1ECEF26">
      <w:start w:val="1"/>
      <w:numFmt w:val="arabicAbjad"/>
      <w:lvlText w:val="%1-"/>
      <w:lvlJc w:val="left"/>
      <w:pPr>
        <w:ind w:left="72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06AA9"/>
    <w:multiLevelType w:val="hybridMultilevel"/>
    <w:tmpl w:val="3050F47C"/>
    <w:lvl w:ilvl="0" w:tplc="4BEE4B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222486D"/>
    <w:multiLevelType w:val="hybridMultilevel"/>
    <w:tmpl w:val="3176C9D4"/>
    <w:lvl w:ilvl="0" w:tplc="6560917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54E9F"/>
    <w:multiLevelType w:val="hybridMultilevel"/>
    <w:tmpl w:val="A1B08DC2"/>
    <w:lvl w:ilvl="0" w:tplc="D09A4F16">
      <w:start w:val="1"/>
      <w:numFmt w:val="arabicAbjad"/>
      <w:lvlText w:val="%1-"/>
      <w:lvlJc w:val="left"/>
      <w:pPr>
        <w:ind w:left="89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4" w15:restartNumberingAfterBreak="0">
    <w:nsid w:val="19A87FC9"/>
    <w:multiLevelType w:val="hybridMultilevel"/>
    <w:tmpl w:val="C84A41AA"/>
    <w:lvl w:ilvl="0" w:tplc="66BE184E">
      <w:start w:val="1"/>
      <w:numFmt w:val="decimal"/>
      <w:lvlText w:val="(%1)"/>
      <w:lvlJc w:val="left"/>
      <w:pPr>
        <w:ind w:left="1569" w:hanging="360"/>
      </w:pPr>
      <w:rPr>
        <w:rFonts w:cs="Times New Roman" w:hint="default"/>
      </w:rPr>
    </w:lvl>
    <w:lvl w:ilvl="1" w:tplc="04090019" w:tentative="1">
      <w:start w:val="1"/>
      <w:numFmt w:val="lowerLetter"/>
      <w:lvlText w:val="%2."/>
      <w:lvlJc w:val="left"/>
      <w:pPr>
        <w:ind w:left="2289" w:hanging="360"/>
      </w:pPr>
    </w:lvl>
    <w:lvl w:ilvl="2" w:tplc="0409001B" w:tentative="1">
      <w:start w:val="1"/>
      <w:numFmt w:val="lowerRoman"/>
      <w:lvlText w:val="%3."/>
      <w:lvlJc w:val="right"/>
      <w:pPr>
        <w:ind w:left="3009" w:hanging="180"/>
      </w:p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5" w15:restartNumberingAfterBreak="0">
    <w:nsid w:val="1AE5760B"/>
    <w:multiLevelType w:val="hybridMultilevel"/>
    <w:tmpl w:val="B85C1A7E"/>
    <w:lvl w:ilvl="0" w:tplc="12326602">
      <w:start w:val="1"/>
      <w:numFmt w:val="arabicAbjad"/>
      <w:lvlText w:val="%1-"/>
      <w:lvlJc w:val="left"/>
      <w:pPr>
        <w:ind w:left="720" w:hanging="360"/>
      </w:pPr>
      <w:rPr>
        <w:rFonts w:ascii="Simplified Arabic" w:hAnsi="Simplified Arabic" w:cs="Simplified Arabic" w:hint="default"/>
        <w:b/>
        <w:bCs/>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352B0"/>
    <w:multiLevelType w:val="hybridMultilevel"/>
    <w:tmpl w:val="028E544A"/>
    <w:lvl w:ilvl="0" w:tplc="6560917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92B01"/>
    <w:multiLevelType w:val="hybridMultilevel"/>
    <w:tmpl w:val="33D01858"/>
    <w:lvl w:ilvl="0" w:tplc="A814B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D0B9D"/>
    <w:multiLevelType w:val="hybridMultilevel"/>
    <w:tmpl w:val="E1400704"/>
    <w:lvl w:ilvl="0" w:tplc="A814B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16615B"/>
    <w:multiLevelType w:val="hybridMultilevel"/>
    <w:tmpl w:val="438A7930"/>
    <w:lvl w:ilvl="0" w:tplc="856A9CB0">
      <w:start w:val="1"/>
      <w:numFmt w:val="decimal"/>
      <w:lvlText w:val="(%1)"/>
      <w:lvlJc w:val="left"/>
      <w:pPr>
        <w:ind w:left="89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575DCF"/>
    <w:multiLevelType w:val="hybridMultilevel"/>
    <w:tmpl w:val="33303BF0"/>
    <w:lvl w:ilvl="0" w:tplc="856A9CB0">
      <w:start w:val="1"/>
      <w:numFmt w:val="decimal"/>
      <w:lvlText w:val="(%1)"/>
      <w:lvlJc w:val="left"/>
      <w:pPr>
        <w:ind w:left="89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1" w15:restartNumberingAfterBreak="0">
    <w:nsid w:val="35B76278"/>
    <w:multiLevelType w:val="hybridMultilevel"/>
    <w:tmpl w:val="A9C8D6BC"/>
    <w:lvl w:ilvl="0" w:tplc="47C0F440">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2" w15:restartNumberingAfterBreak="0">
    <w:nsid w:val="50E35EAE"/>
    <w:multiLevelType w:val="hybridMultilevel"/>
    <w:tmpl w:val="1D5EE3F8"/>
    <w:lvl w:ilvl="0" w:tplc="856A9CB0">
      <w:start w:val="1"/>
      <w:numFmt w:val="decimal"/>
      <w:lvlText w:val="(%1)"/>
      <w:lvlJc w:val="left"/>
      <w:pPr>
        <w:ind w:left="72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E0928"/>
    <w:multiLevelType w:val="hybridMultilevel"/>
    <w:tmpl w:val="C5D61E8E"/>
    <w:lvl w:ilvl="0" w:tplc="47C0F440">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4" w15:restartNumberingAfterBreak="0">
    <w:nsid w:val="57B1798E"/>
    <w:multiLevelType w:val="hybridMultilevel"/>
    <w:tmpl w:val="1ECCF7CE"/>
    <w:lvl w:ilvl="0" w:tplc="856A9CB0">
      <w:start w:val="1"/>
      <w:numFmt w:val="decimal"/>
      <w:lvlText w:val="(%1)"/>
      <w:lvlJc w:val="left"/>
      <w:pPr>
        <w:ind w:left="89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B0DE3"/>
    <w:multiLevelType w:val="hybridMultilevel"/>
    <w:tmpl w:val="BA527A4C"/>
    <w:lvl w:ilvl="0" w:tplc="12326602">
      <w:start w:val="1"/>
      <w:numFmt w:val="arabicAbjad"/>
      <w:lvlText w:val="%1-"/>
      <w:lvlJc w:val="left"/>
      <w:pPr>
        <w:ind w:left="720" w:hanging="360"/>
      </w:pPr>
      <w:rPr>
        <w:rFonts w:ascii="Simplified Arabic" w:hAnsi="Simplified Arabic" w:cs="Simplified Arabic" w:hint="default"/>
        <w:b/>
        <w:bCs/>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A423F6"/>
    <w:multiLevelType w:val="hybridMultilevel"/>
    <w:tmpl w:val="17F8FE40"/>
    <w:lvl w:ilvl="0" w:tplc="6008992E">
      <w:start w:val="1"/>
      <w:numFmt w:val="arabicAbjad"/>
      <w:lvlText w:val="%1-"/>
      <w:lvlJc w:val="left"/>
      <w:pPr>
        <w:ind w:left="89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7" w15:restartNumberingAfterBreak="0">
    <w:nsid w:val="5DDA39C8"/>
    <w:multiLevelType w:val="hybridMultilevel"/>
    <w:tmpl w:val="ACFCB7BC"/>
    <w:lvl w:ilvl="0" w:tplc="BD367296">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287597"/>
    <w:multiLevelType w:val="hybridMultilevel"/>
    <w:tmpl w:val="EC10C524"/>
    <w:lvl w:ilvl="0" w:tplc="47C0F440">
      <w:start w:val="1"/>
      <w:numFmt w:val="bullet"/>
      <w:lvlText w:val=""/>
      <w:lvlJc w:val="left"/>
      <w:pPr>
        <w:ind w:left="1457" w:hanging="360"/>
      </w:pPr>
      <w:rPr>
        <w:rFonts w:ascii="Symbol" w:hAnsi="Symbol"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19" w15:restartNumberingAfterBreak="0">
    <w:nsid w:val="676303F6"/>
    <w:multiLevelType w:val="hybridMultilevel"/>
    <w:tmpl w:val="0B82BF60"/>
    <w:lvl w:ilvl="0" w:tplc="654EBBFC">
      <w:start w:val="1"/>
      <w:numFmt w:val="arabicAbjad"/>
      <w:lvlText w:val="%1-"/>
      <w:lvlJc w:val="left"/>
      <w:pPr>
        <w:ind w:left="72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F61D12"/>
    <w:multiLevelType w:val="hybridMultilevel"/>
    <w:tmpl w:val="F11451DC"/>
    <w:lvl w:ilvl="0" w:tplc="12326602">
      <w:start w:val="1"/>
      <w:numFmt w:val="arabicAbjad"/>
      <w:lvlText w:val="%1-"/>
      <w:lvlJc w:val="left"/>
      <w:pPr>
        <w:ind w:left="720" w:hanging="360"/>
      </w:pPr>
      <w:rPr>
        <w:rFonts w:ascii="Simplified Arabic" w:hAnsi="Simplified Arabic" w:cs="Simplified Arabic" w:hint="default"/>
        <w:b/>
        <w:bCs/>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8B6628"/>
    <w:multiLevelType w:val="hybridMultilevel"/>
    <w:tmpl w:val="EC089D60"/>
    <w:lvl w:ilvl="0" w:tplc="6560917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63CB7"/>
    <w:multiLevelType w:val="hybridMultilevel"/>
    <w:tmpl w:val="EDB4B130"/>
    <w:lvl w:ilvl="0" w:tplc="856A9CB0">
      <w:start w:val="1"/>
      <w:numFmt w:val="decimal"/>
      <w:lvlText w:val="(%1)"/>
      <w:lvlJc w:val="left"/>
      <w:pPr>
        <w:ind w:left="72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3F50D2"/>
    <w:multiLevelType w:val="hybridMultilevel"/>
    <w:tmpl w:val="976A3412"/>
    <w:lvl w:ilvl="0" w:tplc="12326602">
      <w:start w:val="1"/>
      <w:numFmt w:val="arabicAbjad"/>
      <w:lvlText w:val="%1-"/>
      <w:lvlJc w:val="left"/>
      <w:pPr>
        <w:ind w:left="720" w:hanging="360"/>
      </w:pPr>
      <w:rPr>
        <w:rFonts w:ascii="Simplified Arabic" w:hAnsi="Simplified Arabic" w:cs="Simplified Arabic" w:hint="default"/>
        <w:b/>
        <w:bCs/>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756426"/>
    <w:multiLevelType w:val="hybridMultilevel"/>
    <w:tmpl w:val="3B78DD46"/>
    <w:lvl w:ilvl="0" w:tplc="856A9CB0">
      <w:start w:val="1"/>
      <w:numFmt w:val="decimal"/>
      <w:lvlText w:val="(%1)"/>
      <w:lvlJc w:val="left"/>
      <w:pPr>
        <w:ind w:left="890" w:hanging="360"/>
      </w:pPr>
      <w:rPr>
        <w:rFonts w:ascii="Simplified Arabic" w:hAnsi="Simplified Arabic" w:cs="Simplified Arabic" w:hint="default"/>
        <w:b w:val="0"/>
        <w:bCs w:val="0"/>
        <w:sz w:val="28"/>
        <w:szCs w:val="28"/>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5" w15:restartNumberingAfterBreak="0">
    <w:nsid w:val="6E906A06"/>
    <w:multiLevelType w:val="hybridMultilevel"/>
    <w:tmpl w:val="8536D3D0"/>
    <w:lvl w:ilvl="0" w:tplc="47C0F440">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72F331EA"/>
    <w:multiLevelType w:val="multilevel"/>
    <w:tmpl w:val="CF56A8BA"/>
    <w:lvl w:ilvl="0">
      <w:start w:val="1"/>
      <w:numFmt w:val="decimal"/>
      <w:lvlText w:val="%1"/>
      <w:lvlJc w:val="left"/>
      <w:pPr>
        <w:ind w:left="495" w:hanging="495"/>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50460D0"/>
    <w:multiLevelType w:val="hybridMultilevel"/>
    <w:tmpl w:val="ACE2D208"/>
    <w:lvl w:ilvl="0" w:tplc="6560917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925079"/>
    <w:multiLevelType w:val="hybridMultilevel"/>
    <w:tmpl w:val="EA1826A0"/>
    <w:lvl w:ilvl="0" w:tplc="47C0F440">
      <w:start w:val="1"/>
      <w:numFmt w:val="bullet"/>
      <w:lvlText w:val=""/>
      <w:lvlJc w:val="left"/>
      <w:pPr>
        <w:ind w:left="1514" w:hanging="360"/>
      </w:pPr>
      <w:rPr>
        <w:rFonts w:ascii="Symbol" w:hAnsi="Symbol"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9" w15:restartNumberingAfterBreak="0">
    <w:nsid w:val="7F5B263B"/>
    <w:multiLevelType w:val="hybridMultilevel"/>
    <w:tmpl w:val="C490832E"/>
    <w:lvl w:ilvl="0" w:tplc="65609178">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7"/>
  </w:num>
  <w:num w:numId="4">
    <w:abstractNumId w:val="4"/>
  </w:num>
  <w:num w:numId="5">
    <w:abstractNumId w:val="18"/>
  </w:num>
  <w:num w:numId="6">
    <w:abstractNumId w:val="28"/>
  </w:num>
  <w:num w:numId="7">
    <w:abstractNumId w:val="13"/>
  </w:num>
  <w:num w:numId="8">
    <w:abstractNumId w:val="25"/>
  </w:num>
  <w:num w:numId="9">
    <w:abstractNumId w:val="11"/>
  </w:num>
  <w:num w:numId="10">
    <w:abstractNumId w:val="6"/>
  </w:num>
  <w:num w:numId="11">
    <w:abstractNumId w:val="2"/>
  </w:num>
  <w:num w:numId="12">
    <w:abstractNumId w:val="27"/>
  </w:num>
  <w:num w:numId="13">
    <w:abstractNumId w:val="21"/>
  </w:num>
  <w:num w:numId="14">
    <w:abstractNumId w:val="29"/>
  </w:num>
  <w:num w:numId="15">
    <w:abstractNumId w:val="20"/>
  </w:num>
  <w:num w:numId="16">
    <w:abstractNumId w:val="7"/>
  </w:num>
  <w:num w:numId="17">
    <w:abstractNumId w:val="5"/>
  </w:num>
  <w:num w:numId="18">
    <w:abstractNumId w:val="15"/>
  </w:num>
  <w:num w:numId="19">
    <w:abstractNumId w:val="24"/>
  </w:num>
  <w:num w:numId="20">
    <w:abstractNumId w:val="14"/>
  </w:num>
  <w:num w:numId="21">
    <w:abstractNumId w:val="9"/>
  </w:num>
  <w:num w:numId="22">
    <w:abstractNumId w:val="0"/>
  </w:num>
  <w:num w:numId="23">
    <w:abstractNumId w:val="10"/>
  </w:num>
  <w:num w:numId="24">
    <w:abstractNumId w:val="23"/>
  </w:num>
  <w:num w:numId="25">
    <w:abstractNumId w:val="22"/>
  </w:num>
  <w:num w:numId="26">
    <w:abstractNumId w:val="12"/>
  </w:num>
  <w:num w:numId="27">
    <w:abstractNumId w:val="16"/>
  </w:num>
  <w:num w:numId="28">
    <w:abstractNumId w:val="3"/>
  </w:num>
  <w:num w:numId="29">
    <w:abstractNumId w:val="8"/>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7B2"/>
    <w:rsid w:val="000670C1"/>
    <w:rsid w:val="0010482B"/>
    <w:rsid w:val="001B6B1B"/>
    <w:rsid w:val="0028452B"/>
    <w:rsid w:val="004029F2"/>
    <w:rsid w:val="00434E84"/>
    <w:rsid w:val="0049430E"/>
    <w:rsid w:val="004D1010"/>
    <w:rsid w:val="00510583"/>
    <w:rsid w:val="005F6757"/>
    <w:rsid w:val="00616254"/>
    <w:rsid w:val="00697F9E"/>
    <w:rsid w:val="006C76AB"/>
    <w:rsid w:val="006E22E5"/>
    <w:rsid w:val="00700BCE"/>
    <w:rsid w:val="00812AFD"/>
    <w:rsid w:val="00847590"/>
    <w:rsid w:val="008C71BA"/>
    <w:rsid w:val="009A0EF8"/>
    <w:rsid w:val="00A01306"/>
    <w:rsid w:val="00AA6E9C"/>
    <w:rsid w:val="00B11028"/>
    <w:rsid w:val="00B917B2"/>
    <w:rsid w:val="00C001E7"/>
    <w:rsid w:val="00D54682"/>
    <w:rsid w:val="00E1563B"/>
    <w:rsid w:val="00E71A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88CE2"/>
  <w15:chartTrackingRefBased/>
  <w15:docId w15:val="{1E3AC63E-DBBE-4341-8ACD-684F4A65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7B2"/>
    <w:pPr>
      <w:spacing w:after="200" w:line="276" w:lineRule="auto"/>
    </w:pPr>
    <w:rPr>
      <w:lang w:val="en-GB"/>
    </w:rPr>
  </w:style>
  <w:style w:type="paragraph" w:styleId="Heading1">
    <w:name w:val="heading 1"/>
    <w:basedOn w:val="Normal"/>
    <w:next w:val="Normal"/>
    <w:link w:val="Heading1Char"/>
    <w:qFormat/>
    <w:rsid w:val="00B917B2"/>
    <w:pPr>
      <w:keepNext/>
      <w:bidi/>
      <w:spacing w:after="0" w:line="240" w:lineRule="auto"/>
      <w:outlineLvl w:val="0"/>
    </w:pPr>
    <w:rPr>
      <w:rFonts w:ascii="Times New Roman" w:eastAsia="Times New Roman" w:hAnsi="Times New Roman" w:cs="Arabic Transparent"/>
      <w:sz w:val="32"/>
      <w:szCs w:val="32"/>
      <w:lang w:val="en-US" w:eastAsia="ar-SA" w:bidi="ar-EG"/>
    </w:rPr>
  </w:style>
  <w:style w:type="paragraph" w:styleId="Heading2">
    <w:name w:val="heading 2"/>
    <w:basedOn w:val="ListParagraph"/>
    <w:next w:val="Normal"/>
    <w:link w:val="Heading2Char"/>
    <w:unhideWhenUsed/>
    <w:qFormat/>
    <w:rsid w:val="00B917B2"/>
    <w:pPr>
      <w:numPr>
        <w:ilvl w:val="1"/>
        <w:numId w:val="1"/>
      </w:numPr>
      <w:tabs>
        <w:tab w:val="left" w:pos="84"/>
      </w:tabs>
      <w:spacing w:before="120" w:after="120" w:line="240" w:lineRule="auto"/>
      <w:ind w:left="0"/>
      <w:jc w:val="lowKashida"/>
      <w:outlineLvl w:val="1"/>
    </w:pPr>
    <w:rPr>
      <w:rFonts w:ascii="Simplified Arabic" w:eastAsia="Times New Roman" w:hAnsi="Simplified Arabic" w:cs="Simplified Arabic"/>
      <w:b/>
      <w:bCs/>
      <w:color w:val="000000"/>
      <w:sz w:val="32"/>
      <w:szCs w:val="32"/>
      <w:lang w:bidi="ar-EG"/>
    </w:rPr>
  </w:style>
  <w:style w:type="paragraph" w:styleId="Heading3">
    <w:name w:val="heading 3"/>
    <w:basedOn w:val="Normal"/>
    <w:link w:val="Heading3Char"/>
    <w:qFormat/>
    <w:rsid w:val="00B917B2"/>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nhideWhenUsed/>
    <w:qFormat/>
    <w:rsid w:val="00B917B2"/>
    <w:pPr>
      <w:tabs>
        <w:tab w:val="left" w:pos="8126"/>
        <w:tab w:val="left" w:pos="9026"/>
      </w:tabs>
      <w:bidi/>
      <w:spacing w:before="120" w:after="120" w:line="240" w:lineRule="auto"/>
      <w:jc w:val="center"/>
      <w:outlineLvl w:val="3"/>
    </w:pPr>
    <w:rPr>
      <w:rFonts w:ascii="Simplified Arabic" w:eastAsiaTheme="minorEastAsia" w:hAnsi="Simplified Arabic" w:cs="Simplified Arabic"/>
      <w:sz w:val="36"/>
      <w:szCs w:val="36"/>
      <w:lang w:val="en-US"/>
    </w:rPr>
  </w:style>
  <w:style w:type="paragraph" w:styleId="Heading5">
    <w:name w:val="heading 5"/>
    <w:basedOn w:val="Normal"/>
    <w:next w:val="Normal"/>
    <w:link w:val="Heading5Char"/>
    <w:qFormat/>
    <w:rsid w:val="00B917B2"/>
    <w:pPr>
      <w:bidi/>
      <w:spacing w:before="240" w:after="60" w:line="240" w:lineRule="auto"/>
      <w:outlineLvl w:val="4"/>
    </w:pPr>
    <w:rPr>
      <w:rFonts w:ascii="Times New Roman" w:eastAsia="Times New Roman" w:hAnsi="Times New Roman" w:cs="Traditional Arabic"/>
      <w:b/>
      <w:bCs/>
      <w:i/>
      <w:iCs/>
      <w:sz w:val="26"/>
      <w:szCs w:val="26"/>
      <w:lang w:val="en-US"/>
    </w:rPr>
  </w:style>
  <w:style w:type="paragraph" w:styleId="Heading6">
    <w:name w:val="heading 6"/>
    <w:basedOn w:val="Normal"/>
    <w:next w:val="Normal"/>
    <w:link w:val="Heading6Char"/>
    <w:qFormat/>
    <w:rsid w:val="00B917B2"/>
    <w:pPr>
      <w:bidi/>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qFormat/>
    <w:rsid w:val="00B917B2"/>
    <w:pPr>
      <w:bidi/>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qFormat/>
    <w:rsid w:val="00B917B2"/>
    <w:pPr>
      <w:bidi/>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B917B2"/>
    <w:pPr>
      <w:bidi/>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17B2"/>
    <w:rPr>
      <w:rFonts w:ascii="Times New Roman" w:eastAsia="Times New Roman" w:hAnsi="Times New Roman" w:cs="Arabic Transparent"/>
      <w:sz w:val="32"/>
      <w:szCs w:val="32"/>
      <w:lang w:eastAsia="ar-SA" w:bidi="ar-EG"/>
    </w:rPr>
  </w:style>
  <w:style w:type="character" w:customStyle="1" w:styleId="Heading2Char">
    <w:name w:val="Heading 2 Char"/>
    <w:basedOn w:val="DefaultParagraphFont"/>
    <w:link w:val="Heading2"/>
    <w:rsid w:val="00B917B2"/>
    <w:rPr>
      <w:rFonts w:ascii="Simplified Arabic" w:eastAsia="Times New Roman" w:hAnsi="Simplified Arabic" w:cs="Simplified Arabic"/>
      <w:b/>
      <w:bCs/>
      <w:color w:val="000000"/>
      <w:sz w:val="32"/>
      <w:szCs w:val="32"/>
      <w:lang w:bidi="ar-EG"/>
    </w:rPr>
  </w:style>
  <w:style w:type="character" w:customStyle="1" w:styleId="Heading3Char">
    <w:name w:val="Heading 3 Char"/>
    <w:basedOn w:val="DefaultParagraphFont"/>
    <w:link w:val="Heading3"/>
    <w:rsid w:val="00B917B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B917B2"/>
    <w:rPr>
      <w:rFonts w:ascii="Simplified Arabic" w:eastAsiaTheme="minorEastAsia" w:hAnsi="Simplified Arabic" w:cs="Simplified Arabic"/>
      <w:sz w:val="36"/>
      <w:szCs w:val="36"/>
    </w:rPr>
  </w:style>
  <w:style w:type="character" w:customStyle="1" w:styleId="Heading5Char">
    <w:name w:val="Heading 5 Char"/>
    <w:basedOn w:val="DefaultParagraphFont"/>
    <w:link w:val="Heading5"/>
    <w:rsid w:val="00B917B2"/>
    <w:rPr>
      <w:rFonts w:ascii="Times New Roman" w:eastAsia="Times New Roman" w:hAnsi="Times New Roman" w:cs="Traditional Arabic"/>
      <w:b/>
      <w:bCs/>
      <w:i/>
      <w:iCs/>
      <w:sz w:val="26"/>
      <w:szCs w:val="26"/>
    </w:rPr>
  </w:style>
  <w:style w:type="character" w:customStyle="1" w:styleId="Heading6Char">
    <w:name w:val="Heading 6 Char"/>
    <w:basedOn w:val="DefaultParagraphFont"/>
    <w:link w:val="Heading6"/>
    <w:rsid w:val="00B917B2"/>
    <w:rPr>
      <w:rFonts w:ascii="Times New Roman" w:eastAsia="Times New Roman" w:hAnsi="Times New Roman" w:cs="Times New Roman"/>
      <w:b/>
      <w:bCs/>
    </w:rPr>
  </w:style>
  <w:style w:type="character" w:customStyle="1" w:styleId="Heading7Char">
    <w:name w:val="Heading 7 Char"/>
    <w:basedOn w:val="DefaultParagraphFont"/>
    <w:link w:val="Heading7"/>
    <w:rsid w:val="00B917B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917B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917B2"/>
    <w:rPr>
      <w:rFonts w:ascii="Arial" w:eastAsia="Times New Roman" w:hAnsi="Arial" w:cs="Arial"/>
    </w:rPr>
  </w:style>
  <w:style w:type="numbering" w:customStyle="1" w:styleId="NoList1">
    <w:name w:val="No List1"/>
    <w:next w:val="NoList"/>
    <w:uiPriority w:val="99"/>
    <w:semiHidden/>
    <w:unhideWhenUsed/>
    <w:rsid w:val="00B917B2"/>
  </w:style>
  <w:style w:type="paragraph" w:styleId="Header">
    <w:name w:val="header"/>
    <w:basedOn w:val="Normal"/>
    <w:link w:val="HeaderChar"/>
    <w:unhideWhenUsed/>
    <w:rsid w:val="00B917B2"/>
    <w:pPr>
      <w:tabs>
        <w:tab w:val="center" w:pos="4153"/>
        <w:tab w:val="right" w:pos="8306"/>
      </w:tabs>
      <w:bidi/>
      <w:spacing w:after="0" w:line="240" w:lineRule="auto"/>
    </w:pPr>
    <w:rPr>
      <w:lang w:val="en-US"/>
    </w:rPr>
  </w:style>
  <w:style w:type="character" w:customStyle="1" w:styleId="HeaderChar">
    <w:name w:val="Header Char"/>
    <w:basedOn w:val="DefaultParagraphFont"/>
    <w:link w:val="Header"/>
    <w:rsid w:val="00B917B2"/>
  </w:style>
  <w:style w:type="paragraph" w:styleId="Footer">
    <w:name w:val="footer"/>
    <w:basedOn w:val="Normal"/>
    <w:link w:val="FooterChar"/>
    <w:uiPriority w:val="99"/>
    <w:unhideWhenUsed/>
    <w:rsid w:val="00B917B2"/>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B917B2"/>
  </w:style>
  <w:style w:type="paragraph" w:styleId="ListParagraph">
    <w:name w:val="List Paragraph"/>
    <w:aliases w:val="lp1,numbered,FooterText,List Paragraph1,Paragraphe de liste1,Bulletr List Paragraph,列出段落,列出段落1,List Paragraph2,List Paragraph21,Párrafo de lista1,Parágrafo da Lista1,リスト段落1,Listeafsnit1,Use Case List Paragraph,Bullet List,lp11,YC Bulet"/>
    <w:basedOn w:val="Normal"/>
    <w:link w:val="ListParagraphChar"/>
    <w:qFormat/>
    <w:rsid w:val="00B917B2"/>
    <w:pPr>
      <w:bidi/>
      <w:ind w:left="720"/>
      <w:contextualSpacing/>
    </w:pPr>
    <w:rPr>
      <w:lang w:val="en-US"/>
    </w:rPr>
  </w:style>
  <w:style w:type="paragraph" w:styleId="NormalWeb">
    <w:name w:val="Normal (Web)"/>
    <w:basedOn w:val="Normal"/>
    <w:uiPriority w:val="99"/>
    <w:unhideWhenUsed/>
    <w:rsid w:val="00B917B2"/>
    <w:pPr>
      <w:spacing w:before="100" w:beforeAutospacing="1" w:after="100" w:afterAutospacing="1" w:line="240" w:lineRule="auto"/>
    </w:pPr>
    <w:rPr>
      <w:rFonts w:ascii="Times New Roman" w:eastAsiaTheme="minorEastAsia" w:hAnsi="Times New Roman" w:cs="Times New Roman"/>
      <w:sz w:val="24"/>
      <w:szCs w:val="24"/>
      <w:lang w:val="en-US"/>
    </w:rPr>
  </w:style>
  <w:style w:type="table" w:styleId="TableGrid">
    <w:name w:val="Table Grid"/>
    <w:basedOn w:val="TableNormal"/>
    <w:uiPriority w:val="39"/>
    <w:rsid w:val="00B91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B917B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BalloonText">
    <w:name w:val="Balloon Text"/>
    <w:basedOn w:val="Normal"/>
    <w:link w:val="BalloonTextChar"/>
    <w:uiPriority w:val="99"/>
    <w:semiHidden/>
    <w:unhideWhenUsed/>
    <w:rsid w:val="00B917B2"/>
    <w:pPr>
      <w:bidi/>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B917B2"/>
    <w:rPr>
      <w:rFonts w:ascii="Tahoma" w:hAnsi="Tahoma" w:cs="Tahoma"/>
      <w:sz w:val="16"/>
      <w:szCs w:val="16"/>
    </w:rPr>
  </w:style>
  <w:style w:type="numbering" w:customStyle="1" w:styleId="NoList11">
    <w:name w:val="No List11"/>
    <w:next w:val="NoList"/>
    <w:uiPriority w:val="99"/>
    <w:semiHidden/>
    <w:unhideWhenUsed/>
    <w:rsid w:val="00B917B2"/>
  </w:style>
  <w:style w:type="table" w:customStyle="1" w:styleId="TableGrid1">
    <w:name w:val="Table Grid1"/>
    <w:basedOn w:val="TableNormal"/>
    <w:next w:val="TableGrid"/>
    <w:uiPriority w:val="59"/>
    <w:rsid w:val="00B917B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B917B2"/>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2">
    <w:name w:val="Light List Accent 2"/>
    <w:basedOn w:val="TableNormal"/>
    <w:uiPriority w:val="61"/>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efRuqaa-Regular" w:eastAsia="Times New Roman" w:hAnsi="ArefRuqaa-Regul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efRuqaa-Regular" w:eastAsia="Times New Roman" w:hAnsi="ArefRuqaa-Regul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efRuqaa-Regular" w:eastAsia="Times New Roman" w:hAnsi="ArefRuqaa-Regular" w:cs="Times New Roman"/>
        <w:b/>
        <w:bCs/>
      </w:rPr>
    </w:tblStylePr>
    <w:tblStylePr w:type="lastCol">
      <w:rPr>
        <w:rFonts w:ascii="ArefRuqaa-Regular" w:eastAsia="Times New Roman" w:hAnsi="ArefRuqaa-Regul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NoSpacing">
    <w:name w:val="No Spacing"/>
    <w:link w:val="NoSpacingChar"/>
    <w:uiPriority w:val="1"/>
    <w:qFormat/>
    <w:rsid w:val="00B917B2"/>
    <w:pPr>
      <w:spacing w:after="0" w:line="240" w:lineRule="auto"/>
    </w:pPr>
    <w:rPr>
      <w:rFonts w:ascii="Calibri" w:eastAsia="Calibri" w:hAnsi="Calibri" w:cs="Arial"/>
    </w:rPr>
  </w:style>
  <w:style w:type="character" w:customStyle="1" w:styleId="ListParagraphChar">
    <w:name w:val="List Paragraph Char"/>
    <w:aliases w:val="lp1 Char,numbered Char,FooterText Char,List Paragraph1 Char,Paragraphe de liste1 Char,Bulletr List Paragraph Char,列出段落 Char,列出段落1 Char,List Paragraph2 Char,List Paragraph21 Char,Párrafo de lista1 Char,Parágrafo da Lista1 Char"/>
    <w:link w:val="ListParagraph"/>
    <w:qFormat/>
    <w:locked/>
    <w:rsid w:val="00B917B2"/>
  </w:style>
  <w:style w:type="paragraph" w:customStyle="1" w:styleId="ColorfulList-Accent12">
    <w:name w:val="Colorful List - Accent 12"/>
    <w:basedOn w:val="Normal"/>
    <w:uiPriority w:val="34"/>
    <w:qFormat/>
    <w:rsid w:val="00B917B2"/>
    <w:pPr>
      <w:spacing w:after="0" w:line="240" w:lineRule="auto"/>
      <w:ind w:left="720"/>
      <w:contextualSpacing/>
    </w:pPr>
    <w:rPr>
      <w:rFonts w:ascii="Cambria" w:eastAsia="Times New Roman" w:hAnsi="Cambria"/>
      <w:sz w:val="24"/>
      <w:szCs w:val="24"/>
      <w:lang w:val="en-US"/>
    </w:rPr>
  </w:style>
  <w:style w:type="table" w:customStyle="1" w:styleId="LightShading1">
    <w:name w:val="Light Shading1"/>
    <w:basedOn w:val="TableNormal"/>
    <w:uiPriority w:val="60"/>
    <w:rsid w:val="00B917B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B917B2"/>
  </w:style>
  <w:style w:type="table" w:customStyle="1" w:styleId="TableGrid2">
    <w:name w:val="Table Grid2"/>
    <w:basedOn w:val="TableNormal"/>
    <w:next w:val="TableGrid"/>
    <w:uiPriority w:val="59"/>
    <w:rsid w:val="00B917B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B917B2"/>
    <w:pPr>
      <w:spacing w:after="0" w:line="240" w:lineRule="auto"/>
      <w:jc w:val="center"/>
    </w:pPr>
    <w:rPr>
      <w:rFonts w:eastAsiaTheme="minorEastAsia"/>
      <w:sz w:val="28"/>
      <w:szCs w:val="28"/>
      <w:lang w:bidi="en-US"/>
    </w:rPr>
    <w:tblPr>
      <w:tblBorders>
        <w:insideV w:val="single" w:sz="4" w:space="0" w:color="9CC2E5" w:themeColor="accent1" w:themeTint="99"/>
      </w:tblBorders>
    </w:tblPr>
    <w:tblStylePr w:type="firstRow">
      <w:rPr>
        <w:rFonts w:asciiTheme="majorHAnsi" w:eastAsiaTheme="majorEastAsia" w:hAnsiTheme="majorHAnsi" w:cstheme="majorBidi"/>
        <w:caps/>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styleId="LightShading">
    <w:name w:val="Light Shading"/>
    <w:basedOn w:val="TableNormal"/>
    <w:uiPriority w:val="60"/>
    <w:rsid w:val="00B917B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3">
    <w:name w:val="No List3"/>
    <w:next w:val="NoList"/>
    <w:uiPriority w:val="99"/>
    <w:semiHidden/>
    <w:unhideWhenUsed/>
    <w:rsid w:val="00B917B2"/>
  </w:style>
  <w:style w:type="table" w:customStyle="1" w:styleId="TableGrid3">
    <w:name w:val="Table Grid3"/>
    <w:basedOn w:val="TableNormal"/>
    <w:next w:val="TableGrid"/>
    <w:rsid w:val="00B917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B917B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stTable1Light-Accent41">
    <w:name w:val="List Table 1 Light - Accent 41"/>
    <w:basedOn w:val="TableNormal"/>
    <w:uiPriority w:val="46"/>
    <w:rsid w:val="00B917B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61">
    <w:name w:val="List Table 1 Light - Accent 61"/>
    <w:basedOn w:val="TableNormal"/>
    <w:uiPriority w:val="46"/>
    <w:rsid w:val="00B917B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NoList4">
    <w:name w:val="No List4"/>
    <w:next w:val="NoList"/>
    <w:uiPriority w:val="99"/>
    <w:semiHidden/>
    <w:unhideWhenUsed/>
    <w:rsid w:val="00B917B2"/>
  </w:style>
  <w:style w:type="table" w:customStyle="1" w:styleId="TableGrid4">
    <w:name w:val="Table Grid4"/>
    <w:basedOn w:val="TableNormal"/>
    <w:next w:val="TableGrid"/>
    <w:rsid w:val="00B917B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B917B2"/>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hps">
    <w:name w:val="hps"/>
    <w:basedOn w:val="DefaultParagraphFont"/>
    <w:rsid w:val="00B917B2"/>
  </w:style>
  <w:style w:type="numbering" w:customStyle="1" w:styleId="NoList5">
    <w:name w:val="No List5"/>
    <w:next w:val="NoList"/>
    <w:uiPriority w:val="99"/>
    <w:semiHidden/>
    <w:unhideWhenUsed/>
    <w:rsid w:val="00B917B2"/>
  </w:style>
  <w:style w:type="paragraph" w:styleId="FootnoteText">
    <w:name w:val="footnote text"/>
    <w:basedOn w:val="Normal"/>
    <w:link w:val="FootnoteTextChar"/>
    <w:uiPriority w:val="99"/>
    <w:unhideWhenUsed/>
    <w:rsid w:val="00B917B2"/>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B917B2"/>
    <w:rPr>
      <w:rFonts w:eastAsiaTheme="minorEastAsia"/>
      <w:sz w:val="20"/>
      <w:szCs w:val="20"/>
    </w:rPr>
  </w:style>
  <w:style w:type="character" w:styleId="FootnoteReference">
    <w:name w:val="footnote reference"/>
    <w:basedOn w:val="DefaultParagraphFont"/>
    <w:unhideWhenUsed/>
    <w:rsid w:val="00B917B2"/>
    <w:rPr>
      <w:vertAlign w:val="superscript"/>
    </w:rPr>
  </w:style>
  <w:style w:type="table" w:customStyle="1" w:styleId="TableGrid5">
    <w:name w:val="Table Grid5"/>
    <w:basedOn w:val="TableNormal"/>
    <w:next w:val="TableGrid"/>
    <w:rsid w:val="00B917B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B917B2"/>
    <w:rPr>
      <w:rFonts w:eastAsiaTheme="minorEastAsia"/>
      <w:sz w:val="20"/>
      <w:szCs w:val="20"/>
    </w:rPr>
  </w:style>
  <w:style w:type="paragraph" w:styleId="EndnoteText">
    <w:name w:val="endnote text"/>
    <w:basedOn w:val="Normal"/>
    <w:link w:val="EndnoteTextChar"/>
    <w:uiPriority w:val="99"/>
    <w:semiHidden/>
    <w:unhideWhenUsed/>
    <w:rsid w:val="00B917B2"/>
    <w:pPr>
      <w:spacing w:after="0" w:line="240" w:lineRule="auto"/>
    </w:pPr>
    <w:rPr>
      <w:rFonts w:eastAsiaTheme="minorEastAsia"/>
      <w:sz w:val="20"/>
      <w:szCs w:val="20"/>
      <w:lang w:val="en-US"/>
    </w:rPr>
  </w:style>
  <w:style w:type="character" w:customStyle="1" w:styleId="EndnoteTextChar1">
    <w:name w:val="Endnote Text Char1"/>
    <w:basedOn w:val="DefaultParagraphFont"/>
    <w:uiPriority w:val="99"/>
    <w:semiHidden/>
    <w:rsid w:val="00B917B2"/>
    <w:rPr>
      <w:sz w:val="20"/>
      <w:szCs w:val="20"/>
      <w:lang w:val="en-GB"/>
    </w:rPr>
  </w:style>
  <w:style w:type="character" w:customStyle="1" w:styleId="shorttext">
    <w:name w:val="short_text"/>
    <w:basedOn w:val="DefaultParagraphFont"/>
    <w:rsid w:val="00B917B2"/>
  </w:style>
  <w:style w:type="paragraph" w:customStyle="1" w:styleId="Default">
    <w:name w:val="Default"/>
    <w:uiPriority w:val="99"/>
    <w:rsid w:val="00B917B2"/>
    <w:pPr>
      <w:autoSpaceDE w:val="0"/>
      <w:autoSpaceDN w:val="0"/>
      <w:adjustRightInd w:val="0"/>
      <w:spacing w:after="0" w:line="240" w:lineRule="auto"/>
    </w:pPr>
    <w:rPr>
      <w:rFonts w:ascii="Calibri" w:eastAsiaTheme="minorEastAsia" w:hAnsi="Calibri" w:cs="Calibri"/>
      <w:color w:val="000000"/>
      <w:sz w:val="24"/>
      <w:szCs w:val="24"/>
    </w:rPr>
  </w:style>
  <w:style w:type="character" w:styleId="Hyperlink">
    <w:name w:val="Hyperlink"/>
    <w:basedOn w:val="DefaultParagraphFont"/>
    <w:uiPriority w:val="99"/>
    <w:unhideWhenUsed/>
    <w:rsid w:val="00B917B2"/>
    <w:rPr>
      <w:color w:val="0563C1" w:themeColor="hyperlink"/>
      <w:u w:val="single"/>
    </w:rPr>
  </w:style>
  <w:style w:type="character" w:customStyle="1" w:styleId="articlecontent">
    <w:name w:val="articlecontent"/>
    <w:basedOn w:val="DefaultParagraphFont"/>
    <w:rsid w:val="00B917B2"/>
  </w:style>
  <w:style w:type="character" w:customStyle="1" w:styleId="A0">
    <w:name w:val="A0"/>
    <w:uiPriority w:val="99"/>
    <w:rsid w:val="00B917B2"/>
    <w:rPr>
      <w:rFonts w:cs="Montreal-DemiBold"/>
      <w:color w:val="000000"/>
      <w:sz w:val="62"/>
      <w:szCs w:val="62"/>
    </w:rPr>
  </w:style>
  <w:style w:type="character" w:customStyle="1" w:styleId="A2">
    <w:name w:val="A2"/>
    <w:uiPriority w:val="99"/>
    <w:rsid w:val="00B917B2"/>
    <w:rPr>
      <w:rFonts w:cs="Helvetica"/>
      <w:color w:val="000000"/>
      <w:sz w:val="18"/>
      <w:szCs w:val="18"/>
    </w:rPr>
  </w:style>
  <w:style w:type="character" w:customStyle="1" w:styleId="A7">
    <w:name w:val="A7"/>
    <w:uiPriority w:val="99"/>
    <w:rsid w:val="00B917B2"/>
    <w:rPr>
      <w:rFonts w:cs="Helvetica"/>
      <w:color w:val="000000"/>
      <w:sz w:val="10"/>
      <w:szCs w:val="10"/>
    </w:rPr>
  </w:style>
  <w:style w:type="paragraph" w:customStyle="1" w:styleId="Pa3">
    <w:name w:val="Pa3"/>
    <w:basedOn w:val="Default"/>
    <w:next w:val="Default"/>
    <w:uiPriority w:val="99"/>
    <w:rsid w:val="00B917B2"/>
    <w:pPr>
      <w:spacing w:line="181" w:lineRule="atLeast"/>
    </w:pPr>
    <w:rPr>
      <w:rFonts w:ascii="Interstate-Bold" w:hAnsi="Interstate-Bold" w:cstheme="minorBidi"/>
      <w:color w:val="auto"/>
    </w:rPr>
  </w:style>
  <w:style w:type="character" w:customStyle="1" w:styleId="A6">
    <w:name w:val="A6"/>
    <w:uiPriority w:val="99"/>
    <w:rsid w:val="00B917B2"/>
    <w:rPr>
      <w:rFonts w:ascii="Interstate-Light" w:hAnsi="Interstate-Light" w:cs="Interstate-Light"/>
      <w:color w:val="000000"/>
      <w:sz w:val="10"/>
      <w:szCs w:val="10"/>
    </w:rPr>
  </w:style>
  <w:style w:type="paragraph" w:styleId="Bibliography">
    <w:name w:val="Bibliography"/>
    <w:basedOn w:val="Normal"/>
    <w:next w:val="Normal"/>
    <w:uiPriority w:val="37"/>
    <w:unhideWhenUsed/>
    <w:rsid w:val="00B917B2"/>
    <w:rPr>
      <w:rFonts w:eastAsiaTheme="minorEastAsia"/>
      <w:lang w:val="en-US"/>
    </w:rPr>
  </w:style>
  <w:style w:type="character" w:customStyle="1" w:styleId="contribdegrees">
    <w:name w:val="contribdegrees"/>
    <w:basedOn w:val="DefaultParagraphFont"/>
    <w:rsid w:val="00B917B2"/>
  </w:style>
  <w:style w:type="paragraph" w:styleId="TOC3">
    <w:name w:val="toc 3"/>
    <w:basedOn w:val="Normal"/>
    <w:next w:val="Normal"/>
    <w:autoRedefine/>
    <w:uiPriority w:val="39"/>
    <w:unhideWhenUsed/>
    <w:rsid w:val="00B917B2"/>
    <w:pPr>
      <w:spacing w:after="100"/>
      <w:ind w:left="440"/>
    </w:pPr>
    <w:rPr>
      <w:rFonts w:eastAsiaTheme="minorEastAsia"/>
      <w:lang w:val="en-US"/>
    </w:rPr>
  </w:style>
  <w:style w:type="paragraph" w:styleId="TOC1">
    <w:name w:val="toc 1"/>
    <w:basedOn w:val="Normal"/>
    <w:next w:val="Normal"/>
    <w:autoRedefine/>
    <w:uiPriority w:val="39"/>
    <w:unhideWhenUsed/>
    <w:rsid w:val="00B917B2"/>
    <w:pPr>
      <w:spacing w:after="100"/>
    </w:pPr>
    <w:rPr>
      <w:rFonts w:eastAsiaTheme="minorEastAsia"/>
      <w:lang w:val="en-US"/>
    </w:rPr>
  </w:style>
  <w:style w:type="character" w:styleId="Strong">
    <w:name w:val="Strong"/>
    <w:basedOn w:val="DefaultParagraphFont"/>
    <w:uiPriority w:val="22"/>
    <w:qFormat/>
    <w:rsid w:val="00B917B2"/>
    <w:rPr>
      <w:b/>
      <w:bCs/>
    </w:rPr>
  </w:style>
  <w:style w:type="paragraph" w:styleId="Caption">
    <w:name w:val="caption"/>
    <w:basedOn w:val="Normal"/>
    <w:next w:val="Normal"/>
    <w:uiPriority w:val="35"/>
    <w:unhideWhenUsed/>
    <w:qFormat/>
    <w:rsid w:val="00B917B2"/>
    <w:pPr>
      <w:spacing w:line="240" w:lineRule="auto"/>
    </w:pPr>
    <w:rPr>
      <w:rFonts w:eastAsiaTheme="minorEastAsia"/>
      <w:b/>
      <w:bCs/>
      <w:color w:val="5B9BD5" w:themeColor="accent1"/>
      <w:sz w:val="18"/>
      <w:szCs w:val="18"/>
      <w:lang w:val="en-US"/>
    </w:rPr>
  </w:style>
  <w:style w:type="paragraph" w:styleId="TableofFigures">
    <w:name w:val="table of figures"/>
    <w:basedOn w:val="Normal"/>
    <w:next w:val="Normal"/>
    <w:uiPriority w:val="99"/>
    <w:unhideWhenUsed/>
    <w:rsid w:val="00B917B2"/>
    <w:pPr>
      <w:spacing w:after="0"/>
      <w:ind w:left="440" w:hanging="440"/>
    </w:pPr>
    <w:rPr>
      <w:rFonts w:eastAsiaTheme="minorEastAsia" w:cs="Times New Roman"/>
      <w:caps/>
      <w:sz w:val="20"/>
      <w:szCs w:val="24"/>
      <w:lang w:val="en-US"/>
    </w:rPr>
  </w:style>
  <w:style w:type="paragraph" w:styleId="TOC2">
    <w:name w:val="toc 2"/>
    <w:basedOn w:val="Normal"/>
    <w:next w:val="Normal"/>
    <w:autoRedefine/>
    <w:uiPriority w:val="39"/>
    <w:unhideWhenUsed/>
    <w:rsid w:val="00B917B2"/>
    <w:pPr>
      <w:spacing w:after="100"/>
      <w:ind w:left="220"/>
    </w:pPr>
    <w:rPr>
      <w:rFonts w:eastAsiaTheme="minorEastAsia"/>
      <w:lang w:val="en-US"/>
    </w:rPr>
  </w:style>
  <w:style w:type="character" w:customStyle="1" w:styleId="st">
    <w:name w:val="st"/>
    <w:basedOn w:val="DefaultParagraphFont"/>
    <w:rsid w:val="00B917B2"/>
  </w:style>
  <w:style w:type="character" w:customStyle="1" w:styleId="articlecitationvolume">
    <w:name w:val="articlecitation_volume"/>
    <w:basedOn w:val="DefaultParagraphFont"/>
    <w:rsid w:val="00B917B2"/>
  </w:style>
  <w:style w:type="character" w:customStyle="1" w:styleId="tlid-translation">
    <w:name w:val="tlid-translation"/>
    <w:basedOn w:val="DefaultParagraphFont"/>
    <w:rsid w:val="00B917B2"/>
  </w:style>
  <w:style w:type="numbering" w:customStyle="1" w:styleId="NoList111">
    <w:name w:val="No List111"/>
    <w:next w:val="NoList"/>
    <w:uiPriority w:val="99"/>
    <w:semiHidden/>
    <w:unhideWhenUsed/>
    <w:rsid w:val="00B917B2"/>
  </w:style>
  <w:style w:type="numbering" w:customStyle="1" w:styleId="NoList21">
    <w:name w:val="No List21"/>
    <w:next w:val="NoList"/>
    <w:uiPriority w:val="99"/>
    <w:semiHidden/>
    <w:unhideWhenUsed/>
    <w:rsid w:val="00B917B2"/>
  </w:style>
  <w:style w:type="numbering" w:customStyle="1" w:styleId="NoList31">
    <w:name w:val="No List31"/>
    <w:next w:val="NoList"/>
    <w:uiPriority w:val="99"/>
    <w:semiHidden/>
    <w:unhideWhenUsed/>
    <w:rsid w:val="00B917B2"/>
  </w:style>
  <w:style w:type="numbering" w:customStyle="1" w:styleId="NoList41">
    <w:name w:val="No List41"/>
    <w:next w:val="NoList"/>
    <w:uiPriority w:val="99"/>
    <w:semiHidden/>
    <w:unhideWhenUsed/>
    <w:rsid w:val="00B917B2"/>
  </w:style>
  <w:style w:type="numbering" w:customStyle="1" w:styleId="NoList6">
    <w:name w:val="No List6"/>
    <w:next w:val="NoList"/>
    <w:uiPriority w:val="99"/>
    <w:semiHidden/>
    <w:unhideWhenUsed/>
    <w:rsid w:val="00B917B2"/>
  </w:style>
  <w:style w:type="table" w:customStyle="1" w:styleId="TableGrid6">
    <w:name w:val="Table Grid6"/>
    <w:basedOn w:val="TableNormal"/>
    <w:next w:val="TableGrid"/>
    <w:rsid w:val="00B917B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
    <w:name w:val="Light Shading - Accent 41"/>
    <w:basedOn w:val="TableNormal"/>
    <w:next w:val="LightShading-Accent4"/>
    <w:uiPriority w:val="60"/>
    <w:rsid w:val="00B917B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numbering" w:customStyle="1" w:styleId="NoList12">
    <w:name w:val="No List12"/>
    <w:next w:val="NoList"/>
    <w:uiPriority w:val="99"/>
    <w:semiHidden/>
    <w:unhideWhenUsed/>
    <w:rsid w:val="00B917B2"/>
  </w:style>
  <w:style w:type="table" w:customStyle="1" w:styleId="TableGrid11">
    <w:name w:val="Table Grid11"/>
    <w:basedOn w:val="TableNormal"/>
    <w:next w:val="TableGrid"/>
    <w:uiPriority w:val="59"/>
    <w:rsid w:val="00B917B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rsid w:val="00B917B2"/>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21">
    <w:name w:val="Light List - Accent 21"/>
    <w:basedOn w:val="TableNormal"/>
    <w:next w:val="LightList-Accent2"/>
    <w:uiPriority w:val="61"/>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basedOn w:val="TableNormal"/>
    <w:next w:val="LightGrid-Accent2"/>
    <w:uiPriority w:val="62"/>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efRuqaa-Regular" w:eastAsia="Times New Roman" w:hAnsi="ArefRuqaa-Regul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efRuqaa-Regular" w:eastAsia="Times New Roman" w:hAnsi="ArefRuqaa-Regul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efRuqaa-Regular" w:eastAsia="Times New Roman" w:hAnsi="ArefRuqaa-Regular" w:cs="Times New Roman"/>
        <w:b/>
        <w:bCs/>
      </w:rPr>
    </w:tblStylePr>
    <w:tblStylePr w:type="lastCol">
      <w:rPr>
        <w:rFonts w:ascii="ArefRuqaa-Regular" w:eastAsia="Times New Roman" w:hAnsi="ArefRuqaa-Regul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11">
    <w:name w:val="Light Shading11"/>
    <w:basedOn w:val="TableNormal"/>
    <w:uiPriority w:val="60"/>
    <w:rsid w:val="00B917B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2">
    <w:name w:val="No List22"/>
    <w:next w:val="NoList"/>
    <w:uiPriority w:val="99"/>
    <w:semiHidden/>
    <w:unhideWhenUsed/>
    <w:rsid w:val="00B917B2"/>
  </w:style>
  <w:style w:type="table" w:customStyle="1" w:styleId="TableGrid21">
    <w:name w:val="Table Grid21"/>
    <w:basedOn w:val="TableNormal"/>
    <w:next w:val="TableGrid"/>
    <w:uiPriority w:val="59"/>
    <w:rsid w:val="00B917B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
    <w:name w:val="Calendar 21"/>
    <w:basedOn w:val="TableNormal"/>
    <w:uiPriority w:val="99"/>
    <w:qFormat/>
    <w:rsid w:val="00B917B2"/>
    <w:pPr>
      <w:spacing w:after="0" w:line="240" w:lineRule="auto"/>
      <w:jc w:val="center"/>
    </w:pPr>
    <w:rPr>
      <w:rFonts w:eastAsiaTheme="minorEastAsia"/>
      <w:sz w:val="28"/>
      <w:szCs w:val="28"/>
      <w:lang w:bidi="en-US"/>
    </w:rPr>
    <w:tblPr>
      <w:tblBorders>
        <w:insideV w:val="single" w:sz="4" w:space="0" w:color="9CC2E5" w:themeColor="accent1" w:themeTint="99"/>
      </w:tblBorders>
    </w:tblPr>
    <w:tblStylePr w:type="firstRow">
      <w:rPr>
        <w:rFonts w:asciiTheme="majorHAnsi" w:eastAsiaTheme="majorEastAsia" w:hAnsiTheme="majorHAnsi" w:cstheme="majorBidi"/>
        <w:caps/>
        <w:color w:val="5B9BD5"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
    <w:name w:val="Light Shading2"/>
    <w:basedOn w:val="TableNormal"/>
    <w:next w:val="LightShading"/>
    <w:uiPriority w:val="60"/>
    <w:rsid w:val="00B917B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32">
    <w:name w:val="No List32"/>
    <w:next w:val="NoList"/>
    <w:uiPriority w:val="99"/>
    <w:semiHidden/>
    <w:unhideWhenUsed/>
    <w:rsid w:val="00B917B2"/>
  </w:style>
  <w:style w:type="table" w:customStyle="1" w:styleId="TableGrid31">
    <w:name w:val="Table Grid31"/>
    <w:basedOn w:val="TableNormal"/>
    <w:next w:val="TableGrid"/>
    <w:rsid w:val="00B917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21">
    <w:name w:val="Light Shading - Accent 21"/>
    <w:basedOn w:val="TableNormal"/>
    <w:next w:val="LightShading-Accent2"/>
    <w:uiPriority w:val="60"/>
    <w:rsid w:val="00B917B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stTable1Light-Accent411">
    <w:name w:val="List Table 1 Light - Accent 411"/>
    <w:basedOn w:val="TableNormal"/>
    <w:uiPriority w:val="46"/>
    <w:rsid w:val="00B917B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611">
    <w:name w:val="List Table 1 Light - Accent 611"/>
    <w:basedOn w:val="TableNormal"/>
    <w:uiPriority w:val="46"/>
    <w:rsid w:val="00B917B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NoList42">
    <w:name w:val="No List42"/>
    <w:next w:val="NoList"/>
    <w:uiPriority w:val="99"/>
    <w:semiHidden/>
    <w:unhideWhenUsed/>
    <w:rsid w:val="00B917B2"/>
  </w:style>
  <w:style w:type="table" w:customStyle="1" w:styleId="TableGrid41">
    <w:name w:val="Table Grid41"/>
    <w:basedOn w:val="TableNormal"/>
    <w:next w:val="TableGrid"/>
    <w:rsid w:val="00B917B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1">
    <w:name w:val="Medium Grid 3 - Accent 51"/>
    <w:basedOn w:val="TableNormal"/>
    <w:next w:val="MediumGrid3-Accent5"/>
    <w:uiPriority w:val="69"/>
    <w:rsid w:val="00B917B2"/>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numbering" w:customStyle="1" w:styleId="NoList7">
    <w:name w:val="No List7"/>
    <w:next w:val="NoList"/>
    <w:uiPriority w:val="99"/>
    <w:semiHidden/>
    <w:unhideWhenUsed/>
    <w:rsid w:val="00B917B2"/>
  </w:style>
  <w:style w:type="character" w:styleId="FollowedHyperlink">
    <w:name w:val="FollowedHyperlink"/>
    <w:basedOn w:val="DefaultParagraphFont"/>
    <w:uiPriority w:val="99"/>
    <w:semiHidden/>
    <w:unhideWhenUsed/>
    <w:rsid w:val="00B917B2"/>
    <w:rPr>
      <w:color w:val="954F72" w:themeColor="followedHyperlink"/>
      <w:u w:val="single"/>
    </w:rPr>
  </w:style>
  <w:style w:type="paragraph" w:customStyle="1" w:styleId="msonormal0">
    <w:name w:val="msonormal"/>
    <w:basedOn w:val="Normal"/>
    <w:uiPriority w:val="99"/>
    <w:rsid w:val="00B917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oonTextChar1">
    <w:name w:val="Balloon Text Char1"/>
    <w:basedOn w:val="DefaultParagraphFont"/>
    <w:uiPriority w:val="99"/>
    <w:semiHidden/>
    <w:rsid w:val="00B917B2"/>
    <w:rPr>
      <w:rFonts w:ascii="Segoe UI" w:eastAsia="Times New Roman" w:hAnsi="Segoe UI" w:cs="Segoe UI" w:hint="default"/>
      <w:sz w:val="18"/>
      <w:szCs w:val="18"/>
    </w:rPr>
  </w:style>
  <w:style w:type="table" w:customStyle="1" w:styleId="TableGrid7">
    <w:name w:val="Table Grid7"/>
    <w:basedOn w:val="TableNormal"/>
    <w:next w:val="TableGrid"/>
    <w:rsid w:val="00B917B2"/>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semiHidden/>
    <w:unhideWhenUsed/>
    <w:rsid w:val="00B917B2"/>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22">
    <w:name w:val="Light Shading - Accent 22"/>
    <w:basedOn w:val="TableNormal"/>
    <w:next w:val="LightShading-Accent2"/>
    <w:uiPriority w:val="60"/>
    <w:semiHidden/>
    <w:unhideWhenUsed/>
    <w:rsid w:val="00B917B2"/>
    <w:pPr>
      <w:spacing w:after="0" w:line="240" w:lineRule="auto"/>
    </w:pPr>
    <w:rPr>
      <w:rFonts w:ascii="Calibri" w:eastAsia="Calibri" w:hAnsi="Calibri" w:cs="Arial"/>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22">
    <w:name w:val="Light List - Accent 22"/>
    <w:basedOn w:val="TableNormal"/>
    <w:next w:val="LightList-Accent2"/>
    <w:uiPriority w:val="61"/>
    <w:semiHidden/>
    <w:unhideWhenUsed/>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2">
    <w:name w:val="Light Grid - Accent 22"/>
    <w:basedOn w:val="TableNormal"/>
    <w:next w:val="LightGrid-Accent2"/>
    <w:uiPriority w:val="62"/>
    <w:semiHidden/>
    <w:unhideWhenUsed/>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ArefRuqaa-Regular" w:eastAsia="Times New Roman" w:hAnsi="ArefRuqaa-Regular"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ArefRuqaa-Regular" w:eastAsia="Times New Roman" w:hAnsi="ArefRuqaa-Regular"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efRuqaa-Regular" w:eastAsia="Times New Roman" w:hAnsi="ArefRuqaa-Regular" w:cs="Times New Roman" w:hint="default"/>
        <w:b/>
        <w:bCs/>
      </w:rPr>
    </w:tblStylePr>
    <w:tblStylePr w:type="lastCol">
      <w:rPr>
        <w:rFonts w:ascii="ArefRuqaa-Regular" w:eastAsia="Times New Roman" w:hAnsi="ArefRuqaa-Regular"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42">
    <w:name w:val="Light Shading - Accent 42"/>
    <w:basedOn w:val="TableNormal"/>
    <w:next w:val="LightShading-Accent4"/>
    <w:uiPriority w:val="60"/>
    <w:semiHidden/>
    <w:unhideWhenUsed/>
    <w:rsid w:val="00B917B2"/>
    <w:pPr>
      <w:spacing w:after="0" w:line="240" w:lineRule="auto"/>
    </w:pPr>
    <w:rPr>
      <w:rFonts w:ascii="Calibri" w:eastAsia="Calibri" w:hAnsi="Calibri" w:cs="Arial"/>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LightList-Accent52">
    <w:name w:val="Light List - Accent 52"/>
    <w:basedOn w:val="TableNormal"/>
    <w:next w:val="LightList-Accent5"/>
    <w:uiPriority w:val="61"/>
    <w:semiHidden/>
    <w:unhideWhenUsed/>
    <w:rsid w:val="00B917B2"/>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2">
    <w:name w:val="Medium Grid 3 - Accent 52"/>
    <w:basedOn w:val="TableNormal"/>
    <w:next w:val="MediumGrid3-Accent5"/>
    <w:uiPriority w:val="69"/>
    <w:semiHidden/>
    <w:unhideWhenUsed/>
    <w:rsid w:val="00B917B2"/>
    <w:pPr>
      <w:spacing w:after="0" w:line="240" w:lineRule="auto"/>
    </w:pPr>
    <w:rPr>
      <w:rFonts w:ascii="Calibri" w:eastAsia="Times New Roman" w:hAnsi="Calibri"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1">
    <w:name w:val="تظليل فاتح1"/>
    <w:basedOn w:val="TableNormal"/>
    <w:uiPriority w:val="60"/>
    <w:rsid w:val="00B917B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8">
    <w:name w:val="No List8"/>
    <w:next w:val="NoList"/>
    <w:uiPriority w:val="99"/>
    <w:semiHidden/>
    <w:unhideWhenUsed/>
    <w:rsid w:val="00B917B2"/>
  </w:style>
  <w:style w:type="paragraph" w:styleId="CommentText">
    <w:name w:val="annotation text"/>
    <w:basedOn w:val="Normal"/>
    <w:link w:val="CommentTextChar"/>
    <w:semiHidden/>
    <w:unhideWhenUsed/>
    <w:rsid w:val="00B917B2"/>
    <w:pPr>
      <w:bidi/>
      <w:spacing w:line="240" w:lineRule="auto"/>
    </w:pPr>
    <w:rPr>
      <w:rFonts w:ascii="Calibri" w:eastAsia="Calibri" w:hAnsi="Calibri" w:cs="Arial"/>
      <w:sz w:val="20"/>
      <w:szCs w:val="20"/>
      <w:lang w:val="en-US"/>
    </w:rPr>
  </w:style>
  <w:style w:type="character" w:customStyle="1" w:styleId="CommentTextChar">
    <w:name w:val="Comment Text Char"/>
    <w:basedOn w:val="DefaultParagraphFont"/>
    <w:link w:val="CommentText"/>
    <w:semiHidden/>
    <w:rsid w:val="00B917B2"/>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B917B2"/>
    <w:rPr>
      <w:b/>
      <w:bCs/>
    </w:rPr>
  </w:style>
  <w:style w:type="character" w:customStyle="1" w:styleId="CommentSubjectChar">
    <w:name w:val="Comment Subject Char"/>
    <w:basedOn w:val="CommentTextChar"/>
    <w:link w:val="CommentSubject"/>
    <w:uiPriority w:val="99"/>
    <w:semiHidden/>
    <w:rsid w:val="00B917B2"/>
    <w:rPr>
      <w:rFonts w:ascii="Calibri" w:eastAsia="Calibri" w:hAnsi="Calibri" w:cs="Arial"/>
      <w:b/>
      <w:bCs/>
      <w:sz w:val="20"/>
      <w:szCs w:val="20"/>
    </w:rPr>
  </w:style>
  <w:style w:type="character" w:styleId="CommentReference">
    <w:name w:val="annotation reference"/>
    <w:basedOn w:val="DefaultParagraphFont"/>
    <w:uiPriority w:val="99"/>
    <w:semiHidden/>
    <w:unhideWhenUsed/>
    <w:rsid w:val="00B917B2"/>
    <w:rPr>
      <w:sz w:val="16"/>
      <w:szCs w:val="16"/>
    </w:rPr>
  </w:style>
  <w:style w:type="table" w:customStyle="1" w:styleId="TableGrid8">
    <w:name w:val="Table Grid8"/>
    <w:basedOn w:val="TableNormal"/>
    <w:next w:val="TableGrid"/>
    <w:rsid w:val="00B917B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B917B2"/>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3">
    <w:name w:val="Light Shading - Accent 23"/>
    <w:basedOn w:val="TableNormal"/>
    <w:next w:val="LightShading-Accent2"/>
    <w:uiPriority w:val="60"/>
    <w:semiHidden/>
    <w:unhideWhenUsed/>
    <w:rsid w:val="00B917B2"/>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3">
    <w:name w:val="Light List - Accent 23"/>
    <w:basedOn w:val="TableNormal"/>
    <w:next w:val="LightList-Accent2"/>
    <w:uiPriority w:val="61"/>
    <w:semiHidden/>
    <w:unhideWhenUsed/>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3">
    <w:name w:val="Light Grid - Accent 23"/>
    <w:basedOn w:val="TableNormal"/>
    <w:next w:val="LightGrid-Accent2"/>
    <w:uiPriority w:val="62"/>
    <w:semiHidden/>
    <w:unhideWhenUsed/>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Roboto" w:eastAsia="Times New Roman" w:hAnsi="Roboto"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Roboto" w:eastAsia="Times New Roman" w:hAnsi="Roboto"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Roboto" w:eastAsia="Times New Roman" w:hAnsi="Roboto" w:cs="Times New Roman" w:hint="default"/>
        <w:b/>
        <w:bCs/>
      </w:rPr>
    </w:tblStylePr>
    <w:tblStylePr w:type="lastCol">
      <w:rPr>
        <w:rFonts w:ascii="Roboto" w:eastAsia="Times New Roman" w:hAnsi="Roboto"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43">
    <w:name w:val="Light Shading - Accent 43"/>
    <w:basedOn w:val="TableNormal"/>
    <w:next w:val="LightShading-Accent4"/>
    <w:uiPriority w:val="60"/>
    <w:semiHidden/>
    <w:unhideWhenUsed/>
    <w:rsid w:val="00B917B2"/>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53">
    <w:name w:val="Light List - Accent 53"/>
    <w:basedOn w:val="TableNormal"/>
    <w:next w:val="LightList-Accent5"/>
    <w:uiPriority w:val="61"/>
    <w:semiHidden/>
    <w:unhideWhenUsed/>
    <w:rsid w:val="00B917B2"/>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3">
    <w:name w:val="Medium Grid 3 - Accent 53"/>
    <w:basedOn w:val="TableNormal"/>
    <w:next w:val="MediumGrid3-Accent5"/>
    <w:uiPriority w:val="69"/>
    <w:semiHidden/>
    <w:unhideWhenUsed/>
    <w:rsid w:val="00B917B2"/>
    <w:pPr>
      <w:spacing w:after="0" w:line="240" w:lineRule="auto"/>
    </w:pPr>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12">
    <w:name w:val="Table Grid12"/>
    <w:basedOn w:val="TableNormal"/>
    <w:uiPriority w:val="59"/>
    <w:rsid w:val="00B917B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B917B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rsid w:val="00B917B2"/>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rsid w:val="00B917B2"/>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1">
    <w:name w:val="Light Shading - Accent 411"/>
    <w:basedOn w:val="TableNormal"/>
    <w:uiPriority w:val="60"/>
    <w:rsid w:val="00B917B2"/>
    <w:pPr>
      <w:spacing w:after="0" w:line="240" w:lineRule="auto"/>
    </w:pPr>
    <w:rPr>
      <w:rFonts w:ascii="Calibri" w:eastAsia="Calibri" w:hAnsi="Calibri" w:cs="Arial"/>
      <w:sz w:val="20"/>
      <w:szCs w:val="20"/>
    </w:rPr>
    <w:tbl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style>
  <w:style w:type="table" w:customStyle="1" w:styleId="TableGrid211">
    <w:name w:val="Table Grid211"/>
    <w:basedOn w:val="TableNormal"/>
    <w:uiPriority w:val="59"/>
    <w:rsid w:val="00B917B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B917B2"/>
    <w:pPr>
      <w:spacing w:after="0" w:line="240" w:lineRule="auto"/>
    </w:pPr>
    <w:rPr>
      <w:rFonts w:ascii="Calibri" w:eastAsia="Calibri" w:hAnsi="Calibri" w:cs="Arial"/>
      <w:sz w:val="20"/>
      <w:szCs w:val="20"/>
    </w:rPr>
    <w:tbl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MediumGrid3-Accent511">
    <w:name w:val="Medium Grid 3 - Accent 511"/>
    <w:basedOn w:val="TableNormal"/>
    <w:uiPriority w:val="69"/>
    <w:rsid w:val="00B917B2"/>
    <w:pPr>
      <w:spacing w:after="0" w:line="240" w:lineRule="auto"/>
    </w:pPr>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style>
  <w:style w:type="table" w:customStyle="1" w:styleId="LightList-Accent221">
    <w:name w:val="Light List - Accent 221"/>
    <w:basedOn w:val="TableNormal"/>
    <w:uiPriority w:val="61"/>
    <w:semiHidden/>
    <w:rsid w:val="00B917B2"/>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21">
    <w:name w:val="Light Grid - Accent 221"/>
    <w:basedOn w:val="TableNormal"/>
    <w:uiPriority w:val="62"/>
    <w:semiHidden/>
    <w:rsid w:val="00B917B2"/>
    <w:pPr>
      <w:spacing w:after="0" w:line="240" w:lineRule="auto"/>
    </w:pPr>
    <w:rPr>
      <w:rFonts w:ascii="Calibri" w:eastAsia="Calibri" w:hAnsi="Calibri" w:cs="Arial"/>
      <w:sz w:val="20"/>
      <w:szCs w:val="20"/>
    </w:rPr>
    <w:tbl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EndnoteReference">
    <w:name w:val="endnote reference"/>
    <w:basedOn w:val="DefaultParagraphFont"/>
    <w:uiPriority w:val="99"/>
    <w:semiHidden/>
    <w:unhideWhenUsed/>
    <w:rsid w:val="00B917B2"/>
    <w:rPr>
      <w:vertAlign w:val="superscript"/>
    </w:rPr>
  </w:style>
  <w:style w:type="paragraph" w:customStyle="1" w:styleId="Table">
    <w:name w:val="Table"/>
    <w:basedOn w:val="Normal"/>
    <w:link w:val="TableChar"/>
    <w:qFormat/>
    <w:rsid w:val="00B917B2"/>
    <w:pPr>
      <w:bidi/>
      <w:spacing w:before="120" w:after="120" w:line="240" w:lineRule="auto"/>
      <w:jc w:val="center"/>
    </w:pPr>
    <w:rPr>
      <w:rFonts w:ascii="Sakkal Majalla" w:hAnsi="Sakkal Majalla" w:cs="Sakkal Majalla"/>
      <w:b/>
      <w:bCs/>
      <w:i/>
      <w:iCs/>
      <w:color w:val="002060"/>
      <w:sz w:val="24"/>
      <w:szCs w:val="24"/>
      <w:lang w:val="en-US" w:bidi="ar-EG"/>
    </w:rPr>
  </w:style>
  <w:style w:type="character" w:customStyle="1" w:styleId="TableChar">
    <w:name w:val="Table Char"/>
    <w:basedOn w:val="DefaultParagraphFont"/>
    <w:link w:val="Table"/>
    <w:rsid w:val="00B917B2"/>
    <w:rPr>
      <w:rFonts w:ascii="Sakkal Majalla" w:hAnsi="Sakkal Majalla" w:cs="Sakkal Majalla"/>
      <w:b/>
      <w:bCs/>
      <w:i/>
      <w:iCs/>
      <w:color w:val="002060"/>
      <w:sz w:val="24"/>
      <w:szCs w:val="24"/>
      <w:lang w:bidi="ar-EG"/>
    </w:rPr>
  </w:style>
  <w:style w:type="table" w:customStyle="1" w:styleId="PlainTable11">
    <w:name w:val="Plain Table 11"/>
    <w:basedOn w:val="TableNormal"/>
    <w:uiPriority w:val="41"/>
    <w:rsid w:val="00B917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basedOn w:val="DefaultParagraphFont"/>
    <w:link w:val="NoSpacing"/>
    <w:uiPriority w:val="1"/>
    <w:rsid w:val="00B917B2"/>
    <w:rPr>
      <w:rFonts w:ascii="Calibri" w:eastAsia="Calibri" w:hAnsi="Calibri" w:cs="Arial"/>
    </w:rPr>
  </w:style>
  <w:style w:type="table" w:customStyle="1" w:styleId="LightShading-Accent421">
    <w:name w:val="Light Shading - Accent 421"/>
    <w:basedOn w:val="TableNormal"/>
    <w:next w:val="LightShading-Accent4"/>
    <w:uiPriority w:val="60"/>
    <w:semiHidden/>
    <w:unhideWhenUsed/>
    <w:rsid w:val="00B917B2"/>
    <w:pPr>
      <w:spacing w:after="0" w:line="240" w:lineRule="auto"/>
    </w:pPr>
    <w:rPr>
      <w:rFonts w:ascii="Calibri" w:eastAsia="Calibri" w:hAnsi="Calibri" w:cs="Arial"/>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PlainTable111">
    <w:name w:val="Plain Table 111"/>
    <w:basedOn w:val="TableNormal"/>
    <w:uiPriority w:val="41"/>
    <w:rsid w:val="00B917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9">
    <w:name w:val="No List9"/>
    <w:next w:val="NoList"/>
    <w:uiPriority w:val="99"/>
    <w:semiHidden/>
    <w:unhideWhenUsed/>
    <w:rsid w:val="00B917B2"/>
  </w:style>
  <w:style w:type="numbering" w:customStyle="1" w:styleId="NoList13">
    <w:name w:val="No List13"/>
    <w:next w:val="NoList"/>
    <w:uiPriority w:val="99"/>
    <w:semiHidden/>
    <w:unhideWhenUsed/>
    <w:rsid w:val="00B917B2"/>
  </w:style>
  <w:style w:type="numbering" w:customStyle="1" w:styleId="NoList23">
    <w:name w:val="No List23"/>
    <w:next w:val="NoList"/>
    <w:uiPriority w:val="99"/>
    <w:semiHidden/>
    <w:unhideWhenUsed/>
    <w:rsid w:val="00B917B2"/>
  </w:style>
  <w:style w:type="numbering" w:customStyle="1" w:styleId="NoList33">
    <w:name w:val="No List33"/>
    <w:next w:val="NoList"/>
    <w:uiPriority w:val="99"/>
    <w:semiHidden/>
    <w:unhideWhenUsed/>
    <w:rsid w:val="00B917B2"/>
  </w:style>
  <w:style w:type="numbering" w:customStyle="1" w:styleId="NoList43">
    <w:name w:val="No List43"/>
    <w:next w:val="NoList"/>
    <w:uiPriority w:val="99"/>
    <w:semiHidden/>
    <w:unhideWhenUsed/>
    <w:rsid w:val="00B917B2"/>
  </w:style>
  <w:style w:type="numbering" w:customStyle="1" w:styleId="NoList51">
    <w:name w:val="No List51"/>
    <w:next w:val="NoList"/>
    <w:uiPriority w:val="99"/>
    <w:semiHidden/>
    <w:unhideWhenUsed/>
    <w:rsid w:val="00B917B2"/>
  </w:style>
  <w:style w:type="numbering" w:customStyle="1" w:styleId="NoList112">
    <w:name w:val="No List112"/>
    <w:next w:val="NoList"/>
    <w:uiPriority w:val="99"/>
    <w:semiHidden/>
    <w:unhideWhenUsed/>
    <w:rsid w:val="00B917B2"/>
  </w:style>
  <w:style w:type="numbering" w:customStyle="1" w:styleId="NoList211">
    <w:name w:val="No List211"/>
    <w:next w:val="NoList"/>
    <w:uiPriority w:val="99"/>
    <w:semiHidden/>
    <w:unhideWhenUsed/>
    <w:rsid w:val="00B917B2"/>
  </w:style>
  <w:style w:type="numbering" w:customStyle="1" w:styleId="NoList311">
    <w:name w:val="No List311"/>
    <w:next w:val="NoList"/>
    <w:uiPriority w:val="99"/>
    <w:semiHidden/>
    <w:unhideWhenUsed/>
    <w:rsid w:val="00B917B2"/>
  </w:style>
  <w:style w:type="numbering" w:customStyle="1" w:styleId="NoList411">
    <w:name w:val="No List411"/>
    <w:next w:val="NoList"/>
    <w:uiPriority w:val="99"/>
    <w:semiHidden/>
    <w:unhideWhenUsed/>
    <w:rsid w:val="00B917B2"/>
  </w:style>
  <w:style w:type="numbering" w:customStyle="1" w:styleId="NoList61">
    <w:name w:val="No List61"/>
    <w:next w:val="NoList"/>
    <w:uiPriority w:val="99"/>
    <w:semiHidden/>
    <w:unhideWhenUsed/>
    <w:rsid w:val="00B917B2"/>
  </w:style>
  <w:style w:type="numbering" w:customStyle="1" w:styleId="NoList121">
    <w:name w:val="No List121"/>
    <w:next w:val="NoList"/>
    <w:uiPriority w:val="99"/>
    <w:semiHidden/>
    <w:unhideWhenUsed/>
    <w:rsid w:val="00B917B2"/>
  </w:style>
  <w:style w:type="numbering" w:customStyle="1" w:styleId="NoList221">
    <w:name w:val="No List221"/>
    <w:next w:val="NoList"/>
    <w:uiPriority w:val="99"/>
    <w:semiHidden/>
    <w:unhideWhenUsed/>
    <w:rsid w:val="00B917B2"/>
  </w:style>
  <w:style w:type="numbering" w:customStyle="1" w:styleId="NoList321">
    <w:name w:val="No List321"/>
    <w:next w:val="NoList"/>
    <w:uiPriority w:val="99"/>
    <w:semiHidden/>
    <w:unhideWhenUsed/>
    <w:rsid w:val="00B917B2"/>
  </w:style>
  <w:style w:type="numbering" w:customStyle="1" w:styleId="NoList421">
    <w:name w:val="No List421"/>
    <w:next w:val="NoList"/>
    <w:uiPriority w:val="99"/>
    <w:semiHidden/>
    <w:unhideWhenUsed/>
    <w:rsid w:val="00B917B2"/>
  </w:style>
  <w:style w:type="numbering" w:customStyle="1" w:styleId="NoList71">
    <w:name w:val="No List71"/>
    <w:next w:val="NoList"/>
    <w:uiPriority w:val="99"/>
    <w:semiHidden/>
    <w:unhideWhenUsed/>
    <w:rsid w:val="00B917B2"/>
  </w:style>
  <w:style w:type="numbering" w:customStyle="1" w:styleId="NoList81">
    <w:name w:val="No List81"/>
    <w:next w:val="NoList"/>
    <w:uiPriority w:val="99"/>
    <w:semiHidden/>
    <w:unhideWhenUsed/>
    <w:rsid w:val="00B917B2"/>
  </w:style>
  <w:style w:type="numbering" w:customStyle="1" w:styleId="NoList91">
    <w:name w:val="No List91"/>
    <w:next w:val="NoList"/>
    <w:uiPriority w:val="99"/>
    <w:semiHidden/>
    <w:unhideWhenUsed/>
    <w:rsid w:val="00B917B2"/>
  </w:style>
  <w:style w:type="character" w:styleId="PageNumber">
    <w:name w:val="page number"/>
    <w:basedOn w:val="DefaultParagraphFont"/>
    <w:rsid w:val="00B917B2"/>
  </w:style>
  <w:style w:type="paragraph" w:styleId="BodyText">
    <w:name w:val="Body Text"/>
    <w:basedOn w:val="Normal"/>
    <w:link w:val="BodyTextChar"/>
    <w:rsid w:val="00B917B2"/>
    <w:pPr>
      <w:bidi/>
      <w:spacing w:after="0" w:line="240" w:lineRule="auto"/>
    </w:pPr>
    <w:rPr>
      <w:rFonts w:ascii="Times New Roman" w:eastAsia="Times New Roman" w:hAnsi="Times New Roman" w:cs="Simplified Arabic"/>
      <w:sz w:val="20"/>
      <w:lang w:val="en-US"/>
    </w:rPr>
  </w:style>
  <w:style w:type="character" w:customStyle="1" w:styleId="BodyTextChar">
    <w:name w:val="Body Text Char"/>
    <w:basedOn w:val="DefaultParagraphFont"/>
    <w:link w:val="BodyText"/>
    <w:rsid w:val="00B917B2"/>
    <w:rPr>
      <w:rFonts w:ascii="Times New Roman" w:eastAsia="Times New Roman" w:hAnsi="Times New Roman" w:cs="Simplified Arabic"/>
      <w:sz w:val="20"/>
    </w:rPr>
  </w:style>
  <w:style w:type="paragraph" w:styleId="BodyText2">
    <w:name w:val="Body Text 2"/>
    <w:basedOn w:val="Normal"/>
    <w:link w:val="BodyText2Char"/>
    <w:rsid w:val="00B917B2"/>
    <w:pPr>
      <w:bidi/>
      <w:spacing w:after="0" w:line="240" w:lineRule="auto"/>
      <w:jc w:val="lowKashida"/>
    </w:pPr>
    <w:rPr>
      <w:rFonts w:ascii="Times New Roman" w:eastAsia="Times New Roman" w:hAnsi="Times New Roman" w:cs="Simplified Arabic"/>
      <w:sz w:val="20"/>
      <w:szCs w:val="26"/>
      <w:lang w:val="en-US"/>
    </w:rPr>
  </w:style>
  <w:style w:type="character" w:customStyle="1" w:styleId="BodyText2Char">
    <w:name w:val="Body Text 2 Char"/>
    <w:basedOn w:val="DefaultParagraphFont"/>
    <w:link w:val="BodyText2"/>
    <w:rsid w:val="00B917B2"/>
    <w:rPr>
      <w:rFonts w:ascii="Times New Roman" w:eastAsia="Times New Roman" w:hAnsi="Times New Roman" w:cs="Simplified Arabic"/>
      <w:sz w:val="20"/>
      <w:szCs w:val="26"/>
    </w:rPr>
  </w:style>
  <w:style w:type="paragraph" w:styleId="BodyText3">
    <w:name w:val="Body Text 3"/>
    <w:basedOn w:val="Normal"/>
    <w:link w:val="BodyText3Char"/>
    <w:rsid w:val="00B917B2"/>
    <w:pPr>
      <w:bidi/>
      <w:spacing w:after="0" w:line="240" w:lineRule="auto"/>
      <w:jc w:val="lowKashida"/>
    </w:pPr>
    <w:rPr>
      <w:rFonts w:ascii="Times New Roman" w:eastAsia="Times New Roman" w:hAnsi="Times New Roman" w:cs="Simplified Arabic"/>
      <w:sz w:val="20"/>
      <w:lang w:val="en-US"/>
    </w:rPr>
  </w:style>
  <w:style w:type="character" w:customStyle="1" w:styleId="BodyText3Char">
    <w:name w:val="Body Text 3 Char"/>
    <w:basedOn w:val="DefaultParagraphFont"/>
    <w:link w:val="BodyText3"/>
    <w:rsid w:val="00B917B2"/>
    <w:rPr>
      <w:rFonts w:ascii="Times New Roman" w:eastAsia="Times New Roman" w:hAnsi="Times New Roman" w:cs="Simplified Arabic"/>
      <w:sz w:val="20"/>
    </w:rPr>
  </w:style>
  <w:style w:type="paragraph" w:styleId="Title">
    <w:name w:val="Title"/>
    <w:basedOn w:val="Normal"/>
    <w:link w:val="TitleChar"/>
    <w:qFormat/>
    <w:rsid w:val="00B917B2"/>
    <w:pPr>
      <w:bidi/>
      <w:spacing w:after="0" w:line="240" w:lineRule="auto"/>
      <w:jc w:val="center"/>
    </w:pPr>
    <w:rPr>
      <w:rFonts w:ascii="Times New Roman" w:eastAsia="Times New Roman" w:hAnsi="Times New Roman" w:cs="Simplified Arabic"/>
      <w:b/>
      <w:bCs/>
      <w:sz w:val="20"/>
      <w:szCs w:val="28"/>
      <w:lang w:val="en-US"/>
    </w:rPr>
  </w:style>
  <w:style w:type="character" w:customStyle="1" w:styleId="TitleChar">
    <w:name w:val="Title Char"/>
    <w:basedOn w:val="DefaultParagraphFont"/>
    <w:link w:val="Title"/>
    <w:rsid w:val="00B917B2"/>
    <w:rPr>
      <w:rFonts w:ascii="Times New Roman" w:eastAsia="Times New Roman" w:hAnsi="Times New Roman" w:cs="Simplified Arabic"/>
      <w:b/>
      <w:bCs/>
      <w:sz w:val="20"/>
      <w:szCs w:val="28"/>
    </w:rPr>
  </w:style>
  <w:style w:type="paragraph" w:styleId="BlockText">
    <w:name w:val="Block Text"/>
    <w:basedOn w:val="Normal"/>
    <w:rsid w:val="00B917B2"/>
    <w:pPr>
      <w:bidi/>
      <w:spacing w:after="0" w:line="240" w:lineRule="auto"/>
      <w:ind w:left="150"/>
      <w:jc w:val="lowKashida"/>
    </w:pPr>
    <w:rPr>
      <w:rFonts w:ascii="Times New Roman" w:eastAsia="Times New Roman" w:hAnsi="Times New Roman" w:cs="Simplified Arabic"/>
      <w:sz w:val="20"/>
      <w:lang w:val="en-US"/>
    </w:rPr>
  </w:style>
  <w:style w:type="table" w:customStyle="1" w:styleId="TableGrid9">
    <w:name w:val="Table Grid9"/>
    <w:basedOn w:val="TableNormal"/>
    <w:next w:val="TableGrid"/>
    <w:rsid w:val="00B91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عدد السكان</c:v>
                </c:pt>
              </c:strCache>
            </c:strRef>
          </c:tx>
          <c:spPr>
            <a:ln w="15875" cap="rnd">
              <a:solidFill>
                <a:sysClr val="windowText" lastClr="000000"/>
              </a:solidFill>
              <a:round/>
            </a:ln>
            <a:effectLst/>
          </c:spPr>
          <c:marker>
            <c:symbol val="circle"/>
            <c:size val="5"/>
            <c:spPr>
              <a:solidFill>
                <a:schemeClr val="accent1"/>
              </a:solidFill>
              <a:ln w="9525">
                <a:solidFill>
                  <a:schemeClr val="accent1"/>
                </a:solidFill>
              </a:ln>
              <a:effectLst/>
            </c:spPr>
          </c:marker>
          <c:dLbls>
            <c:dLbl>
              <c:idx val="0"/>
              <c:layout>
                <c:manualLayout>
                  <c:x val="-1.9096446687152203E-2"/>
                  <c:y val="9.857454294445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8E-4126-8B96-9EFE39E6ECA2}"/>
                </c:ext>
              </c:extLst>
            </c:dLbl>
            <c:dLbl>
              <c:idx val="1"/>
              <c:layout>
                <c:manualLayout>
                  <c:x val="-2.625373815081598E-2"/>
                  <c:y val="-0.103127287388628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8E-4126-8B96-9EFE39E6ECA2}"/>
                </c:ext>
              </c:extLst>
            </c:dLbl>
            <c:dLbl>
              <c:idx val="2"/>
              <c:layout>
                <c:manualLayout>
                  <c:x val="-2.1480519143710977E-2"/>
                  <c:y val="9.408512634697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8E-4126-8B96-9EFE39E6ECA2}"/>
                </c:ext>
              </c:extLst>
            </c:dLbl>
            <c:dLbl>
              <c:idx val="3"/>
              <c:layout>
                <c:manualLayout>
                  <c:x val="-1.9096446687152224E-2"/>
                  <c:y val="-0.100914506879251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8E-4126-8B96-9EFE39E6ECA2}"/>
                </c:ext>
              </c:extLst>
            </c:dLbl>
            <c:dLbl>
              <c:idx val="4"/>
              <c:layout>
                <c:manualLayout>
                  <c:x val="0"/>
                  <c:y val="5.387205387205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8E-4126-8B96-9EFE39E6ECA2}"/>
                </c:ext>
              </c:extLst>
            </c:dLbl>
            <c:dLbl>
              <c:idx val="5"/>
              <c:layout>
                <c:manualLayout>
                  <c:x val="-2.8646079501280369E-2"/>
                  <c:y val="-8.074458771197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8E-4126-8B96-9EFE39E6ECA2}"/>
                </c:ext>
              </c:extLst>
            </c:dLbl>
            <c:dLbl>
              <c:idx val="6"/>
              <c:layout>
                <c:manualLayout>
                  <c:x val="-1.6706924277791989E-2"/>
                  <c:y val="9.6361762435082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8E-4126-8B96-9EFE39E6ECA2}"/>
                </c:ext>
              </c:extLst>
            </c:dLbl>
            <c:dLbl>
              <c:idx val="7"/>
              <c:layout>
                <c:manualLayout>
                  <c:x val="-2.3894862604539146E-3"/>
                  <c:y val="-6.7340067340067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68E-4126-8B96-9EFE39E6ECA2}"/>
                </c:ext>
              </c:extLst>
            </c:dLbl>
            <c:dLbl>
              <c:idx val="8"/>
              <c:layout>
                <c:manualLayout>
                  <c:x val="0"/>
                  <c:y val="5.38720538720538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68E-4126-8B96-9EFE39E6ECA2}"/>
                </c:ext>
              </c:extLst>
            </c:dLbl>
            <c:dLbl>
              <c:idx val="9"/>
              <c:layout>
                <c:manualLayout>
                  <c:x val="-1.4336917562724014E-2"/>
                  <c:y val="-6.7340067340067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68E-4126-8B96-9EFE39E6ECA2}"/>
                </c:ext>
              </c:extLst>
            </c:dLbl>
            <c:dLbl>
              <c:idx val="10"/>
              <c:layout>
                <c:manualLayout>
                  <c:x val="0"/>
                  <c:y val="5.387205387205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68E-4126-8B96-9EFE39E6ECA2}"/>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Text" lastClr="000000"/>
                      </a:solidFill>
                      <a:round/>
                    </a:ln>
                    <a:effectLst/>
                  </c:spPr>
                </c15:leaderLines>
              </c:ext>
            </c:extLst>
          </c:dLbls>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0.0</c:formatCode>
                <c:ptCount val="8"/>
                <c:pt idx="0">
                  <c:v>80.442999999999998</c:v>
                </c:pt>
                <c:pt idx="1">
                  <c:v>82.41</c:v>
                </c:pt>
                <c:pt idx="2">
                  <c:v>84.418000000000006</c:v>
                </c:pt>
                <c:pt idx="3">
                  <c:v>86.46</c:v>
                </c:pt>
                <c:pt idx="4">
                  <c:v>88.53</c:v>
                </c:pt>
                <c:pt idx="5">
                  <c:v>90.623999999999995</c:v>
                </c:pt>
                <c:pt idx="6">
                  <c:v>92.736999999999995</c:v>
                </c:pt>
                <c:pt idx="7">
                  <c:v>95.203000000000003</c:v>
                </c:pt>
              </c:numCache>
            </c:numRef>
          </c:val>
          <c:smooth val="0"/>
          <c:extLst>
            <c:ext xmlns:c16="http://schemas.microsoft.com/office/drawing/2014/chart" uri="{C3380CC4-5D6E-409C-BE32-E72D297353CC}">
              <c16:uniqueId val="{0000000B-368E-4126-8B96-9EFE39E6ECA2}"/>
            </c:ext>
          </c:extLst>
        </c:ser>
        <c:dLbls>
          <c:showLegendKey val="0"/>
          <c:showVal val="0"/>
          <c:showCatName val="0"/>
          <c:showSerName val="0"/>
          <c:showPercent val="0"/>
          <c:showBubbleSize val="0"/>
        </c:dLbls>
        <c:marker val="1"/>
        <c:smooth val="0"/>
        <c:axId val="296542592"/>
        <c:axId val="296544896"/>
      </c:lineChart>
      <c:catAx>
        <c:axId val="29654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296544896"/>
        <c:crosses val="autoZero"/>
        <c:auto val="1"/>
        <c:lblAlgn val="ctr"/>
        <c:lblOffset val="100"/>
        <c:noMultiLvlLbl val="0"/>
      </c:catAx>
      <c:valAx>
        <c:axId val="296544896"/>
        <c:scaling>
          <c:orientation val="minMax"/>
        </c:scaling>
        <c:delete val="0"/>
        <c:axPos val="l"/>
        <c:numFmt formatCode="0.0" sourceLinked="1"/>
        <c:majorTickMark val="none"/>
        <c:minorTickMark val="none"/>
        <c:tickLblPos val="nextTo"/>
        <c:spPr>
          <a:noFill/>
          <a:ln>
            <a:noFill/>
          </a:ln>
          <a:effectLst/>
        </c:spPr>
        <c:txPr>
          <a:bodyPr rot="-60000000" vert="horz"/>
          <a:lstStyle/>
          <a:p>
            <a:pPr>
              <a:defRPr/>
            </a:pPr>
            <a:endParaRPr lang="en-US"/>
          </a:p>
        </c:txPr>
        <c:crossAx val="296542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mn-lt"/>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100">
                <a:solidFill>
                  <a:sysClr val="windowText" lastClr="000000"/>
                </a:solidFill>
              </a:defRPr>
            </a:pPr>
            <a:r>
              <a:rPr lang="ar-EG" sz="1100">
                <a:solidFill>
                  <a:sysClr val="windowText" lastClr="000000"/>
                </a:solidFill>
              </a:rPr>
              <a:t>شكل (2-10) التوزيع النسبي للمتعطلين طبقًا لمدة التعطل والحالة التعليمية والنوع عام 2017 </a:t>
            </a:r>
            <a:endParaRPr lang="en-US" sz="1100">
              <a:solidFill>
                <a:sysClr val="windowText" lastClr="000000"/>
              </a:solidFill>
            </a:endParaRPr>
          </a:p>
        </c:rich>
      </c:tx>
      <c:layout>
        <c:manualLayout>
          <c:xMode val="edge"/>
          <c:yMode val="edge"/>
          <c:x val="0.15078918949845166"/>
          <c:y val="0"/>
        </c:manualLayout>
      </c:layout>
      <c:overlay val="0"/>
    </c:title>
    <c:autoTitleDeleted val="0"/>
    <c:plotArea>
      <c:layout>
        <c:manualLayout>
          <c:layoutTarget val="inner"/>
          <c:xMode val="edge"/>
          <c:yMode val="edge"/>
          <c:x val="4.5060775170094026E-2"/>
          <c:y val="0.17753794537150747"/>
          <c:w val="0.95286426283441961"/>
          <c:h val="0.48867275311516295"/>
        </c:manualLayout>
      </c:layout>
      <c:barChart>
        <c:barDir val="col"/>
        <c:grouping val="stacked"/>
        <c:varyColors val="0"/>
        <c:ser>
          <c:idx val="0"/>
          <c:order val="0"/>
          <c:tx>
            <c:strRef>
              <c:f>Sheet1!$C$1</c:f>
              <c:strCache>
                <c:ptCount val="1"/>
                <c:pt idx="0">
                  <c:v> أقل من سنة </c:v>
                </c:pt>
              </c:strCache>
            </c:strRef>
          </c:tx>
          <c:spPr>
            <a:pattFill prst="solidDmnd">
              <a:fgClr>
                <a:sysClr val="windowText" lastClr="000000"/>
              </a:fgClr>
              <a:bgClr>
                <a:sysClr val="window" lastClr="FFFFFF"/>
              </a:bgClr>
            </a:pattFill>
            <a:ln>
              <a:solidFill>
                <a:sysClr val="windowText" lastClr="000000"/>
              </a:solidFill>
            </a:ln>
          </c:spPr>
          <c:invertIfNegative val="0"/>
          <c:cat>
            <c:multiLvlStrRef>
              <c:f>Sheet1!$A$2:$B$15</c:f>
              <c:multiLvlStrCache>
                <c:ptCount val="8"/>
                <c:lvl>
                  <c:pt idx="0">
                    <c:v>ذكور</c:v>
                  </c:pt>
                  <c:pt idx="1">
                    <c:v>إناث</c:v>
                  </c:pt>
                  <c:pt idx="2">
                    <c:v>ذكور</c:v>
                  </c:pt>
                  <c:pt idx="3">
                    <c:v>إناث</c:v>
                  </c:pt>
                  <c:pt idx="4">
                    <c:v>ذكور</c:v>
                  </c:pt>
                  <c:pt idx="5">
                    <c:v>إناث</c:v>
                  </c:pt>
                  <c:pt idx="6">
                    <c:v>ذكور</c:v>
                  </c:pt>
                  <c:pt idx="7">
                    <c:v>إناث</c:v>
                  </c:pt>
                </c:lvl>
                <c:lvl>
                  <c:pt idx="0">
                    <c:v>ثانوية عامة وثانوية أزهرية</c:v>
                  </c:pt>
                  <c:pt idx="2">
                    <c:v>مؤهل متوسط فنى</c:v>
                  </c:pt>
                  <c:pt idx="4">
                    <c:v>مؤهل فوق المتوسط وأقل من الجامعى</c:v>
                  </c:pt>
                  <c:pt idx="6">
                    <c:v>مؤهل جامعى ومؤهل فوق الجامعى </c:v>
                  </c:pt>
                </c:lvl>
              </c:multiLvlStrCache>
            </c:multiLvlStrRef>
          </c:cat>
          <c:val>
            <c:numRef>
              <c:f>Sheet1!$C$2:$C$15</c:f>
              <c:numCache>
                <c:formatCode>0.0</c:formatCode>
                <c:ptCount val="8"/>
                <c:pt idx="0">
                  <c:v>17.5</c:v>
                </c:pt>
                <c:pt idx="1">
                  <c:v>12.4</c:v>
                </c:pt>
                <c:pt idx="2">
                  <c:v>21.2</c:v>
                </c:pt>
                <c:pt idx="3">
                  <c:v>9.9</c:v>
                </c:pt>
                <c:pt idx="4">
                  <c:v>33.299999999999997</c:v>
                </c:pt>
                <c:pt idx="5">
                  <c:v>19.2</c:v>
                </c:pt>
                <c:pt idx="6">
                  <c:v>27.2</c:v>
                </c:pt>
                <c:pt idx="7">
                  <c:v>23.8</c:v>
                </c:pt>
              </c:numCache>
            </c:numRef>
          </c:val>
          <c:extLst>
            <c:ext xmlns:c16="http://schemas.microsoft.com/office/drawing/2014/chart" uri="{C3380CC4-5D6E-409C-BE32-E72D297353CC}">
              <c16:uniqueId val="{00000000-0B37-460B-9126-5DBB519656EF}"/>
            </c:ext>
          </c:extLst>
        </c:ser>
        <c:ser>
          <c:idx val="1"/>
          <c:order val="1"/>
          <c:tx>
            <c:strRef>
              <c:f>Sheet1!$D$1</c:f>
              <c:strCache>
                <c:ptCount val="1"/>
                <c:pt idx="0">
                  <c:v>1-</c:v>
                </c:pt>
              </c:strCache>
            </c:strRef>
          </c:tx>
          <c:spPr>
            <a:pattFill prst="diagBrick">
              <a:fgClr>
                <a:sysClr val="windowText" lastClr="000000"/>
              </a:fgClr>
              <a:bgClr>
                <a:sysClr val="window" lastClr="FFFFFF"/>
              </a:bgClr>
            </a:pattFill>
            <a:ln>
              <a:solidFill>
                <a:sysClr val="windowText" lastClr="000000"/>
              </a:solidFill>
            </a:ln>
          </c:spPr>
          <c:invertIfNegative val="0"/>
          <c:cat>
            <c:multiLvlStrRef>
              <c:f>Sheet1!$A$2:$B$15</c:f>
              <c:multiLvlStrCache>
                <c:ptCount val="8"/>
                <c:lvl>
                  <c:pt idx="0">
                    <c:v>ذكور</c:v>
                  </c:pt>
                  <c:pt idx="1">
                    <c:v>إناث</c:v>
                  </c:pt>
                  <c:pt idx="2">
                    <c:v>ذكور</c:v>
                  </c:pt>
                  <c:pt idx="3">
                    <c:v>إناث</c:v>
                  </c:pt>
                  <c:pt idx="4">
                    <c:v>ذكور</c:v>
                  </c:pt>
                  <c:pt idx="5">
                    <c:v>إناث</c:v>
                  </c:pt>
                  <c:pt idx="6">
                    <c:v>ذكور</c:v>
                  </c:pt>
                  <c:pt idx="7">
                    <c:v>إناث</c:v>
                  </c:pt>
                </c:lvl>
                <c:lvl>
                  <c:pt idx="0">
                    <c:v>ثانوية عامة وثانوية أزهرية</c:v>
                  </c:pt>
                  <c:pt idx="2">
                    <c:v>مؤهل متوسط فنى</c:v>
                  </c:pt>
                  <c:pt idx="4">
                    <c:v>مؤهل فوق المتوسط وأقل من الجامعى</c:v>
                  </c:pt>
                  <c:pt idx="6">
                    <c:v>مؤهل جامعى ومؤهل فوق الجامعى </c:v>
                  </c:pt>
                </c:lvl>
              </c:multiLvlStrCache>
            </c:multiLvlStrRef>
          </c:cat>
          <c:val>
            <c:numRef>
              <c:f>Sheet1!$D$2:$D$15</c:f>
              <c:numCache>
                <c:formatCode>0.0</c:formatCode>
                <c:ptCount val="8"/>
                <c:pt idx="0">
                  <c:v>47.5</c:v>
                </c:pt>
                <c:pt idx="1">
                  <c:v>8.6</c:v>
                </c:pt>
                <c:pt idx="2">
                  <c:v>40</c:v>
                </c:pt>
                <c:pt idx="3">
                  <c:v>24.9</c:v>
                </c:pt>
                <c:pt idx="4">
                  <c:v>23.5</c:v>
                </c:pt>
                <c:pt idx="5">
                  <c:v>23.4</c:v>
                </c:pt>
                <c:pt idx="6">
                  <c:v>34.6</c:v>
                </c:pt>
                <c:pt idx="7">
                  <c:v>27.6</c:v>
                </c:pt>
              </c:numCache>
            </c:numRef>
          </c:val>
          <c:extLst>
            <c:ext xmlns:c16="http://schemas.microsoft.com/office/drawing/2014/chart" uri="{C3380CC4-5D6E-409C-BE32-E72D297353CC}">
              <c16:uniqueId val="{00000001-0B37-460B-9126-5DBB519656EF}"/>
            </c:ext>
          </c:extLst>
        </c:ser>
        <c:ser>
          <c:idx val="2"/>
          <c:order val="2"/>
          <c:tx>
            <c:strRef>
              <c:f>Sheet1!$E$1</c:f>
              <c:strCache>
                <c:ptCount val="1"/>
                <c:pt idx="0">
                  <c:v>2-</c:v>
                </c:pt>
              </c:strCache>
            </c:strRef>
          </c:tx>
          <c:spPr>
            <a:pattFill prst="ltVert">
              <a:fgClr>
                <a:sysClr val="windowText" lastClr="000000"/>
              </a:fgClr>
              <a:bgClr>
                <a:sysClr val="window" lastClr="FFFFFF"/>
              </a:bgClr>
            </a:pattFill>
            <a:ln>
              <a:solidFill>
                <a:sysClr val="windowText" lastClr="000000"/>
              </a:solidFill>
            </a:ln>
          </c:spPr>
          <c:invertIfNegative val="0"/>
          <c:cat>
            <c:multiLvlStrRef>
              <c:f>Sheet1!$A$2:$B$15</c:f>
              <c:multiLvlStrCache>
                <c:ptCount val="8"/>
                <c:lvl>
                  <c:pt idx="0">
                    <c:v>ذكور</c:v>
                  </c:pt>
                  <c:pt idx="1">
                    <c:v>إناث</c:v>
                  </c:pt>
                  <c:pt idx="2">
                    <c:v>ذكور</c:v>
                  </c:pt>
                  <c:pt idx="3">
                    <c:v>إناث</c:v>
                  </c:pt>
                  <c:pt idx="4">
                    <c:v>ذكور</c:v>
                  </c:pt>
                  <c:pt idx="5">
                    <c:v>إناث</c:v>
                  </c:pt>
                  <c:pt idx="6">
                    <c:v>ذكور</c:v>
                  </c:pt>
                  <c:pt idx="7">
                    <c:v>إناث</c:v>
                  </c:pt>
                </c:lvl>
                <c:lvl>
                  <c:pt idx="0">
                    <c:v>ثانوية عامة وثانوية أزهرية</c:v>
                  </c:pt>
                  <c:pt idx="2">
                    <c:v>مؤهل متوسط فنى</c:v>
                  </c:pt>
                  <c:pt idx="4">
                    <c:v>مؤهل فوق المتوسط وأقل من الجامعى</c:v>
                  </c:pt>
                  <c:pt idx="6">
                    <c:v>مؤهل جامعى ومؤهل فوق الجامعى </c:v>
                  </c:pt>
                </c:lvl>
              </c:multiLvlStrCache>
            </c:multiLvlStrRef>
          </c:cat>
          <c:val>
            <c:numRef>
              <c:f>Sheet1!$E$2:$E$15</c:f>
              <c:numCache>
                <c:formatCode>0.0</c:formatCode>
                <c:ptCount val="8"/>
                <c:pt idx="0">
                  <c:v>17.5</c:v>
                </c:pt>
                <c:pt idx="1">
                  <c:v>54.3</c:v>
                </c:pt>
                <c:pt idx="2">
                  <c:v>11</c:v>
                </c:pt>
                <c:pt idx="3">
                  <c:v>11.3</c:v>
                </c:pt>
                <c:pt idx="4">
                  <c:v>12.1</c:v>
                </c:pt>
                <c:pt idx="5">
                  <c:v>19.2</c:v>
                </c:pt>
                <c:pt idx="6">
                  <c:v>15.1</c:v>
                </c:pt>
                <c:pt idx="7">
                  <c:v>13.9</c:v>
                </c:pt>
              </c:numCache>
            </c:numRef>
          </c:val>
          <c:extLst>
            <c:ext xmlns:c16="http://schemas.microsoft.com/office/drawing/2014/chart" uri="{C3380CC4-5D6E-409C-BE32-E72D297353CC}">
              <c16:uniqueId val="{00000002-0B37-460B-9126-5DBB519656EF}"/>
            </c:ext>
          </c:extLst>
        </c:ser>
        <c:ser>
          <c:idx val="3"/>
          <c:order val="3"/>
          <c:tx>
            <c:strRef>
              <c:f>Sheet1!$F$1</c:f>
              <c:strCache>
                <c:ptCount val="1"/>
                <c:pt idx="0">
                  <c:v>3+</c:v>
                </c:pt>
              </c:strCache>
            </c:strRef>
          </c:tx>
          <c:spPr>
            <a:pattFill prst="wdUpDiag">
              <a:fgClr>
                <a:sysClr val="windowText" lastClr="000000"/>
              </a:fgClr>
              <a:bgClr>
                <a:sysClr val="window" lastClr="FFFFFF"/>
              </a:bgClr>
            </a:pattFill>
            <a:ln>
              <a:solidFill>
                <a:sysClr val="windowText" lastClr="000000"/>
              </a:solidFill>
            </a:ln>
          </c:spPr>
          <c:invertIfNegative val="0"/>
          <c:cat>
            <c:multiLvlStrRef>
              <c:f>Sheet1!$A$2:$B$15</c:f>
              <c:multiLvlStrCache>
                <c:ptCount val="8"/>
                <c:lvl>
                  <c:pt idx="0">
                    <c:v>ذكور</c:v>
                  </c:pt>
                  <c:pt idx="1">
                    <c:v>إناث</c:v>
                  </c:pt>
                  <c:pt idx="2">
                    <c:v>ذكور</c:v>
                  </c:pt>
                  <c:pt idx="3">
                    <c:v>إناث</c:v>
                  </c:pt>
                  <c:pt idx="4">
                    <c:v>ذكور</c:v>
                  </c:pt>
                  <c:pt idx="5">
                    <c:v>إناث</c:v>
                  </c:pt>
                  <c:pt idx="6">
                    <c:v>ذكور</c:v>
                  </c:pt>
                  <c:pt idx="7">
                    <c:v>إناث</c:v>
                  </c:pt>
                </c:lvl>
                <c:lvl>
                  <c:pt idx="0">
                    <c:v>ثانوية عامة وثانوية أزهرية</c:v>
                  </c:pt>
                  <c:pt idx="2">
                    <c:v>مؤهل متوسط فنى</c:v>
                  </c:pt>
                  <c:pt idx="4">
                    <c:v>مؤهل فوق المتوسط وأقل من الجامعى</c:v>
                  </c:pt>
                  <c:pt idx="6">
                    <c:v>مؤهل جامعى ومؤهل فوق الجامعى </c:v>
                  </c:pt>
                </c:lvl>
              </c:multiLvlStrCache>
            </c:multiLvlStrRef>
          </c:cat>
          <c:val>
            <c:numRef>
              <c:f>Sheet1!$F$2:$F$15</c:f>
              <c:numCache>
                <c:formatCode>0.0</c:formatCode>
                <c:ptCount val="8"/>
                <c:pt idx="0">
                  <c:v>17.5</c:v>
                </c:pt>
                <c:pt idx="1">
                  <c:v>24.7</c:v>
                </c:pt>
                <c:pt idx="2">
                  <c:v>27.8</c:v>
                </c:pt>
                <c:pt idx="3">
                  <c:v>53.9</c:v>
                </c:pt>
                <c:pt idx="4">
                  <c:v>31.1</c:v>
                </c:pt>
                <c:pt idx="5">
                  <c:v>38.200000000000003</c:v>
                </c:pt>
                <c:pt idx="6">
                  <c:v>23.6</c:v>
                </c:pt>
                <c:pt idx="7">
                  <c:v>34.700000000000003</c:v>
                </c:pt>
              </c:numCache>
            </c:numRef>
          </c:val>
          <c:extLst>
            <c:ext xmlns:c16="http://schemas.microsoft.com/office/drawing/2014/chart" uri="{C3380CC4-5D6E-409C-BE32-E72D297353CC}">
              <c16:uniqueId val="{00000003-0B37-460B-9126-5DBB519656EF}"/>
            </c:ext>
          </c:extLst>
        </c:ser>
        <c:dLbls>
          <c:showLegendKey val="0"/>
          <c:showVal val="0"/>
          <c:showCatName val="0"/>
          <c:showSerName val="0"/>
          <c:showPercent val="0"/>
          <c:showBubbleSize val="0"/>
        </c:dLbls>
        <c:gapWidth val="79"/>
        <c:overlap val="100"/>
        <c:axId val="219576960"/>
        <c:axId val="219603328"/>
      </c:barChart>
      <c:catAx>
        <c:axId val="219576960"/>
        <c:scaling>
          <c:orientation val="minMax"/>
        </c:scaling>
        <c:delete val="0"/>
        <c:axPos val="b"/>
        <c:majorGridlines/>
        <c:numFmt formatCode="General" sourceLinked="1"/>
        <c:majorTickMark val="none"/>
        <c:minorTickMark val="none"/>
        <c:tickLblPos val="nextTo"/>
        <c:spPr>
          <a:ln w="15875">
            <a:solidFill>
              <a:sysClr val="windowText" lastClr="000000"/>
            </a:solidFill>
          </a:ln>
        </c:spPr>
        <c:txPr>
          <a:bodyPr rot="0"/>
          <a:lstStyle/>
          <a:p>
            <a:pPr>
              <a:defRPr sz="900" b="1"/>
            </a:pPr>
            <a:endParaRPr lang="en-US"/>
          </a:p>
        </c:txPr>
        <c:crossAx val="219603328"/>
        <c:crosses val="autoZero"/>
        <c:auto val="1"/>
        <c:lblAlgn val="ctr"/>
        <c:lblOffset val="100"/>
        <c:noMultiLvlLbl val="0"/>
      </c:catAx>
      <c:valAx>
        <c:axId val="219603328"/>
        <c:scaling>
          <c:orientation val="minMax"/>
          <c:max val="100"/>
        </c:scaling>
        <c:delete val="1"/>
        <c:axPos val="l"/>
        <c:numFmt formatCode="0.0" sourceLinked="1"/>
        <c:majorTickMark val="out"/>
        <c:minorTickMark val="none"/>
        <c:tickLblPos val="none"/>
        <c:crossAx val="219576960"/>
        <c:crosses val="autoZero"/>
        <c:crossBetween val="between"/>
      </c:valAx>
    </c:plotArea>
    <c:legend>
      <c:legendPos val="b"/>
      <c:layout>
        <c:manualLayout>
          <c:xMode val="edge"/>
          <c:yMode val="edge"/>
          <c:x val="3.1618687664041994E-2"/>
          <c:y val="0.89765830995263518"/>
          <c:w val="0.95309918685232464"/>
          <c:h val="8.3602623066612092E-2"/>
        </c:manualLayout>
      </c:layout>
      <c:overlay val="0"/>
      <c:spPr>
        <a:ln w="15875">
          <a:noFill/>
        </a:ln>
      </c:spPr>
      <c:txPr>
        <a:bodyPr rot="0" vert="horz"/>
        <a:lstStyle/>
        <a:p>
          <a:pPr>
            <a:defRPr sz="1400"/>
          </a:pPr>
          <a:endParaRPr lang="en-US"/>
        </a:p>
      </c:txPr>
    </c:legend>
    <c:plotVisOnly val="1"/>
    <c:dispBlanksAs val="gap"/>
    <c:showDLblsOverMax val="0"/>
  </c:chart>
  <c:spPr>
    <a:ln w="15875">
      <a:noFill/>
    </a:ln>
  </c:spPr>
  <c:txPr>
    <a:bodyPr/>
    <a:lstStyle/>
    <a:p>
      <a:pPr>
        <a:defRPr baseline="0">
          <a:cs typeface="Calibri" panose="020F0502020204030204"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230806378137014E-2"/>
          <c:y val="7.3356530693173869E-2"/>
          <c:w val="0.86002066006809386"/>
          <c:h val="0.77207707952984428"/>
        </c:manualLayout>
      </c:layout>
      <c:lineChart>
        <c:grouping val="standard"/>
        <c:varyColors val="0"/>
        <c:ser>
          <c:idx val="0"/>
          <c:order val="0"/>
          <c:spPr>
            <a:ln w="12700">
              <a:solidFill>
                <a:sysClr val="windowText" lastClr="000000"/>
              </a:solidFill>
              <a:prstDash val="solid"/>
            </a:ln>
          </c:spPr>
          <c:marker>
            <c:symbol val="diamond"/>
            <c:size val="5"/>
            <c:spPr>
              <a:solidFill>
                <a:sysClr val="windowText" lastClr="000000"/>
              </a:solidFill>
              <a:ln w="28575">
                <a:solidFill>
                  <a:sysClr val="windowText" lastClr="000000"/>
                </a:solidFill>
                <a:prstDash val="solid"/>
              </a:ln>
            </c:spPr>
          </c:marker>
          <c:dLbls>
            <c:dLbl>
              <c:idx val="0"/>
              <c:layout>
                <c:manualLayout>
                  <c:x val="-2.7370733241431605E-2"/>
                  <c:y val="-5.2486472054128867E-2"/>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5E-4356-92B2-C72BF3EC3918}"/>
                </c:ext>
              </c:extLst>
            </c:dLbl>
            <c:dLbl>
              <c:idx val="1"/>
              <c:layout>
                <c:manualLayout>
                  <c:x val="-3.0887251964871944E-2"/>
                  <c:y val="-5.2058016482393069E-2"/>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5E-4356-92B2-C72BF3EC3918}"/>
                </c:ext>
              </c:extLst>
            </c:dLbl>
            <c:dLbl>
              <c:idx val="2"/>
              <c:layout>
                <c:manualLayout>
                  <c:x val="-3.1107065622686739E-2"/>
                  <c:y val="-5.3993070239333897E-2"/>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5E-4356-92B2-C72BF3EC3918}"/>
                </c:ext>
              </c:extLst>
            </c:dLbl>
            <c:dLbl>
              <c:idx val="3"/>
              <c:layout>
                <c:manualLayout>
                  <c:x val="-2.7399305180911337E-2"/>
                  <c:y val="-6.8566426518309173E-2"/>
                </c:manualLayout>
              </c:layout>
              <c:numFmt formatCode="0"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5E-4356-92B2-C72BF3EC3918}"/>
                </c:ext>
              </c:extLst>
            </c:dLbl>
            <c:dLbl>
              <c:idx val="4"/>
              <c:layout>
                <c:manualLayout>
                  <c:x val="-1.9267490301618926E-2"/>
                  <c:y val="-7.6405055758457699E-2"/>
                </c:manualLayout>
              </c:layout>
              <c:tx>
                <c:rich>
                  <a:bodyPr/>
                  <a:lstStyle/>
                  <a:p>
                    <a:pPr>
                      <a:defRPr sz="1000" b="0" i="0" u="none" strike="noStrike" baseline="0">
                        <a:solidFill>
                          <a:srgbClr val="000000"/>
                        </a:solidFill>
                        <a:latin typeface="Arial"/>
                        <a:ea typeface="Arial"/>
                        <a:cs typeface="Arial"/>
                      </a:defRPr>
                    </a:pPr>
                    <a:r>
                      <a:rPr lang="en-US" b="0"/>
                      <a:t>308</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5E-4356-92B2-C72BF3EC3918}"/>
                </c:ext>
              </c:extLst>
            </c:dLbl>
            <c:dLbl>
              <c:idx val="5"/>
              <c:layout>
                <c:manualLayout>
                  <c:x val="4.3432605335610866E-3"/>
                  <c:y val="2.5793649786212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5E-4356-92B2-C72BF3EC3918}"/>
                </c:ext>
              </c:extLst>
            </c:dLbl>
            <c:dLbl>
              <c:idx val="6"/>
              <c:layout>
                <c:manualLayout>
                  <c:x val="0"/>
                  <c:y val="6.4484124465530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5E-4356-92B2-C72BF3EC3918}"/>
                </c:ext>
              </c:extLst>
            </c:dLbl>
            <c:numFmt formatCode="0" sourceLinked="0"/>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 (2)'!$Q$15:$X$15</c:f>
              <c:numCache>
                <c:formatCode>General</c:formatCode>
                <c:ptCount val="8"/>
                <c:pt idx="0">
                  <c:v>2010</c:v>
                </c:pt>
                <c:pt idx="1">
                  <c:v>2011</c:v>
                </c:pt>
                <c:pt idx="2">
                  <c:v>2012</c:v>
                </c:pt>
                <c:pt idx="3">
                  <c:v>2013</c:v>
                </c:pt>
                <c:pt idx="4">
                  <c:v>2014</c:v>
                </c:pt>
                <c:pt idx="5">
                  <c:v>2015</c:v>
                </c:pt>
                <c:pt idx="6">
                  <c:v>2016</c:v>
                </c:pt>
                <c:pt idx="7">
                  <c:v>2017</c:v>
                </c:pt>
              </c:numCache>
            </c:numRef>
          </c:cat>
          <c:val>
            <c:numRef>
              <c:f>'1 (2)'!$Q$16:$X$16</c:f>
              <c:numCache>
                <c:formatCode>General</c:formatCode>
                <c:ptCount val="8"/>
                <c:pt idx="0">
                  <c:v>465246</c:v>
                </c:pt>
                <c:pt idx="1">
                  <c:v>482254</c:v>
                </c:pt>
                <c:pt idx="2">
                  <c:v>438021</c:v>
                </c:pt>
                <c:pt idx="3">
                  <c:v>462880</c:v>
                </c:pt>
                <c:pt idx="4">
                  <c:v>308187</c:v>
                </c:pt>
                <c:pt idx="5">
                  <c:v>378288</c:v>
                </c:pt>
                <c:pt idx="6">
                  <c:v>487816</c:v>
                </c:pt>
                <c:pt idx="7">
                  <c:v>537414</c:v>
                </c:pt>
              </c:numCache>
            </c:numRef>
          </c:val>
          <c:smooth val="0"/>
          <c:extLst>
            <c:ext xmlns:c16="http://schemas.microsoft.com/office/drawing/2014/chart" uri="{C3380CC4-5D6E-409C-BE32-E72D297353CC}">
              <c16:uniqueId val="{00000007-6D5E-4356-92B2-C72BF3EC3918}"/>
            </c:ext>
          </c:extLst>
        </c:ser>
        <c:dLbls>
          <c:showLegendKey val="0"/>
          <c:showVal val="0"/>
          <c:showCatName val="0"/>
          <c:showSerName val="0"/>
          <c:showPercent val="0"/>
          <c:showBubbleSize val="0"/>
        </c:dLbls>
        <c:marker val="1"/>
        <c:smooth val="0"/>
        <c:axId val="219891584"/>
        <c:axId val="219910144"/>
      </c:lineChart>
      <c:catAx>
        <c:axId val="21989158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ar-EG"/>
                  <a:t>السنوات</a:t>
                </a:r>
              </a:p>
            </c:rich>
          </c:tx>
          <c:layout>
            <c:manualLayout>
              <c:xMode val="edge"/>
              <c:yMode val="edge"/>
              <c:x val="0.92819258457437837"/>
              <c:y val="0.88402170089563548"/>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219910144"/>
        <c:crosses val="autoZero"/>
        <c:auto val="1"/>
        <c:lblAlgn val="ctr"/>
        <c:lblOffset val="100"/>
        <c:tickLblSkip val="1"/>
        <c:tickMarkSkip val="1"/>
        <c:noMultiLvlLbl val="0"/>
      </c:catAx>
      <c:valAx>
        <c:axId val="219910144"/>
        <c:scaling>
          <c:orientation val="minMax"/>
          <c:min val="0"/>
        </c:scaling>
        <c:delete val="0"/>
        <c:axPos val="l"/>
        <c:title>
          <c:tx>
            <c:rich>
              <a:bodyPr rot="0" vert="horz"/>
              <a:lstStyle/>
              <a:p>
                <a:pPr algn="ctr">
                  <a:defRPr sz="1000" b="1" i="0" u="none" strike="noStrike" baseline="0">
                    <a:solidFill>
                      <a:srgbClr val="000000"/>
                    </a:solidFill>
                    <a:latin typeface="Arial"/>
                    <a:ea typeface="Arial"/>
                    <a:cs typeface="Arial"/>
                  </a:defRPr>
                </a:pPr>
                <a:r>
                  <a:rPr lang="ar-EG"/>
                  <a:t>العدد بالألف</a:t>
                </a:r>
              </a:p>
            </c:rich>
          </c:tx>
          <c:layout>
            <c:manualLayout>
              <c:xMode val="edge"/>
              <c:yMode val="edge"/>
              <c:x val="7.1108562106966727E-2"/>
              <c:y val="3.524559430071241E-4"/>
            </c:manualLayout>
          </c:layout>
          <c:overlay val="0"/>
          <c:spPr>
            <a:noFill/>
            <a:ln w="25400">
              <a:noFill/>
            </a:ln>
          </c:spPr>
        </c:title>
        <c:numFmt formatCode="General" sourceLinked="1"/>
        <c:majorTickMark val="out"/>
        <c:minorTickMark val="none"/>
        <c:tickLblPos val="nextTo"/>
        <c:spPr>
          <a:ln w="12700">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219891584"/>
        <c:crosses val="autoZero"/>
        <c:crossBetween val="between"/>
        <c:dispUnits>
          <c:builtInUnit val="thousands"/>
        </c:dispUnits>
      </c:valAx>
      <c:spPr>
        <a:noFill/>
        <a:ln w="25400">
          <a:noFill/>
        </a:ln>
      </c:spPr>
    </c:plotArea>
    <c:plotVisOnly val="1"/>
    <c:dispBlanksAs val="gap"/>
    <c:showDLblsOverMax val="0"/>
  </c:chart>
  <c:spPr>
    <a:noFill/>
    <a:ln w="9525">
      <a:noFill/>
    </a:ln>
  </c:spPr>
  <c:txPr>
    <a:bodyPr/>
    <a:lstStyle/>
    <a:p>
      <a:pPr>
        <a:defRPr sz="1125" b="0" i="0" u="none" strike="noStrike" baseline="0">
          <a:solidFill>
            <a:srgbClr val="000000"/>
          </a:solidFill>
          <a:latin typeface="Arial"/>
          <a:ea typeface="Arial"/>
          <a:cs typeface="Aria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'[مؤشرات 8-1.xls]3 (3)'!$A$20</c:f>
              <c:strCache>
                <c:ptCount val="1"/>
                <c:pt idx="0">
                  <c:v>اجمالي خريجي التعليم الجامعي</c:v>
                </c:pt>
              </c:strCache>
            </c:strRef>
          </c:tx>
          <c:spPr>
            <a:ln>
              <a:solidFill>
                <a:sysClr val="windowText" lastClr="000000"/>
              </a:solidFill>
            </a:ln>
          </c:spPr>
          <c:marker>
            <c:symbol val="square"/>
            <c:size val="10"/>
            <c:spPr>
              <a:pattFill prst="pct60">
                <a:fgClr>
                  <a:sysClr val="windowText" lastClr="000000"/>
                </a:fgClr>
                <a:bgClr>
                  <a:sysClr val="window" lastClr="FFFFFF"/>
                </a:bgClr>
              </a:pattFill>
              <a:ln w="19050"/>
            </c:spPr>
          </c:marker>
          <c:dLbls>
            <c:dLbl>
              <c:idx val="0"/>
              <c:layout>
                <c:manualLayout>
                  <c:x val="-4.1666666666666678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19-4478-B1E6-257CBF16B6CD}"/>
                </c:ext>
              </c:extLst>
            </c:dLbl>
            <c:dLbl>
              <c:idx val="1"/>
              <c:layout>
                <c:manualLayout>
                  <c:x val="-4.4444444444444446E-2"/>
                  <c:y val="-6.018518518518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19-4478-B1E6-257CBF16B6CD}"/>
                </c:ext>
              </c:extLst>
            </c:dLbl>
            <c:dLbl>
              <c:idx val="2"/>
              <c:layout>
                <c:manualLayout>
                  <c:x val="-0.05"/>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19-4478-B1E6-257CBF16B6CD}"/>
                </c:ext>
              </c:extLst>
            </c:dLbl>
            <c:dLbl>
              <c:idx val="4"/>
              <c:layout>
                <c:manualLayout>
                  <c:x val="-4.2894056956637103E-2"/>
                  <c:y val="0.107088632583812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19-4478-B1E6-257CBF16B6CD}"/>
                </c:ext>
              </c:extLst>
            </c:dLbl>
            <c:dLbl>
              <c:idx val="5"/>
              <c:layout>
                <c:manualLayout>
                  <c:x val="-2.4127907038108472E-2"/>
                  <c:y val="8.1891307269974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19-4478-B1E6-257CBF16B6CD}"/>
                </c:ext>
              </c:extLst>
            </c:dLbl>
            <c:dLbl>
              <c:idx val="6"/>
              <c:layout>
                <c:manualLayout>
                  <c:x val="2.7777777777777779E-3"/>
                  <c:y val="2.33918128654970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19-4478-B1E6-257CBF16B6CD}"/>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'[مؤشرات 8-1.xls]3 (3)'!$B$19:$I$19</c:f>
              <c:numCache>
                <c:formatCode>General</c:formatCode>
                <c:ptCount val="8"/>
                <c:pt idx="0">
                  <c:v>2010</c:v>
                </c:pt>
                <c:pt idx="1">
                  <c:v>2011</c:v>
                </c:pt>
                <c:pt idx="2">
                  <c:v>2012</c:v>
                </c:pt>
                <c:pt idx="3">
                  <c:v>2013</c:v>
                </c:pt>
                <c:pt idx="4">
                  <c:v>2014</c:v>
                </c:pt>
                <c:pt idx="5">
                  <c:v>2015</c:v>
                </c:pt>
                <c:pt idx="6">
                  <c:v>2016</c:v>
                </c:pt>
                <c:pt idx="7">
                  <c:v>2017</c:v>
                </c:pt>
              </c:numCache>
            </c:numRef>
          </c:cat>
          <c:val>
            <c:numRef>
              <c:f>'[مؤشرات 8-1.xls]3 (3)'!$B$20:$I$20</c:f>
              <c:numCache>
                <c:formatCode>General</c:formatCode>
                <c:ptCount val="8"/>
                <c:pt idx="0">
                  <c:v>326</c:v>
                </c:pt>
                <c:pt idx="1">
                  <c:v>344</c:v>
                </c:pt>
                <c:pt idx="2">
                  <c:v>334</c:v>
                </c:pt>
                <c:pt idx="3">
                  <c:v>339</c:v>
                </c:pt>
                <c:pt idx="4">
                  <c:v>200</c:v>
                </c:pt>
                <c:pt idx="5">
                  <c:v>262</c:v>
                </c:pt>
                <c:pt idx="6">
                  <c:v>341</c:v>
                </c:pt>
                <c:pt idx="7">
                  <c:v>390</c:v>
                </c:pt>
              </c:numCache>
            </c:numRef>
          </c:val>
          <c:smooth val="0"/>
          <c:extLst>
            <c:ext xmlns:c16="http://schemas.microsoft.com/office/drawing/2014/chart" uri="{C3380CC4-5D6E-409C-BE32-E72D297353CC}">
              <c16:uniqueId val="{00000006-8519-4478-B1E6-257CBF16B6CD}"/>
            </c:ext>
          </c:extLst>
        </c:ser>
        <c:dLbls>
          <c:showLegendKey val="0"/>
          <c:showVal val="0"/>
          <c:showCatName val="0"/>
          <c:showSerName val="0"/>
          <c:showPercent val="0"/>
          <c:showBubbleSize val="0"/>
        </c:dLbls>
        <c:marker val="1"/>
        <c:smooth val="0"/>
        <c:axId val="220396544"/>
        <c:axId val="220398336"/>
      </c:lineChart>
      <c:catAx>
        <c:axId val="220396544"/>
        <c:scaling>
          <c:orientation val="minMax"/>
        </c:scaling>
        <c:delete val="0"/>
        <c:axPos val="b"/>
        <c:numFmt formatCode="General" sourceLinked="1"/>
        <c:majorTickMark val="out"/>
        <c:minorTickMark val="none"/>
        <c:tickLblPos val="nextTo"/>
        <c:txPr>
          <a:bodyPr/>
          <a:lstStyle/>
          <a:p>
            <a:pPr>
              <a:defRPr b="1"/>
            </a:pPr>
            <a:endParaRPr lang="en-US"/>
          </a:p>
        </c:txPr>
        <c:crossAx val="220398336"/>
        <c:crosses val="autoZero"/>
        <c:auto val="1"/>
        <c:lblAlgn val="ctr"/>
        <c:lblOffset val="100"/>
        <c:noMultiLvlLbl val="0"/>
      </c:catAx>
      <c:valAx>
        <c:axId val="220398336"/>
        <c:scaling>
          <c:orientation val="minMax"/>
        </c:scaling>
        <c:delete val="0"/>
        <c:axPos val="l"/>
        <c:numFmt formatCode="General" sourceLinked="1"/>
        <c:majorTickMark val="out"/>
        <c:minorTickMark val="none"/>
        <c:tickLblPos val="nextTo"/>
        <c:txPr>
          <a:bodyPr/>
          <a:lstStyle/>
          <a:p>
            <a:pPr>
              <a:defRPr b="1"/>
            </a:pPr>
            <a:endParaRPr lang="en-US"/>
          </a:p>
        </c:txPr>
        <c:crossAx val="220396544"/>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085739282589675E-2"/>
          <c:y val="8.7048702245552639E-2"/>
          <c:w val="0.87635870516185477"/>
          <c:h val="0.73678623505395147"/>
        </c:manualLayout>
      </c:layout>
      <c:lineChart>
        <c:grouping val="standard"/>
        <c:varyColors val="0"/>
        <c:ser>
          <c:idx val="0"/>
          <c:order val="0"/>
          <c:tx>
            <c:strRef>
              <c:f>Sheet1!$D$29</c:f>
              <c:strCache>
                <c:ptCount val="1"/>
                <c:pt idx="0">
                  <c:v>البطالة المتعلمة</c:v>
                </c:pt>
              </c:strCache>
            </c:strRef>
          </c:tx>
          <c:spPr>
            <a:ln w="22225">
              <a:solidFill>
                <a:sysClr val="windowText" lastClr="000000"/>
              </a:solidFill>
            </a:ln>
          </c:spPr>
          <c:marker>
            <c:symbol val="diamond"/>
            <c:size val="8"/>
            <c:spPr>
              <a:solidFill>
                <a:sysClr val="windowText" lastClr="000000"/>
              </a:solidFill>
              <a:ln cap="sq">
                <a:solidFill>
                  <a:sysClr val="windowText" lastClr="000000"/>
                </a:solidFill>
                <a:headEnd type="diamond"/>
              </a:ln>
            </c:spPr>
          </c:marker>
          <c:dLbls>
            <c:dLbl>
              <c:idx val="0"/>
              <c:layout>
                <c:manualLayout>
                  <c:x val="-2.7777777777777776E-2"/>
                  <c:y val="-8.48965138120575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70-4F9B-97DD-1AE81896FE1A}"/>
                </c:ext>
              </c:extLst>
            </c:dLbl>
            <c:dLbl>
              <c:idx val="1"/>
              <c:layout>
                <c:manualLayout>
                  <c:x val="-5.5555555555555552E-2"/>
                  <c:y val="9.878487478576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70-4F9B-97DD-1AE81896FE1A}"/>
                </c:ext>
              </c:extLst>
            </c:dLbl>
            <c:dLbl>
              <c:idx val="2"/>
              <c:layout>
                <c:manualLayout>
                  <c:x val="-3.6111111111111108E-2"/>
                  <c:y val="-0.103414139339728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70-4F9B-97DD-1AE81896FE1A}"/>
                </c:ext>
              </c:extLst>
            </c:dLbl>
            <c:dLbl>
              <c:idx val="3"/>
              <c:layout>
                <c:manualLayout>
                  <c:x val="-1.1111111111111112E-2"/>
                  <c:y val="-0.111139791875981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70-4F9B-97DD-1AE81896FE1A}"/>
                </c:ext>
              </c:extLst>
            </c:dLbl>
            <c:dLbl>
              <c:idx val="4"/>
              <c:layout>
                <c:manualLayout>
                  <c:x val="-0.05"/>
                  <c:y val="0.112673866992530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70-4F9B-97DD-1AE81896FE1A}"/>
                </c:ext>
              </c:extLst>
            </c:dLbl>
            <c:dLbl>
              <c:idx val="5"/>
              <c:layout>
                <c:manualLayout>
                  <c:x val="-4.7222222222222221E-2"/>
                  <c:y val="-9.8264082523448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70-4F9B-97DD-1AE81896FE1A}"/>
                </c:ext>
              </c:extLst>
            </c:dLbl>
            <c:dLbl>
              <c:idx val="6"/>
              <c:layout>
                <c:manualLayout>
                  <c:x val="-4.7222222222222221E-2"/>
                  <c:y val="8.9004418791864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70-4F9B-97DD-1AE81896FE1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Sheet1!$E$28:$L$28</c:f>
              <c:numCache>
                <c:formatCode>General</c:formatCode>
                <c:ptCount val="8"/>
                <c:pt idx="0">
                  <c:v>2010</c:v>
                </c:pt>
                <c:pt idx="1">
                  <c:v>2011</c:v>
                </c:pt>
                <c:pt idx="2">
                  <c:v>2012</c:v>
                </c:pt>
                <c:pt idx="3">
                  <c:v>2013</c:v>
                </c:pt>
                <c:pt idx="4">
                  <c:v>2014</c:v>
                </c:pt>
                <c:pt idx="5">
                  <c:v>2015</c:v>
                </c:pt>
                <c:pt idx="6">
                  <c:v>2016</c:v>
                </c:pt>
                <c:pt idx="7">
                  <c:v>2017</c:v>
                </c:pt>
              </c:numCache>
            </c:numRef>
          </c:cat>
          <c:val>
            <c:numRef>
              <c:f>Sheet1!$E$29:$L$29</c:f>
              <c:numCache>
                <c:formatCode>0.0</c:formatCode>
                <c:ptCount val="8"/>
                <c:pt idx="0">
                  <c:v>39.663901297596254</c:v>
                </c:pt>
                <c:pt idx="1">
                  <c:v>32.146896205076651</c:v>
                </c:pt>
                <c:pt idx="2">
                  <c:v>33.234057463209531</c:v>
                </c:pt>
                <c:pt idx="3">
                  <c:v>31.130782723087041</c:v>
                </c:pt>
                <c:pt idx="4">
                  <c:v>27.906083712765373</c:v>
                </c:pt>
                <c:pt idx="5">
                  <c:v>31.755202628696605</c:v>
                </c:pt>
                <c:pt idx="6">
                  <c:v>31.40215973128279</c:v>
                </c:pt>
                <c:pt idx="7">
                  <c:v>33.957095899890433</c:v>
                </c:pt>
              </c:numCache>
            </c:numRef>
          </c:val>
          <c:smooth val="0"/>
          <c:extLst>
            <c:ext xmlns:c16="http://schemas.microsoft.com/office/drawing/2014/chart" uri="{C3380CC4-5D6E-409C-BE32-E72D297353CC}">
              <c16:uniqueId val="{00000007-3D70-4F9B-97DD-1AE81896FE1A}"/>
            </c:ext>
          </c:extLst>
        </c:ser>
        <c:dLbls>
          <c:showLegendKey val="0"/>
          <c:showVal val="0"/>
          <c:showCatName val="0"/>
          <c:showSerName val="0"/>
          <c:showPercent val="0"/>
          <c:showBubbleSize val="0"/>
        </c:dLbls>
        <c:marker val="1"/>
        <c:smooth val="0"/>
        <c:axId val="220615424"/>
        <c:axId val="220616960"/>
      </c:lineChart>
      <c:catAx>
        <c:axId val="220615424"/>
        <c:scaling>
          <c:orientation val="minMax"/>
        </c:scaling>
        <c:delete val="0"/>
        <c:axPos val="b"/>
        <c:numFmt formatCode="General" sourceLinked="1"/>
        <c:majorTickMark val="out"/>
        <c:minorTickMark val="none"/>
        <c:tickLblPos val="nextTo"/>
        <c:crossAx val="220616960"/>
        <c:crosses val="autoZero"/>
        <c:auto val="1"/>
        <c:lblAlgn val="ctr"/>
        <c:lblOffset val="100"/>
        <c:noMultiLvlLbl val="0"/>
      </c:catAx>
      <c:valAx>
        <c:axId val="220616960"/>
        <c:scaling>
          <c:orientation val="minMax"/>
        </c:scaling>
        <c:delete val="0"/>
        <c:axPos val="l"/>
        <c:numFmt formatCode="0.0" sourceLinked="1"/>
        <c:majorTickMark val="out"/>
        <c:minorTickMark val="none"/>
        <c:tickLblPos val="nextTo"/>
        <c:crossAx val="220615424"/>
        <c:crosses val="autoZero"/>
        <c:crossBetween val="between"/>
      </c:valAx>
    </c:plotArea>
    <c:plotVisOnly val="1"/>
    <c:dispBlanksAs val="gap"/>
    <c:showDLblsOverMax val="0"/>
  </c:chart>
  <c:spPr>
    <a:ln>
      <a:noFill/>
    </a:ln>
  </c:spPr>
  <c:txPr>
    <a:bodyPr/>
    <a:lstStyle/>
    <a:p>
      <a:pPr>
        <a:defRPr sz="1010" b="1" i="0" baseline="0">
          <a:solidFill>
            <a:sysClr val="windowText" lastClr="000000"/>
          </a:solidFill>
          <a:cs typeface="Simplified Arabic" pitchFamily="18" charset="-78"/>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Sheet1!$N$10</c:f>
              <c:strCache>
                <c:ptCount val="1"/>
                <c:pt idx="0">
                  <c:v>15-19</c:v>
                </c:pt>
              </c:strCache>
            </c:strRef>
          </c:tx>
          <c:spPr>
            <a:pattFill prst="lgCheck">
              <a:fgClr>
                <a:sysClr val="windowText" lastClr="000000"/>
              </a:fgClr>
              <a:bgClr>
                <a:sysClr val="window" lastClr="FFFFFF"/>
              </a:bgClr>
            </a:pattFill>
            <a:ln>
              <a:solidFill>
                <a:sysClr val="windowText" lastClr="000000"/>
              </a:solidFill>
            </a:ln>
          </c:spPr>
          <c:invertIfNegative val="0"/>
          <c:cat>
            <c:numRef>
              <c:f>Sheet1!$O$9:$V$9</c:f>
              <c:numCache>
                <c:formatCode>General</c:formatCode>
                <c:ptCount val="8"/>
                <c:pt idx="0">
                  <c:v>2010</c:v>
                </c:pt>
                <c:pt idx="1">
                  <c:v>2011</c:v>
                </c:pt>
                <c:pt idx="2">
                  <c:v>2012</c:v>
                </c:pt>
                <c:pt idx="3">
                  <c:v>2013</c:v>
                </c:pt>
                <c:pt idx="4">
                  <c:v>2014</c:v>
                </c:pt>
                <c:pt idx="5">
                  <c:v>2015</c:v>
                </c:pt>
                <c:pt idx="6">
                  <c:v>2016</c:v>
                </c:pt>
                <c:pt idx="7">
                  <c:v>2017</c:v>
                </c:pt>
              </c:numCache>
            </c:numRef>
          </c:cat>
          <c:val>
            <c:numRef>
              <c:f>Sheet1!$O$10:$V$10</c:f>
              <c:numCache>
                <c:formatCode>0.0</c:formatCode>
                <c:ptCount val="8"/>
                <c:pt idx="0">
                  <c:v>12.445930003932364</c:v>
                </c:pt>
                <c:pt idx="1">
                  <c:v>9.9773242630385486</c:v>
                </c:pt>
                <c:pt idx="2">
                  <c:v>11.250492578484172</c:v>
                </c:pt>
                <c:pt idx="3">
                  <c:v>10.755756087850839</c:v>
                </c:pt>
                <c:pt idx="4">
                  <c:v>12.412304371289801</c:v>
                </c:pt>
                <c:pt idx="5">
                  <c:v>23</c:v>
                </c:pt>
                <c:pt idx="6">
                  <c:v>21.5</c:v>
                </c:pt>
                <c:pt idx="7">
                  <c:v>18.2</c:v>
                </c:pt>
              </c:numCache>
            </c:numRef>
          </c:val>
          <c:extLst>
            <c:ext xmlns:c16="http://schemas.microsoft.com/office/drawing/2014/chart" uri="{C3380CC4-5D6E-409C-BE32-E72D297353CC}">
              <c16:uniqueId val="{00000000-9A42-4863-A665-1DF091432983}"/>
            </c:ext>
          </c:extLst>
        </c:ser>
        <c:ser>
          <c:idx val="1"/>
          <c:order val="1"/>
          <c:tx>
            <c:strRef>
              <c:f>Sheet1!$N$11</c:f>
              <c:strCache>
                <c:ptCount val="1"/>
                <c:pt idx="0">
                  <c:v>20-29</c:v>
                </c:pt>
              </c:strCache>
            </c:strRef>
          </c:tx>
          <c:spPr>
            <a:pattFill prst="wdDnDiag">
              <a:fgClr>
                <a:sysClr val="windowText" lastClr="000000"/>
              </a:fgClr>
              <a:bgClr>
                <a:sysClr val="window" lastClr="FFFFFF"/>
              </a:bgClr>
            </a:pattFill>
            <a:ln>
              <a:solidFill>
                <a:sysClr val="windowText" lastClr="000000"/>
              </a:solidFill>
            </a:ln>
          </c:spPr>
          <c:invertIfNegative val="0"/>
          <c:cat>
            <c:numRef>
              <c:f>Sheet1!$O$9:$V$9</c:f>
              <c:numCache>
                <c:formatCode>General</c:formatCode>
                <c:ptCount val="8"/>
                <c:pt idx="0">
                  <c:v>2010</c:v>
                </c:pt>
                <c:pt idx="1">
                  <c:v>2011</c:v>
                </c:pt>
                <c:pt idx="2">
                  <c:v>2012</c:v>
                </c:pt>
                <c:pt idx="3">
                  <c:v>2013</c:v>
                </c:pt>
                <c:pt idx="4">
                  <c:v>2014</c:v>
                </c:pt>
                <c:pt idx="5">
                  <c:v>2015</c:v>
                </c:pt>
                <c:pt idx="6">
                  <c:v>2016</c:v>
                </c:pt>
                <c:pt idx="7">
                  <c:v>2017</c:v>
                </c:pt>
              </c:numCache>
            </c:numRef>
          </c:cat>
          <c:val>
            <c:numRef>
              <c:f>Sheet1!$O$11:$V$11</c:f>
              <c:numCache>
                <c:formatCode>0.0</c:formatCode>
                <c:ptCount val="8"/>
                <c:pt idx="0">
                  <c:v>71.264254817145101</c:v>
                </c:pt>
                <c:pt idx="1">
                  <c:v>62.866762866762862</c:v>
                </c:pt>
                <c:pt idx="2">
                  <c:v>65.683698936030481</c:v>
                </c:pt>
                <c:pt idx="3">
                  <c:v>63.174308274168936</c:v>
                </c:pt>
                <c:pt idx="4">
                  <c:v>54.546681057744195</c:v>
                </c:pt>
                <c:pt idx="5">
                  <c:v>53.800000000000004</c:v>
                </c:pt>
                <c:pt idx="6">
                  <c:v>53.5</c:v>
                </c:pt>
                <c:pt idx="7">
                  <c:v>52.6</c:v>
                </c:pt>
              </c:numCache>
            </c:numRef>
          </c:val>
          <c:extLst>
            <c:ext xmlns:c16="http://schemas.microsoft.com/office/drawing/2014/chart" uri="{C3380CC4-5D6E-409C-BE32-E72D297353CC}">
              <c16:uniqueId val="{00000001-9A42-4863-A665-1DF091432983}"/>
            </c:ext>
          </c:extLst>
        </c:ser>
        <c:ser>
          <c:idx val="2"/>
          <c:order val="2"/>
          <c:tx>
            <c:strRef>
              <c:f>Sheet1!$N$12</c:f>
              <c:strCache>
                <c:ptCount val="1"/>
                <c:pt idx="0">
                  <c:v>30-39</c:v>
                </c:pt>
              </c:strCache>
            </c:strRef>
          </c:tx>
          <c:spPr>
            <a:pattFill prst="openDmnd">
              <a:fgClr>
                <a:sysClr val="windowText" lastClr="000000"/>
              </a:fgClr>
              <a:bgClr>
                <a:sysClr val="window" lastClr="FFFFFF"/>
              </a:bgClr>
            </a:pattFill>
            <a:ln>
              <a:solidFill>
                <a:sysClr val="windowText" lastClr="000000"/>
              </a:solidFill>
            </a:ln>
          </c:spPr>
          <c:invertIfNegative val="0"/>
          <c:cat>
            <c:numRef>
              <c:f>Sheet1!$O$9:$V$9</c:f>
              <c:numCache>
                <c:formatCode>General</c:formatCode>
                <c:ptCount val="8"/>
                <c:pt idx="0">
                  <c:v>2010</c:v>
                </c:pt>
                <c:pt idx="1">
                  <c:v>2011</c:v>
                </c:pt>
                <c:pt idx="2">
                  <c:v>2012</c:v>
                </c:pt>
                <c:pt idx="3">
                  <c:v>2013</c:v>
                </c:pt>
                <c:pt idx="4">
                  <c:v>2014</c:v>
                </c:pt>
                <c:pt idx="5">
                  <c:v>2015</c:v>
                </c:pt>
                <c:pt idx="6">
                  <c:v>2016</c:v>
                </c:pt>
                <c:pt idx="7">
                  <c:v>2017</c:v>
                </c:pt>
              </c:numCache>
            </c:numRef>
          </c:cat>
          <c:val>
            <c:numRef>
              <c:f>Sheet1!$O$12:$V$12</c:f>
              <c:numCache>
                <c:formatCode>0.0</c:formatCode>
                <c:ptCount val="8"/>
                <c:pt idx="0">
                  <c:v>10.705859221392057</c:v>
                </c:pt>
                <c:pt idx="1">
                  <c:v>14.539957397100252</c:v>
                </c:pt>
                <c:pt idx="2">
                  <c:v>17.384736634703795</c:v>
                </c:pt>
                <c:pt idx="3">
                  <c:v>16.475350009952891</c:v>
                </c:pt>
                <c:pt idx="4">
                  <c:v>17.829195898542906</c:v>
                </c:pt>
                <c:pt idx="5">
                  <c:v>7.6</c:v>
                </c:pt>
                <c:pt idx="6">
                  <c:v>7.5</c:v>
                </c:pt>
                <c:pt idx="7">
                  <c:v>7.1</c:v>
                </c:pt>
              </c:numCache>
            </c:numRef>
          </c:val>
          <c:extLst>
            <c:ext xmlns:c16="http://schemas.microsoft.com/office/drawing/2014/chart" uri="{C3380CC4-5D6E-409C-BE32-E72D297353CC}">
              <c16:uniqueId val="{00000002-9A42-4863-A665-1DF091432983}"/>
            </c:ext>
          </c:extLst>
        </c:ser>
        <c:dLbls>
          <c:showLegendKey val="0"/>
          <c:showVal val="0"/>
          <c:showCatName val="0"/>
          <c:showSerName val="0"/>
          <c:showPercent val="0"/>
          <c:showBubbleSize val="0"/>
        </c:dLbls>
        <c:gapWidth val="150"/>
        <c:axId val="220355584"/>
        <c:axId val="220365568"/>
      </c:barChart>
      <c:catAx>
        <c:axId val="220355584"/>
        <c:scaling>
          <c:orientation val="minMax"/>
        </c:scaling>
        <c:delete val="0"/>
        <c:axPos val="b"/>
        <c:numFmt formatCode="General" sourceLinked="1"/>
        <c:majorTickMark val="out"/>
        <c:minorTickMark val="none"/>
        <c:tickLblPos val="nextTo"/>
        <c:crossAx val="220365568"/>
        <c:crosses val="autoZero"/>
        <c:auto val="1"/>
        <c:lblAlgn val="ctr"/>
        <c:lblOffset val="100"/>
        <c:noMultiLvlLbl val="0"/>
      </c:catAx>
      <c:valAx>
        <c:axId val="220365568"/>
        <c:scaling>
          <c:orientation val="minMax"/>
        </c:scaling>
        <c:delete val="0"/>
        <c:axPos val="l"/>
        <c:majorGridlines/>
        <c:numFmt formatCode="0.0" sourceLinked="1"/>
        <c:majorTickMark val="out"/>
        <c:minorTickMark val="none"/>
        <c:tickLblPos val="nextTo"/>
        <c:crossAx val="220355584"/>
        <c:crosses val="autoZero"/>
        <c:crossBetween val="between"/>
      </c:valAx>
    </c:plotArea>
    <c:legend>
      <c:legendPos val="b"/>
      <c:layout>
        <c:manualLayout>
          <c:xMode val="edge"/>
          <c:yMode val="edge"/>
          <c:x val="2.2821959755030641E-2"/>
          <c:y val="0.88850503062117236"/>
          <c:w val="0.92102252843394572"/>
          <c:h val="8.3717191601049873E-2"/>
        </c:manualLayout>
      </c:layout>
      <c:overlay val="0"/>
      <c:txPr>
        <a:bodyPr/>
        <a:lstStyle/>
        <a:p>
          <a:pPr>
            <a:defRPr sz="1200" b="0"/>
          </a:pPr>
          <a:endParaRPr lang="en-US"/>
        </a:p>
      </c:txPr>
    </c:legend>
    <c:plotVisOnly val="1"/>
    <c:dispBlanksAs val="gap"/>
    <c:showDLblsOverMax val="0"/>
  </c:chart>
  <c:spPr>
    <a:ln>
      <a:noFill/>
    </a:ln>
  </c:spPr>
  <c:txPr>
    <a:bodyPr/>
    <a:lstStyle/>
    <a:p>
      <a:pPr>
        <a:defRPr sz="1050" b="1" baseline="0">
          <a:cs typeface="Simplified Arabic" pitchFamily="18" charset="-78"/>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Sheet1!$B$1</c:f>
              <c:strCache>
                <c:ptCount val="1"/>
                <c:pt idx="0">
                  <c:v>عدد السكان</c:v>
                </c:pt>
              </c:strCache>
            </c:strRef>
          </c:tx>
          <c:spPr>
            <a:ln w="19050" cap="rnd">
              <a:solidFill>
                <a:sysClr val="windowText" lastClr="000000"/>
              </a:solidFill>
              <a:round/>
            </a:ln>
            <a:effectLst/>
          </c:spPr>
          <c:marker>
            <c:symbol val="circle"/>
            <c:size val="5"/>
            <c:spPr>
              <a:solidFill>
                <a:schemeClr val="accent1"/>
              </a:solidFill>
              <a:ln w="9525">
                <a:solidFill>
                  <a:schemeClr val="accent1"/>
                </a:solidFill>
              </a:ln>
              <a:effectLst/>
            </c:spPr>
          </c:marker>
          <c:dLbls>
            <c:dLbl>
              <c:idx val="0"/>
              <c:layout>
                <c:manualLayout>
                  <c:x val="-4.1984869710989373E-2"/>
                  <c:y val="8.4227123795469122E-2"/>
                </c:manualLayout>
              </c:layout>
              <c:tx>
                <c:rich>
                  <a:bodyPr/>
                  <a:lstStyle/>
                  <a:p>
                    <a:r>
                      <a:rPr lang="en-US" sz="1050" b="1">
                        <a:solidFill>
                          <a:sysClr val="windowText" lastClr="000000"/>
                        </a:solidFill>
                      </a:rPr>
                      <a:t>95.2</a:t>
                    </a:r>
                    <a:endParaRPr lang="en-US"/>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2C-4F46-9A0F-1BDBE2FB1386}"/>
                </c:ext>
              </c:extLst>
            </c:dLbl>
            <c:dLbl>
              <c:idx val="1"/>
              <c:layout>
                <c:manualLayout>
                  <c:x val="-4.1186612197330441E-2"/>
                  <c:y val="-8.9309260772090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2C-4F46-9A0F-1BDBE2FB1386}"/>
                </c:ext>
              </c:extLst>
            </c:dLbl>
            <c:dLbl>
              <c:idx val="2"/>
              <c:layout>
                <c:manualLayout>
                  <c:x val="-4.3534428413974348E-2"/>
                  <c:y val="9.0424851815739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2C-4F46-9A0F-1BDBE2FB1386}"/>
                </c:ext>
              </c:extLst>
            </c:dLbl>
            <c:dLbl>
              <c:idx val="3"/>
              <c:layout>
                <c:manualLayout>
                  <c:x val="-3.8838795980686534E-2"/>
                  <c:y val="-0.101704716812630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2C-4F46-9A0F-1BDBE2FB1386}"/>
                </c:ext>
              </c:extLst>
            </c:dLbl>
            <c:dLbl>
              <c:idx val="4"/>
              <c:layout>
                <c:manualLayout>
                  <c:x val="-3.8838795980686534E-2"/>
                  <c:y val="9.0424851815739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2C-4F46-9A0F-1BDBE2FB1386}"/>
                </c:ext>
              </c:extLst>
            </c:dLbl>
            <c:dLbl>
              <c:idx val="5"/>
              <c:layout>
                <c:manualLayout>
                  <c:x val="-4.5882244630618262E-2"/>
                  <c:y val="-8.93092607720905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2C-4F46-9A0F-1BDBE2FB1386}"/>
                </c:ext>
              </c:extLst>
            </c:dLbl>
            <c:dLbl>
              <c:idx val="6"/>
              <c:layout>
                <c:manualLayout>
                  <c:x val="-4.3534428413974348E-2"/>
                  <c:y val="8.4227123795469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92C-4F46-9A0F-1BDBE2FB1386}"/>
                </c:ext>
              </c:extLst>
            </c:dLbl>
            <c:dLbl>
              <c:idx val="7"/>
              <c:layout>
                <c:manualLayout>
                  <c:x val="-3.1390117949110438E-2"/>
                  <c:y val="-9.5506988792360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2C-4F46-9A0F-1BDBE2FB1386}"/>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2017</c:v>
                </c:pt>
                <c:pt idx="1">
                  <c:v>2022</c:v>
                </c:pt>
                <c:pt idx="2">
                  <c:v>2027</c:v>
                </c:pt>
                <c:pt idx="3">
                  <c:v>2032</c:v>
                </c:pt>
                <c:pt idx="4">
                  <c:v>2037</c:v>
                </c:pt>
                <c:pt idx="5">
                  <c:v>2042</c:v>
                </c:pt>
                <c:pt idx="6">
                  <c:v>2047</c:v>
                </c:pt>
                <c:pt idx="7">
                  <c:v>2052</c:v>
                </c:pt>
              </c:numCache>
            </c:numRef>
          </c:cat>
          <c:val>
            <c:numRef>
              <c:f>Sheet1!$B$2:$B$9</c:f>
              <c:numCache>
                <c:formatCode>0.0</c:formatCode>
                <c:ptCount val="8"/>
                <c:pt idx="0">
                  <c:v>95.454999999999998</c:v>
                </c:pt>
                <c:pt idx="1">
                  <c:v>105.42400000000001</c:v>
                </c:pt>
                <c:pt idx="2">
                  <c:v>114.578</c:v>
                </c:pt>
                <c:pt idx="3">
                  <c:v>123.134</c:v>
                </c:pt>
                <c:pt idx="4">
                  <c:v>131.54599999999999</c:v>
                </c:pt>
                <c:pt idx="5">
                  <c:v>139.81299999999999</c:v>
                </c:pt>
                <c:pt idx="6">
                  <c:v>147.31200000000001</c:v>
                </c:pt>
                <c:pt idx="7">
                  <c:v>153.68799999999999</c:v>
                </c:pt>
              </c:numCache>
            </c:numRef>
          </c:val>
          <c:smooth val="0"/>
          <c:extLst>
            <c:ext xmlns:c16="http://schemas.microsoft.com/office/drawing/2014/chart" uri="{C3380CC4-5D6E-409C-BE32-E72D297353CC}">
              <c16:uniqueId val="{00000008-292C-4F46-9A0F-1BDBE2FB1386}"/>
            </c:ext>
          </c:extLst>
        </c:ser>
        <c:dLbls>
          <c:dLblPos val="t"/>
          <c:showLegendKey val="0"/>
          <c:showVal val="1"/>
          <c:showCatName val="0"/>
          <c:showSerName val="0"/>
          <c:showPercent val="0"/>
          <c:showBubbleSize val="0"/>
        </c:dLbls>
        <c:marker val="1"/>
        <c:smooth val="0"/>
        <c:axId val="335175040"/>
        <c:axId val="341302272"/>
      </c:lineChart>
      <c:catAx>
        <c:axId val="33517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341302272"/>
        <c:crosses val="autoZero"/>
        <c:auto val="1"/>
        <c:lblAlgn val="ctr"/>
        <c:lblOffset val="100"/>
        <c:noMultiLvlLbl val="0"/>
      </c:catAx>
      <c:valAx>
        <c:axId val="34130227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crossAx val="335175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100">
                <a:latin typeface="Simplified Arabic" pitchFamily="18" charset="-78"/>
                <a:cs typeface="Simplified Arabic" pitchFamily="18" charset="-78"/>
              </a:defRPr>
            </a:pPr>
            <a:r>
              <a:rPr lang="ar-EG" sz="1100">
                <a:latin typeface="Simplified Arabic" pitchFamily="18" charset="-78"/>
                <a:cs typeface="Simplified Arabic" pitchFamily="18" charset="-78"/>
              </a:rPr>
              <a:t>شكل (2-3) التوزيع </a:t>
            </a:r>
            <a:r>
              <a:rPr lang="ar-EG" sz="1100" baseline="0">
                <a:latin typeface="Simplified Arabic" pitchFamily="18" charset="-78"/>
                <a:cs typeface="Simplified Arabic" pitchFamily="18" charset="-78"/>
              </a:rPr>
              <a:t>النسبي للسكان المصريين وفقاً لفئات السن</a:t>
            </a:r>
            <a:endParaRPr lang="en-US" sz="1100" baseline="0">
              <a:latin typeface="Simplified Arabic" pitchFamily="18" charset="-78"/>
              <a:cs typeface="Simplified Arabic" pitchFamily="18" charset="-78"/>
            </a:endParaRPr>
          </a:p>
        </c:rich>
      </c:tx>
      <c:layout>
        <c:manualLayout>
          <c:xMode val="edge"/>
          <c:yMode val="edge"/>
          <c:x val="8.8570660595136436E-2"/>
          <c:y val="5.7776893411789236E-3"/>
        </c:manualLayout>
      </c:layout>
      <c:overlay val="1"/>
    </c:title>
    <c:autoTitleDeleted val="0"/>
    <c:plotArea>
      <c:layout>
        <c:manualLayout>
          <c:layoutTarget val="inner"/>
          <c:xMode val="edge"/>
          <c:yMode val="edge"/>
          <c:x val="0.1958133202099738"/>
          <c:y val="0.22097273941840304"/>
          <c:w val="0.6788287401574804"/>
          <c:h val="0.68250900765793299"/>
        </c:manualLayout>
      </c:layout>
      <c:barChart>
        <c:barDir val="bar"/>
        <c:grouping val="clustered"/>
        <c:varyColors val="0"/>
        <c:ser>
          <c:idx val="0"/>
          <c:order val="0"/>
          <c:spPr>
            <a:solidFill>
              <a:sysClr val="windowText" lastClr="000000"/>
            </a:solidFill>
          </c:spPr>
          <c:invertIfNegative val="0"/>
          <c:dLbls>
            <c:dLbl>
              <c:idx val="0"/>
              <c:layout>
                <c:manualLayout>
                  <c:x val="0"/>
                  <c:y val="-4.31372549019607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84-4DC5-A682-E21EFC884365}"/>
                </c:ext>
              </c:extLst>
            </c:dLbl>
            <c:dLbl>
              <c:idx val="13"/>
              <c:layout>
                <c:manualLayout>
                  <c:x val="3.9331366764995485E-3"/>
                  <c:y val="3.49482785240083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84-4DC5-A682-E21EFC884365}"/>
                </c:ext>
              </c:extLst>
            </c:dLbl>
            <c:dLbl>
              <c:idx val="21"/>
              <c:layout>
                <c:manualLayout>
                  <c:x val="0"/>
                  <c:y val="4.29645542427498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84-4DC5-A682-E21EFC884365}"/>
                </c:ext>
              </c:extLst>
            </c:dLbl>
            <c:spPr>
              <a:noFill/>
              <a:ln>
                <a:noFill/>
              </a:ln>
              <a:effectLst/>
            </c:spPr>
            <c:txPr>
              <a:bodyPr/>
              <a:lstStyle/>
              <a:p>
                <a:pPr>
                  <a:defRPr sz="1100">
                    <a:solidFill>
                      <a:schemeClr val="accent1">
                        <a:lumMod val="50000"/>
                      </a:schemeClr>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Sheet1!$A$3:$A$16</c:f>
              <c:strCache>
                <c:ptCount val="14"/>
                <c:pt idx="0">
                  <c:v>0 - 4</c:v>
                </c:pt>
                <c:pt idx="1">
                  <c:v>5 - 9</c:v>
                </c:pt>
                <c:pt idx="2">
                  <c:v>10 - 14</c:v>
                </c:pt>
                <c:pt idx="3">
                  <c:v>15 - 19</c:v>
                </c:pt>
                <c:pt idx="4">
                  <c:v>20 - 24</c:v>
                </c:pt>
                <c:pt idx="5">
                  <c:v>25 - 29</c:v>
                </c:pt>
                <c:pt idx="6">
                  <c:v>30 - 34</c:v>
                </c:pt>
                <c:pt idx="7">
                  <c:v>35 - 39</c:v>
                </c:pt>
                <c:pt idx="8">
                  <c:v>40 - 44</c:v>
                </c:pt>
                <c:pt idx="9">
                  <c:v>45 - 49</c:v>
                </c:pt>
                <c:pt idx="10">
                  <c:v>50 - 54</c:v>
                </c:pt>
                <c:pt idx="11">
                  <c:v>55 - 59</c:v>
                </c:pt>
                <c:pt idx="12">
                  <c:v>60 - 64</c:v>
                </c:pt>
                <c:pt idx="13">
                  <c:v>65+</c:v>
                </c:pt>
              </c:strCache>
            </c:strRef>
          </c:cat>
          <c:val>
            <c:numRef>
              <c:f>Sheet1!$B$3:$B$16</c:f>
              <c:numCache>
                <c:formatCode>0.0</c:formatCode>
                <c:ptCount val="14"/>
                <c:pt idx="0">
                  <c:v>13.6</c:v>
                </c:pt>
                <c:pt idx="1">
                  <c:v>11.1</c:v>
                </c:pt>
                <c:pt idx="2">
                  <c:v>9.4744785288009901</c:v>
                </c:pt>
                <c:pt idx="3">
                  <c:v>9.4725200040702884</c:v>
                </c:pt>
                <c:pt idx="4">
                  <c:v>8.6632952492818873</c:v>
                </c:pt>
                <c:pt idx="5">
                  <c:v>8.625696955014881</c:v>
                </c:pt>
                <c:pt idx="6">
                  <c:v>7.7303207865504193</c:v>
                </c:pt>
                <c:pt idx="7">
                  <c:v>6.7989658731154909</c:v>
                </c:pt>
                <c:pt idx="8">
                  <c:v>5.40012079147471</c:v>
                </c:pt>
                <c:pt idx="9">
                  <c:v>4.5968813743523311</c:v>
                </c:pt>
                <c:pt idx="10">
                  <c:v>4.1909351555275247</c:v>
                </c:pt>
                <c:pt idx="11">
                  <c:v>3.4147061618889856</c:v>
                </c:pt>
                <c:pt idx="12">
                  <c:v>2.7782254405733666</c:v>
                </c:pt>
                <c:pt idx="13">
                  <c:v>3.9</c:v>
                </c:pt>
              </c:numCache>
            </c:numRef>
          </c:val>
          <c:extLst>
            <c:ext xmlns:c16="http://schemas.microsoft.com/office/drawing/2014/chart" uri="{C3380CC4-5D6E-409C-BE32-E72D297353CC}">
              <c16:uniqueId val="{00000003-F184-4DC5-A682-E21EFC884365}"/>
            </c:ext>
          </c:extLst>
        </c:ser>
        <c:dLbls>
          <c:showLegendKey val="0"/>
          <c:showVal val="0"/>
          <c:showCatName val="0"/>
          <c:showSerName val="0"/>
          <c:showPercent val="0"/>
          <c:showBubbleSize val="0"/>
        </c:dLbls>
        <c:gapWidth val="23"/>
        <c:axId val="217560192"/>
        <c:axId val="217561728"/>
      </c:barChart>
      <c:catAx>
        <c:axId val="217560192"/>
        <c:scaling>
          <c:orientation val="minMax"/>
        </c:scaling>
        <c:delete val="0"/>
        <c:axPos val="l"/>
        <c:numFmt formatCode="General" sourceLinked="1"/>
        <c:majorTickMark val="out"/>
        <c:minorTickMark val="none"/>
        <c:tickLblPos val="nextTo"/>
        <c:spPr>
          <a:ln w="15875">
            <a:solidFill>
              <a:sysClr val="windowText" lastClr="000000"/>
            </a:solidFill>
          </a:ln>
        </c:spPr>
        <c:txPr>
          <a:bodyPr rot="0" vert="horz"/>
          <a:lstStyle/>
          <a:p>
            <a:pPr>
              <a:defRPr/>
            </a:pPr>
            <a:endParaRPr lang="en-US"/>
          </a:p>
        </c:txPr>
        <c:crossAx val="217561728"/>
        <c:crosses val="autoZero"/>
        <c:auto val="1"/>
        <c:lblAlgn val="ctr"/>
        <c:lblOffset val="100"/>
        <c:noMultiLvlLbl val="0"/>
      </c:catAx>
      <c:valAx>
        <c:axId val="217561728"/>
        <c:scaling>
          <c:orientation val="minMax"/>
          <c:max val="15"/>
        </c:scaling>
        <c:delete val="0"/>
        <c:axPos val="b"/>
        <c:title>
          <c:tx>
            <c:rich>
              <a:bodyPr/>
              <a:lstStyle/>
              <a:p>
                <a:pPr>
                  <a:defRPr/>
                </a:pPr>
                <a:r>
                  <a:rPr lang="ar-EG"/>
                  <a:t>٪</a:t>
                </a:r>
              </a:p>
            </c:rich>
          </c:tx>
          <c:layout>
            <c:manualLayout>
              <c:xMode val="edge"/>
              <c:yMode val="edge"/>
              <c:x val="0.9493214423465931"/>
              <c:y val="0.85249448470104028"/>
            </c:manualLayout>
          </c:layout>
          <c:overlay val="0"/>
        </c:title>
        <c:numFmt formatCode="0" sourceLinked="0"/>
        <c:majorTickMark val="out"/>
        <c:minorTickMark val="none"/>
        <c:tickLblPos val="nextTo"/>
        <c:spPr>
          <a:ln w="15875">
            <a:solidFill>
              <a:sysClr val="windowText" lastClr="000000"/>
            </a:solidFill>
          </a:ln>
        </c:spPr>
        <c:crossAx val="217560192"/>
        <c:crosses val="autoZero"/>
        <c:crossBetween val="between"/>
        <c:majorUnit val="5"/>
      </c:valAx>
    </c:plotArea>
    <c:plotVisOnly val="1"/>
    <c:dispBlanksAs val="gap"/>
    <c:showDLblsOverMax val="0"/>
  </c:chart>
  <c:spPr>
    <a:ln w="15875">
      <a:noFill/>
    </a:ln>
  </c:spPr>
  <c:txPr>
    <a:bodyPr/>
    <a:lstStyle/>
    <a:p>
      <a:pPr>
        <a:defRPr baseline="0">
          <a:cs typeface="Calibri" panose="020F050202020403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823165433024872E-2"/>
          <c:y val="0.14558806531648871"/>
          <c:w val="0.84825342665500625"/>
          <c:h val="0.74402311895262718"/>
        </c:manualLayout>
      </c:layout>
      <c:barChart>
        <c:barDir val="bar"/>
        <c:grouping val="clustered"/>
        <c:varyColors val="0"/>
        <c:ser>
          <c:idx val="0"/>
          <c:order val="0"/>
          <c:tx>
            <c:strRef>
              <c:f>Sheet4!$B$1</c:f>
              <c:strCache>
                <c:ptCount val="1"/>
                <c:pt idx="0">
                  <c:v>ذكـــــــــــور</c:v>
                </c:pt>
              </c:strCache>
            </c:strRef>
          </c:tx>
          <c:spPr>
            <a:solidFill>
              <a:sysClr val="windowText" lastClr="0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6"/>
              <c:layout>
                <c:manualLayout>
                  <c:x val="-1.3732675316515948E-16"/>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4A-431A-9A53-CFDF7077F041}"/>
                </c:ext>
              </c:extLst>
            </c:dLbl>
            <c:spPr>
              <a:noFill/>
              <a:ln>
                <a:noFill/>
              </a:ln>
              <a:effectLst/>
            </c:spPr>
            <c:txPr>
              <a:bodyPr/>
              <a:lstStyle/>
              <a:p>
                <a:pPr rtl="1">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Sheet4!$A$2:$A$17</c:f>
              <c:strCache>
                <c:ptCount val="16"/>
                <c:pt idx="0">
                  <c:v> 0 -   4 </c:v>
                </c:pt>
                <c:pt idx="1">
                  <c:v> 5 -   9</c:v>
                </c:pt>
                <c:pt idx="2">
                  <c:v> 10 - 14</c:v>
                </c:pt>
                <c:pt idx="3">
                  <c:v>  15 - 19</c:v>
                </c:pt>
                <c:pt idx="4">
                  <c:v> 20 - 24</c:v>
                </c:pt>
                <c:pt idx="5">
                  <c:v> 25 - 29</c:v>
                </c:pt>
                <c:pt idx="6">
                  <c:v> 30 - 34</c:v>
                </c:pt>
                <c:pt idx="7">
                  <c:v> 35 - 39</c:v>
                </c:pt>
                <c:pt idx="8">
                  <c:v> 40 - 44</c:v>
                </c:pt>
                <c:pt idx="9">
                  <c:v> 45 - 49</c:v>
                </c:pt>
                <c:pt idx="10">
                  <c:v> 50 - 54</c:v>
                </c:pt>
                <c:pt idx="11">
                  <c:v> 55 - 59</c:v>
                </c:pt>
                <c:pt idx="12">
                  <c:v> 60 - 64</c:v>
                </c:pt>
                <c:pt idx="13">
                  <c:v> 65 - 69</c:v>
                </c:pt>
                <c:pt idx="14">
                  <c:v> 70 - 74</c:v>
                </c:pt>
                <c:pt idx="15">
                  <c:v>75+</c:v>
                </c:pt>
              </c:strCache>
            </c:strRef>
          </c:cat>
          <c:val>
            <c:numRef>
              <c:f>Sheet4!$B$2:$B$17</c:f>
              <c:numCache>
                <c:formatCode>0.0</c:formatCode>
                <c:ptCount val="16"/>
                <c:pt idx="0">
                  <c:v>5.8706590144487034</c:v>
                </c:pt>
                <c:pt idx="1">
                  <c:v>5.4414226875077025</c:v>
                </c:pt>
                <c:pt idx="2">
                  <c:v>4.860671454131988</c:v>
                </c:pt>
                <c:pt idx="3">
                  <c:v>4.9616727070239124</c:v>
                </c:pt>
                <c:pt idx="4">
                  <c:v>5.2520412673675745</c:v>
                </c:pt>
                <c:pt idx="5">
                  <c:v>4.9237931662216834</c:v>
                </c:pt>
                <c:pt idx="6">
                  <c:v>3.9264125788604805</c:v>
                </c:pt>
                <c:pt idx="7">
                  <c:v>3.0805067310520955</c:v>
                </c:pt>
                <c:pt idx="8">
                  <c:v>2.7522119494758379</c:v>
                </c:pt>
                <c:pt idx="9">
                  <c:v>2.5249314478883469</c:v>
                </c:pt>
                <c:pt idx="10">
                  <c:v>2.1840405492706032</c:v>
                </c:pt>
                <c:pt idx="11">
                  <c:v>1.7800387944772429</c:v>
                </c:pt>
                <c:pt idx="12">
                  <c:v>1.3002942419504597</c:v>
                </c:pt>
                <c:pt idx="13">
                  <c:v>0.90891574398363351</c:v>
                </c:pt>
                <c:pt idx="14">
                  <c:v>0.59329415643843808</c:v>
                </c:pt>
                <c:pt idx="15">
                  <c:v>0.61854501245711546</c:v>
                </c:pt>
              </c:numCache>
            </c:numRef>
          </c:val>
          <c:extLst>
            <c:ext xmlns:c16="http://schemas.microsoft.com/office/drawing/2014/chart" uri="{C3380CC4-5D6E-409C-BE32-E72D297353CC}">
              <c16:uniqueId val="{00000001-D04A-431A-9A53-CFDF7077F041}"/>
            </c:ext>
          </c:extLst>
        </c:ser>
        <c:ser>
          <c:idx val="1"/>
          <c:order val="1"/>
          <c:tx>
            <c:strRef>
              <c:f>Sheet4!$C$1</c:f>
              <c:strCache>
                <c:ptCount val="1"/>
                <c:pt idx="0">
                  <c:v>إنـــــــــــاث</c:v>
                </c:pt>
              </c:strCache>
            </c:strRef>
          </c:tx>
          <c:spPr>
            <a:solidFill>
              <a:sysClr val="windowText" lastClr="0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fld id="{141E938D-285B-4FC7-9A85-A22E230937C2}"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04A-431A-9A53-CFDF7077F041}"/>
                </c:ext>
              </c:extLst>
            </c:dLbl>
            <c:dLbl>
              <c:idx val="1"/>
              <c:tx>
                <c:rich>
                  <a:bodyPr/>
                  <a:lstStyle/>
                  <a:p>
                    <a:fld id="{7B6124EF-5E24-4428-AE91-AE3D283EE788}"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04A-431A-9A53-CFDF7077F041}"/>
                </c:ext>
              </c:extLst>
            </c:dLbl>
            <c:dLbl>
              <c:idx val="2"/>
              <c:tx>
                <c:rich>
                  <a:bodyPr/>
                  <a:lstStyle/>
                  <a:p>
                    <a:fld id="{250A4995-D6AB-4206-A389-62DDA295959A}"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04A-431A-9A53-CFDF7077F041}"/>
                </c:ext>
              </c:extLst>
            </c:dLbl>
            <c:dLbl>
              <c:idx val="3"/>
              <c:tx>
                <c:rich>
                  <a:bodyPr/>
                  <a:lstStyle/>
                  <a:p>
                    <a:fld id="{35999C67-C04D-49AB-8F9B-769E2263E7B7}"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D04A-431A-9A53-CFDF7077F041}"/>
                </c:ext>
              </c:extLst>
            </c:dLbl>
            <c:dLbl>
              <c:idx val="4"/>
              <c:tx>
                <c:rich>
                  <a:bodyPr/>
                  <a:lstStyle/>
                  <a:p>
                    <a:fld id="{CF4808E7-2A4E-41B1-8E6E-C3C83A4FE129}"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04A-431A-9A53-CFDF7077F041}"/>
                </c:ext>
              </c:extLst>
            </c:dLbl>
            <c:dLbl>
              <c:idx val="5"/>
              <c:tx>
                <c:rich>
                  <a:bodyPr/>
                  <a:lstStyle/>
                  <a:p>
                    <a:fld id="{E9D4E20D-D4E0-4F47-929E-9FF7E6D4E2CB}"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04A-431A-9A53-CFDF7077F041}"/>
                </c:ext>
              </c:extLst>
            </c:dLbl>
            <c:dLbl>
              <c:idx val="6"/>
              <c:tx>
                <c:rich>
                  <a:bodyPr/>
                  <a:lstStyle/>
                  <a:p>
                    <a:fld id="{009AF501-8E2B-4347-8305-1C7F0BF15318}"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04A-431A-9A53-CFDF7077F041}"/>
                </c:ext>
              </c:extLst>
            </c:dLbl>
            <c:dLbl>
              <c:idx val="7"/>
              <c:tx>
                <c:rich>
                  <a:bodyPr/>
                  <a:lstStyle/>
                  <a:p>
                    <a:fld id="{63D200FC-5FE9-4252-8189-223C183534A4}"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D04A-431A-9A53-CFDF7077F041}"/>
                </c:ext>
              </c:extLst>
            </c:dLbl>
            <c:dLbl>
              <c:idx val="8"/>
              <c:tx>
                <c:rich>
                  <a:bodyPr/>
                  <a:lstStyle/>
                  <a:p>
                    <a:fld id="{0FF54EC6-0EAE-4179-9005-35E9DAD9EEB2}"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D04A-431A-9A53-CFDF7077F041}"/>
                </c:ext>
              </c:extLst>
            </c:dLbl>
            <c:dLbl>
              <c:idx val="9"/>
              <c:tx>
                <c:rich>
                  <a:bodyPr/>
                  <a:lstStyle/>
                  <a:p>
                    <a:fld id="{E11E88C2-9078-4AB1-BBD4-723DF4B731B6}"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04A-431A-9A53-CFDF7077F041}"/>
                </c:ext>
              </c:extLst>
            </c:dLbl>
            <c:dLbl>
              <c:idx val="10"/>
              <c:tx>
                <c:rich>
                  <a:bodyPr/>
                  <a:lstStyle/>
                  <a:p>
                    <a:fld id="{AFB4C7F4-31E0-4C35-A6DD-26DD96F5DCD1}"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D04A-431A-9A53-CFDF7077F041}"/>
                </c:ext>
              </c:extLst>
            </c:dLbl>
            <c:dLbl>
              <c:idx val="11"/>
              <c:tx>
                <c:rich>
                  <a:bodyPr/>
                  <a:lstStyle/>
                  <a:p>
                    <a:fld id="{3FC7930A-37EB-4F19-BEFC-D1F4BB1CD0C8}"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D04A-431A-9A53-CFDF7077F041}"/>
                </c:ext>
              </c:extLst>
            </c:dLbl>
            <c:dLbl>
              <c:idx val="12"/>
              <c:tx>
                <c:rich>
                  <a:bodyPr/>
                  <a:lstStyle/>
                  <a:p>
                    <a:fld id="{8B153D02-53EB-4420-ABD3-3A4CBC4F84AD}"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D04A-431A-9A53-CFDF7077F041}"/>
                </c:ext>
              </c:extLst>
            </c:dLbl>
            <c:dLbl>
              <c:idx val="13"/>
              <c:tx>
                <c:rich>
                  <a:bodyPr/>
                  <a:lstStyle/>
                  <a:p>
                    <a:fld id="{6377990C-9BD0-4E6D-896D-F48025E746A5}"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D04A-431A-9A53-CFDF7077F041}"/>
                </c:ext>
              </c:extLst>
            </c:dLbl>
            <c:dLbl>
              <c:idx val="14"/>
              <c:tx>
                <c:rich>
                  <a:bodyPr/>
                  <a:lstStyle/>
                  <a:p>
                    <a:fld id="{CB0F0A26-A292-4C8B-AA64-D7DAED8B60F6}"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D04A-431A-9A53-CFDF7077F041}"/>
                </c:ext>
              </c:extLst>
            </c:dLbl>
            <c:dLbl>
              <c:idx val="15"/>
              <c:tx>
                <c:rich>
                  <a:bodyPr/>
                  <a:lstStyle/>
                  <a:p>
                    <a:fld id="{8F5552AC-4383-4D59-865B-F553FD017070}"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D04A-431A-9A53-CFDF7077F041}"/>
                </c:ext>
              </c:extLst>
            </c:dLbl>
            <c:numFmt formatCode="0.0;[Red]0.0" sourceLinked="0"/>
            <c:spPr>
              <a:noFill/>
              <a:ln>
                <a:noFill/>
              </a:ln>
              <a:effectLst/>
            </c:spPr>
            <c:txPr>
              <a:bodyPr/>
              <a:lstStyle/>
              <a:p>
                <a:pPr rtl="1">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Sheet4!$A$2:$A$17</c:f>
              <c:strCache>
                <c:ptCount val="16"/>
                <c:pt idx="0">
                  <c:v> 0 -   4 </c:v>
                </c:pt>
                <c:pt idx="1">
                  <c:v> 5 -   9</c:v>
                </c:pt>
                <c:pt idx="2">
                  <c:v> 10 - 14</c:v>
                </c:pt>
                <c:pt idx="3">
                  <c:v>  15 - 19</c:v>
                </c:pt>
                <c:pt idx="4">
                  <c:v> 20 - 24</c:v>
                </c:pt>
                <c:pt idx="5">
                  <c:v> 25 - 29</c:v>
                </c:pt>
                <c:pt idx="6">
                  <c:v> 30 - 34</c:v>
                </c:pt>
                <c:pt idx="7">
                  <c:v> 35 - 39</c:v>
                </c:pt>
                <c:pt idx="8">
                  <c:v> 40 - 44</c:v>
                </c:pt>
                <c:pt idx="9">
                  <c:v> 45 - 49</c:v>
                </c:pt>
                <c:pt idx="10">
                  <c:v> 50 - 54</c:v>
                </c:pt>
                <c:pt idx="11">
                  <c:v> 55 - 59</c:v>
                </c:pt>
                <c:pt idx="12">
                  <c:v> 60 - 64</c:v>
                </c:pt>
                <c:pt idx="13">
                  <c:v> 65 - 69</c:v>
                </c:pt>
                <c:pt idx="14">
                  <c:v> 70 - 74</c:v>
                </c:pt>
                <c:pt idx="15">
                  <c:v>75+</c:v>
                </c:pt>
              </c:strCache>
            </c:strRef>
          </c:cat>
          <c:val>
            <c:numRef>
              <c:f>Sheet4!$C$2:$C$17</c:f>
              <c:numCache>
                <c:formatCode>0.0</c:formatCode>
                <c:ptCount val="16"/>
                <c:pt idx="0">
                  <c:v>-5.4522677456171902</c:v>
                </c:pt>
                <c:pt idx="1">
                  <c:v>-5.0707377328524394</c:v>
                </c:pt>
                <c:pt idx="2">
                  <c:v>-4.5661353083946405</c:v>
                </c:pt>
                <c:pt idx="3">
                  <c:v>-4.7015215833646371</c:v>
                </c:pt>
                <c:pt idx="4">
                  <c:v>-5.0338178548498949</c:v>
                </c:pt>
                <c:pt idx="5">
                  <c:v>-4.7507357839987492</c:v>
                </c:pt>
                <c:pt idx="6">
                  <c:v>-3.8276747840424892</c:v>
                </c:pt>
                <c:pt idx="7">
                  <c:v>-3.0030497844943658</c:v>
                </c:pt>
                <c:pt idx="8">
                  <c:v>-2.7076136834844715</c:v>
                </c:pt>
                <c:pt idx="9">
                  <c:v>-2.4860499062217167</c:v>
                </c:pt>
                <c:pt idx="10">
                  <c:v>-2.1660316734970086</c:v>
                </c:pt>
                <c:pt idx="11">
                  <c:v>-1.7722019101436681</c:v>
                </c:pt>
                <c:pt idx="12">
                  <c:v>-1.304517192505612</c:v>
                </c:pt>
                <c:pt idx="13">
                  <c:v>-0.92298283737529263</c:v>
                </c:pt>
                <c:pt idx="14">
                  <c:v>-0.61529800857268113</c:v>
                </c:pt>
                <c:pt idx="15">
                  <c:v>-0.63991270802957789</c:v>
                </c:pt>
              </c:numCache>
            </c:numRef>
          </c:val>
          <c:extLst>
            <c:ext xmlns:c16="http://schemas.microsoft.com/office/drawing/2014/chart" uri="{C3380CC4-5D6E-409C-BE32-E72D297353CC}">
              <c16:uniqueId val="{00000002-D04A-431A-9A53-CFDF7077F041}"/>
            </c:ext>
          </c:extLst>
        </c:ser>
        <c:dLbls>
          <c:showLegendKey val="0"/>
          <c:showVal val="0"/>
          <c:showCatName val="0"/>
          <c:showSerName val="0"/>
          <c:showPercent val="0"/>
          <c:showBubbleSize val="0"/>
        </c:dLbls>
        <c:gapWidth val="5"/>
        <c:overlap val="86"/>
        <c:axId val="218056192"/>
        <c:axId val="218057728"/>
      </c:barChart>
      <c:catAx>
        <c:axId val="218056192"/>
        <c:scaling>
          <c:orientation val="minMax"/>
        </c:scaling>
        <c:delete val="0"/>
        <c:axPos val="l"/>
        <c:numFmt formatCode="General" sourceLinked="0"/>
        <c:majorTickMark val="out"/>
        <c:minorTickMark val="none"/>
        <c:tickLblPos val="low"/>
        <c:crossAx val="218057728"/>
        <c:crosses val="autoZero"/>
        <c:auto val="1"/>
        <c:lblAlgn val="ctr"/>
        <c:lblOffset val="100"/>
        <c:noMultiLvlLbl val="0"/>
      </c:catAx>
      <c:valAx>
        <c:axId val="218057728"/>
        <c:scaling>
          <c:orientation val="minMax"/>
          <c:max val="6"/>
          <c:min val="-6"/>
        </c:scaling>
        <c:delete val="0"/>
        <c:axPos val="b"/>
        <c:numFmt formatCode="0" sourceLinked="0"/>
        <c:majorTickMark val="out"/>
        <c:minorTickMark val="none"/>
        <c:tickLblPos val="nextTo"/>
        <c:spPr>
          <a:ln w="12700">
            <a:solidFill>
              <a:schemeClr val="tx1"/>
            </a:solidFill>
          </a:ln>
        </c:spPr>
        <c:crossAx val="218056192"/>
        <c:crosses val="autoZero"/>
        <c:crossBetween val="between"/>
        <c:majorUnit val="2"/>
      </c:valAx>
    </c:plotArea>
    <c:plotVisOnly val="1"/>
    <c:dispBlanksAs val="gap"/>
    <c:showDLblsOverMax val="0"/>
  </c:chart>
  <c:spPr>
    <a:ln w="12700">
      <a:noFill/>
    </a:ln>
  </c:spPr>
  <c:txPr>
    <a:bodyPr/>
    <a:lstStyle/>
    <a:p>
      <a:pPr>
        <a:defRPr sz="1000" b="1">
          <a:latin typeface="Times New Roman" pitchFamily="18" charset="0"/>
          <a:cs typeface="Times New Roman" pitchFamily="18" charset="0"/>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036766404199503E-2"/>
          <c:y val="0.10039080221184171"/>
          <c:w val="0.87352099766692604"/>
          <c:h val="0.67481697957925146"/>
        </c:manualLayout>
      </c:layout>
      <c:barChart>
        <c:barDir val="col"/>
        <c:grouping val="clustered"/>
        <c:varyColors val="0"/>
        <c:ser>
          <c:idx val="0"/>
          <c:order val="0"/>
          <c:tx>
            <c:strRef>
              <c:f>Sheet1!$B$6</c:f>
              <c:strCache>
                <c:ptCount val="1"/>
                <c:pt idx="0">
                  <c:v>حضر</c:v>
                </c:pt>
              </c:strCache>
            </c:strRef>
          </c:tx>
          <c:spPr>
            <a:pattFill prst="diagBrick">
              <a:fgClr>
                <a:sysClr val="windowText" lastClr="000000"/>
              </a:fgClr>
              <a:bgClr>
                <a:sysClr val="window" lastClr="FFFFFF"/>
              </a:bgClr>
            </a:pattFill>
            <a:ln>
              <a:solidFill>
                <a:sysClr val="windowText" lastClr="000000"/>
              </a:solidFill>
            </a:ln>
          </c:spPr>
          <c:invertIfNegative val="0"/>
          <c:dLbls>
            <c:numFmt formatCode="#,##0.0" sourceLinked="0"/>
            <c:spPr>
              <a:noFill/>
              <a:ln>
                <a:noFill/>
              </a:ln>
              <a:effectLst/>
            </c:spPr>
            <c:txPr>
              <a:bodyPr/>
              <a:lstStyle/>
              <a:p>
                <a:pPr>
                  <a:defRPr sz="1100" b="1">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Sheet1!$A$7:$A$9</c:f>
              <c:numCache>
                <c:formatCode>General</c:formatCode>
                <c:ptCount val="3"/>
                <c:pt idx="0">
                  <c:v>1996</c:v>
                </c:pt>
                <c:pt idx="1">
                  <c:v>2006</c:v>
                </c:pt>
                <c:pt idx="2">
                  <c:v>2017</c:v>
                </c:pt>
              </c:numCache>
            </c:numRef>
          </c:cat>
          <c:val>
            <c:numRef>
              <c:f>Sheet1!$B$7:$B$9</c:f>
              <c:numCache>
                <c:formatCode>General</c:formatCode>
                <c:ptCount val="3"/>
                <c:pt idx="0">
                  <c:v>42.6</c:v>
                </c:pt>
                <c:pt idx="1">
                  <c:v>43</c:v>
                </c:pt>
                <c:pt idx="2">
                  <c:v>42.2</c:v>
                </c:pt>
              </c:numCache>
            </c:numRef>
          </c:val>
          <c:extLst>
            <c:ext xmlns:c16="http://schemas.microsoft.com/office/drawing/2014/chart" uri="{C3380CC4-5D6E-409C-BE32-E72D297353CC}">
              <c16:uniqueId val="{00000000-8356-4F14-B6B4-9CF9A159C624}"/>
            </c:ext>
          </c:extLst>
        </c:ser>
        <c:ser>
          <c:idx val="1"/>
          <c:order val="1"/>
          <c:tx>
            <c:strRef>
              <c:f>Sheet1!$C$6</c:f>
              <c:strCache>
                <c:ptCount val="1"/>
                <c:pt idx="0">
                  <c:v>ريف</c:v>
                </c:pt>
              </c:strCache>
            </c:strRef>
          </c:tx>
          <c:spPr>
            <a:pattFill prst="wdDnDiag">
              <a:fgClr>
                <a:sysClr val="windowText" lastClr="000000"/>
              </a:fgClr>
              <a:bgClr>
                <a:sysClr val="window" lastClr="FFFFFF"/>
              </a:bgClr>
            </a:pattFill>
            <a:ln>
              <a:solidFill>
                <a:sysClr val="windowText" lastClr="000000"/>
              </a:solidFill>
            </a:ln>
          </c:spPr>
          <c:invertIfNegative val="0"/>
          <c:dLbls>
            <c:numFmt formatCode="#,##0.0" sourceLinked="0"/>
            <c:spPr>
              <a:noFill/>
              <a:ln>
                <a:noFill/>
              </a:ln>
              <a:effectLst/>
            </c:spPr>
            <c:txPr>
              <a:bodyPr/>
              <a:lstStyle/>
              <a:p>
                <a:pPr>
                  <a:defRPr sz="1100" b="1">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Sheet1!$A$7:$A$9</c:f>
              <c:numCache>
                <c:formatCode>General</c:formatCode>
                <c:ptCount val="3"/>
                <c:pt idx="0">
                  <c:v>1996</c:v>
                </c:pt>
                <c:pt idx="1">
                  <c:v>2006</c:v>
                </c:pt>
                <c:pt idx="2">
                  <c:v>2017</c:v>
                </c:pt>
              </c:numCache>
            </c:numRef>
          </c:cat>
          <c:val>
            <c:numRef>
              <c:f>Sheet1!$C$7:$C$9</c:f>
              <c:numCache>
                <c:formatCode>General</c:formatCode>
                <c:ptCount val="3"/>
                <c:pt idx="0">
                  <c:v>57.4</c:v>
                </c:pt>
                <c:pt idx="1">
                  <c:v>57</c:v>
                </c:pt>
                <c:pt idx="2">
                  <c:v>57.8</c:v>
                </c:pt>
              </c:numCache>
            </c:numRef>
          </c:val>
          <c:extLst>
            <c:ext xmlns:c16="http://schemas.microsoft.com/office/drawing/2014/chart" uri="{C3380CC4-5D6E-409C-BE32-E72D297353CC}">
              <c16:uniqueId val="{00000001-8356-4F14-B6B4-9CF9A159C624}"/>
            </c:ext>
          </c:extLst>
        </c:ser>
        <c:dLbls>
          <c:showLegendKey val="0"/>
          <c:showVal val="0"/>
          <c:showCatName val="0"/>
          <c:showSerName val="0"/>
          <c:showPercent val="0"/>
          <c:showBubbleSize val="0"/>
        </c:dLbls>
        <c:gapWidth val="100"/>
        <c:axId val="218174976"/>
        <c:axId val="218176512"/>
      </c:barChart>
      <c:catAx>
        <c:axId val="218174976"/>
        <c:scaling>
          <c:orientation val="minMax"/>
        </c:scaling>
        <c:delete val="0"/>
        <c:axPos val="b"/>
        <c:numFmt formatCode="General" sourceLinked="1"/>
        <c:majorTickMark val="out"/>
        <c:minorTickMark val="none"/>
        <c:tickLblPos val="nextTo"/>
        <c:spPr>
          <a:ln w="15875">
            <a:solidFill>
              <a:schemeClr val="tx1"/>
            </a:solidFill>
          </a:ln>
        </c:spPr>
        <c:txPr>
          <a:bodyPr/>
          <a:lstStyle/>
          <a:p>
            <a:pPr>
              <a:defRPr b="1"/>
            </a:pPr>
            <a:endParaRPr lang="en-US"/>
          </a:p>
        </c:txPr>
        <c:crossAx val="218176512"/>
        <c:crosses val="autoZero"/>
        <c:auto val="1"/>
        <c:lblAlgn val="ctr"/>
        <c:lblOffset val="100"/>
        <c:noMultiLvlLbl val="0"/>
      </c:catAx>
      <c:valAx>
        <c:axId val="218176512"/>
        <c:scaling>
          <c:orientation val="minMax"/>
          <c:max val="60"/>
        </c:scaling>
        <c:delete val="0"/>
        <c:axPos val="l"/>
        <c:numFmt formatCode="General" sourceLinked="1"/>
        <c:majorTickMark val="out"/>
        <c:minorTickMark val="none"/>
        <c:tickLblPos val="nextTo"/>
        <c:spPr>
          <a:ln w="15875">
            <a:solidFill>
              <a:schemeClr val="tx1"/>
            </a:solidFill>
          </a:ln>
        </c:spPr>
        <c:txPr>
          <a:bodyPr/>
          <a:lstStyle/>
          <a:p>
            <a:pPr>
              <a:defRPr b="1"/>
            </a:pPr>
            <a:endParaRPr lang="en-US"/>
          </a:p>
        </c:txPr>
        <c:crossAx val="218174976"/>
        <c:crosses val="autoZero"/>
        <c:crossBetween val="between"/>
        <c:majorUnit val="20"/>
      </c:valAx>
    </c:plotArea>
    <c:legend>
      <c:legendPos val="b"/>
      <c:layout>
        <c:manualLayout>
          <c:xMode val="edge"/>
          <c:yMode val="edge"/>
          <c:x val="4.7184507341987668E-2"/>
          <c:y val="0.86762151763670492"/>
          <c:w val="0.91881656459609218"/>
          <c:h val="0.10230343848528378"/>
        </c:manualLayout>
      </c:layout>
      <c:overlay val="0"/>
      <c:spPr>
        <a:ln w="15875">
          <a:noFill/>
        </a:ln>
      </c:spPr>
      <c:txPr>
        <a:bodyPr/>
        <a:lstStyle/>
        <a:p>
          <a:pPr>
            <a:defRPr sz="1200"/>
          </a:pPr>
          <a:endParaRPr lang="en-US"/>
        </a:p>
      </c:txPr>
    </c:legend>
    <c:plotVisOnly val="1"/>
    <c:dispBlanksAs val="zero"/>
    <c:showDLblsOverMax val="0"/>
  </c:chart>
  <c:spPr>
    <a:ln w="15875">
      <a:noFill/>
    </a:ln>
  </c:spPr>
  <c:txPr>
    <a:bodyPr/>
    <a:lstStyle/>
    <a:p>
      <a:pPr>
        <a:defRPr baseline="0">
          <a:cs typeface="Calibri" panose="020F050202020403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098635886673662E-2"/>
          <c:y val="5.5831265508684863E-2"/>
          <c:w val="0.94870235690087323"/>
          <c:h val="0.62699704658599109"/>
        </c:manualLayout>
      </c:layout>
      <c:lineChart>
        <c:grouping val="stacked"/>
        <c:varyColors val="0"/>
        <c:ser>
          <c:idx val="0"/>
          <c:order val="0"/>
          <c:tx>
            <c:strRef>
              <c:f>Sheet1!$B$1</c:f>
              <c:strCache>
                <c:ptCount val="1"/>
                <c:pt idx="0">
                  <c:v>الذكور</c:v>
                </c:pt>
              </c:strCache>
            </c:strRef>
          </c:tx>
          <c:spPr>
            <a:ln w="15875" cmpd="sng">
              <a:solidFill>
                <a:sysClr val="windowText" lastClr="000000"/>
              </a:solidFill>
            </a:ln>
          </c:spPr>
          <c:marker>
            <c:spPr>
              <a:solidFill>
                <a:sysClr val="windowText" lastClr="000000"/>
              </a:solidFill>
              <a:ln w="38100">
                <a:solidFill>
                  <a:sysClr val="windowText" lastClr="000000"/>
                </a:solidFill>
              </a:ln>
            </c:spPr>
          </c:marker>
          <c:dLbls>
            <c:spPr>
              <a:noFill/>
              <a:ln>
                <a:noFill/>
              </a:ln>
              <a:effectLst/>
            </c:spPr>
            <c:txPr>
              <a:bodyPr/>
              <a:lstStyle/>
              <a:p>
                <a:pPr>
                  <a:defRPr sz="9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2006</c:v>
                </c:pt>
                <c:pt idx="1">
                  <c:v>2009</c:v>
                </c:pt>
                <c:pt idx="2">
                  <c:v>2012</c:v>
                </c:pt>
                <c:pt idx="3">
                  <c:v>2014</c:v>
                </c:pt>
                <c:pt idx="4">
                  <c:v>2017</c:v>
                </c:pt>
              </c:numCache>
            </c:numRef>
          </c:cat>
          <c:val>
            <c:numRef>
              <c:f>Sheet1!$B$2:$B$6</c:f>
              <c:numCache>
                <c:formatCode>General</c:formatCode>
                <c:ptCount val="5"/>
                <c:pt idx="0">
                  <c:v>22.4</c:v>
                </c:pt>
                <c:pt idx="1">
                  <c:v>19.8</c:v>
                </c:pt>
                <c:pt idx="2">
                  <c:v>17.600000000000001</c:v>
                </c:pt>
                <c:pt idx="3">
                  <c:v>17.8</c:v>
                </c:pt>
                <c:pt idx="4">
                  <c:v>21.2</c:v>
                </c:pt>
              </c:numCache>
            </c:numRef>
          </c:val>
          <c:smooth val="0"/>
          <c:extLst>
            <c:ext xmlns:c16="http://schemas.microsoft.com/office/drawing/2014/chart" uri="{C3380CC4-5D6E-409C-BE32-E72D297353CC}">
              <c16:uniqueId val="{00000000-FDB0-4589-9F42-2C341114AB69}"/>
            </c:ext>
          </c:extLst>
        </c:ser>
        <c:ser>
          <c:idx val="1"/>
          <c:order val="1"/>
          <c:tx>
            <c:strRef>
              <c:f>Sheet1!$C$1</c:f>
              <c:strCache>
                <c:ptCount val="1"/>
                <c:pt idx="0">
                  <c:v>الإناث</c:v>
                </c:pt>
              </c:strCache>
            </c:strRef>
          </c:tx>
          <c:spPr>
            <a:ln w="19050">
              <a:solidFill>
                <a:sysClr val="windowText" lastClr="000000"/>
              </a:solidFill>
            </a:ln>
          </c:spPr>
          <c:marker>
            <c:spPr>
              <a:solidFill>
                <a:sysClr val="windowText" lastClr="000000"/>
              </a:solidFill>
              <a:ln w="15875">
                <a:solidFill>
                  <a:sysClr val="windowText" lastClr="000000"/>
                </a:solidFill>
              </a:ln>
            </c:spPr>
          </c:marker>
          <c:dLbls>
            <c:spPr>
              <a:noFill/>
              <a:ln>
                <a:noFill/>
              </a:ln>
              <a:effectLst/>
            </c:spPr>
            <c:txPr>
              <a:bodyPr/>
              <a:lstStyle/>
              <a:p>
                <a:pPr>
                  <a:defRPr sz="9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2006</c:v>
                </c:pt>
                <c:pt idx="1">
                  <c:v>2009</c:v>
                </c:pt>
                <c:pt idx="2">
                  <c:v>2012</c:v>
                </c:pt>
                <c:pt idx="3">
                  <c:v>2014</c:v>
                </c:pt>
                <c:pt idx="4">
                  <c:v>2017</c:v>
                </c:pt>
              </c:numCache>
            </c:numRef>
          </c:cat>
          <c:val>
            <c:numRef>
              <c:f>Sheet1!$C$2:$C$6</c:f>
              <c:numCache>
                <c:formatCode>General</c:formatCode>
                <c:ptCount val="5"/>
                <c:pt idx="0">
                  <c:v>37.299999999999997</c:v>
                </c:pt>
                <c:pt idx="1">
                  <c:v>36.4</c:v>
                </c:pt>
                <c:pt idx="2">
                  <c:v>32.5</c:v>
                </c:pt>
                <c:pt idx="3">
                  <c:v>33.1</c:v>
                </c:pt>
                <c:pt idx="4">
                  <c:v>30.8</c:v>
                </c:pt>
              </c:numCache>
            </c:numRef>
          </c:val>
          <c:smooth val="0"/>
          <c:extLst>
            <c:ext xmlns:c16="http://schemas.microsoft.com/office/drawing/2014/chart" uri="{C3380CC4-5D6E-409C-BE32-E72D297353CC}">
              <c16:uniqueId val="{00000001-FDB0-4589-9F42-2C341114AB69}"/>
            </c:ext>
          </c:extLst>
        </c:ser>
        <c:ser>
          <c:idx val="2"/>
          <c:order val="2"/>
          <c:tx>
            <c:strRef>
              <c:f>Sheet1!$D$1</c:f>
              <c:strCache>
                <c:ptCount val="1"/>
                <c:pt idx="0">
                  <c:v>الجملة</c:v>
                </c:pt>
              </c:strCache>
            </c:strRef>
          </c:tx>
          <c:spPr>
            <a:ln w="22225">
              <a:solidFill>
                <a:sysClr val="windowText" lastClr="000000"/>
              </a:solidFill>
            </a:ln>
          </c:spPr>
          <c:marker>
            <c:spPr>
              <a:solidFill>
                <a:sysClr val="windowText" lastClr="000000"/>
              </a:solidFill>
              <a:ln w="34925">
                <a:solidFill>
                  <a:sysClr val="windowText" lastClr="000000"/>
                </a:solidFill>
              </a:ln>
            </c:spPr>
          </c:marker>
          <c:dLbls>
            <c:spPr>
              <a:noFill/>
              <a:ln>
                <a:noFill/>
              </a:ln>
              <a:effectLst/>
            </c:spPr>
            <c:txPr>
              <a:bodyPr/>
              <a:lstStyle/>
              <a:p>
                <a:pPr>
                  <a:defRPr sz="9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2006</c:v>
                </c:pt>
                <c:pt idx="1">
                  <c:v>2009</c:v>
                </c:pt>
                <c:pt idx="2">
                  <c:v>2012</c:v>
                </c:pt>
                <c:pt idx="3">
                  <c:v>2014</c:v>
                </c:pt>
                <c:pt idx="4">
                  <c:v>2017</c:v>
                </c:pt>
              </c:numCache>
            </c:numRef>
          </c:cat>
          <c:val>
            <c:numRef>
              <c:f>Sheet1!$D$2:$D$6</c:f>
              <c:numCache>
                <c:formatCode>General</c:formatCode>
                <c:ptCount val="5"/>
                <c:pt idx="0">
                  <c:v>29.6</c:v>
                </c:pt>
                <c:pt idx="1">
                  <c:v>27.9</c:v>
                </c:pt>
                <c:pt idx="2">
                  <c:v>24.9</c:v>
                </c:pt>
                <c:pt idx="3">
                  <c:v>25.3</c:v>
                </c:pt>
                <c:pt idx="4">
                  <c:v>25.8</c:v>
                </c:pt>
              </c:numCache>
            </c:numRef>
          </c:val>
          <c:smooth val="0"/>
          <c:extLst>
            <c:ext xmlns:c16="http://schemas.microsoft.com/office/drawing/2014/chart" uri="{C3380CC4-5D6E-409C-BE32-E72D297353CC}">
              <c16:uniqueId val="{00000002-FDB0-4589-9F42-2C341114AB69}"/>
            </c:ext>
          </c:extLst>
        </c:ser>
        <c:dLbls>
          <c:showLegendKey val="0"/>
          <c:showVal val="1"/>
          <c:showCatName val="0"/>
          <c:showSerName val="0"/>
          <c:showPercent val="0"/>
          <c:showBubbleSize val="0"/>
        </c:dLbls>
        <c:marker val="1"/>
        <c:smooth val="0"/>
        <c:axId val="218368640"/>
        <c:axId val="218378624"/>
      </c:lineChart>
      <c:catAx>
        <c:axId val="218368640"/>
        <c:scaling>
          <c:orientation val="minMax"/>
        </c:scaling>
        <c:delete val="0"/>
        <c:axPos val="b"/>
        <c:numFmt formatCode="General" sourceLinked="1"/>
        <c:majorTickMark val="out"/>
        <c:minorTickMark val="none"/>
        <c:tickLblPos val="nextTo"/>
        <c:crossAx val="218378624"/>
        <c:crosses val="autoZero"/>
        <c:auto val="1"/>
        <c:lblAlgn val="ctr"/>
        <c:lblOffset val="100"/>
        <c:noMultiLvlLbl val="0"/>
      </c:catAx>
      <c:valAx>
        <c:axId val="218378624"/>
        <c:scaling>
          <c:orientation val="minMax"/>
        </c:scaling>
        <c:delete val="1"/>
        <c:axPos val="l"/>
        <c:numFmt formatCode="General" sourceLinked="1"/>
        <c:majorTickMark val="out"/>
        <c:minorTickMark val="none"/>
        <c:tickLblPos val="none"/>
        <c:crossAx val="218368640"/>
        <c:crosses val="autoZero"/>
        <c:crossBetween val="between"/>
      </c:valAx>
    </c:plotArea>
    <c:legend>
      <c:legendPos val="b"/>
      <c:layout>
        <c:manualLayout>
          <c:xMode val="edge"/>
          <c:yMode val="edge"/>
          <c:x val="4.9232967500684024E-2"/>
          <c:y val="0.8861327972301335"/>
          <c:w val="0.88608984687724845"/>
          <c:h val="8.5498408443625398E-2"/>
        </c:manualLayout>
      </c:layout>
      <c:overlay val="0"/>
      <c:txPr>
        <a:bodyPr/>
        <a:lstStyle/>
        <a:p>
          <a:pPr>
            <a:defRPr baseline="0">
              <a:cs typeface="Calibri" panose="020F0502020204030204" pitchFamily="34" charset="0"/>
            </a:defRPr>
          </a:pPr>
          <a:endParaRPr lang="en-US"/>
        </a:p>
      </c:txPr>
    </c:legend>
    <c:plotVisOnly val="1"/>
    <c:dispBlanksAs val="zero"/>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ar-EG" sz="1100"/>
              <a:t>شكل (2-7) نسبة الفقراء فى مصر</a:t>
            </a:r>
            <a:endParaRPr lang="en-US" sz="1100"/>
          </a:p>
        </c:rich>
      </c:tx>
      <c:overlay val="0"/>
    </c:title>
    <c:autoTitleDeleted val="0"/>
    <c:plotArea>
      <c:layout>
        <c:manualLayout>
          <c:layoutTarget val="inner"/>
          <c:xMode val="edge"/>
          <c:yMode val="edge"/>
          <c:x val="0.12832907955471085"/>
          <c:y val="0.24380824374815077"/>
          <c:w val="0.82078559145624042"/>
          <c:h val="0.505804936340429"/>
        </c:manualLayout>
      </c:layout>
      <c:lineChart>
        <c:grouping val="stacked"/>
        <c:varyColors val="0"/>
        <c:ser>
          <c:idx val="0"/>
          <c:order val="0"/>
          <c:tx>
            <c:strRef>
              <c:f>Sheet1!$B$1</c:f>
              <c:strCache>
                <c:ptCount val="1"/>
                <c:pt idx="0">
                  <c:v>Series 1</c:v>
                </c:pt>
              </c:strCache>
            </c:strRef>
          </c:tx>
          <c:spPr>
            <a:ln w="22225">
              <a:solidFill>
                <a:sysClr val="windowText" lastClr="000000"/>
              </a:solidFill>
            </a:ln>
          </c:spPr>
          <c:marker>
            <c:spPr>
              <a:solidFill>
                <a:sysClr val="windowText" lastClr="000000"/>
              </a:solidFill>
              <a:ln w="31750">
                <a:solidFill>
                  <a:sysClr val="windowText" lastClr="000000"/>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2000/1999</c:v>
                </c:pt>
                <c:pt idx="1">
                  <c:v>2005/2004</c:v>
                </c:pt>
                <c:pt idx="2">
                  <c:v>2009/2008</c:v>
                </c:pt>
                <c:pt idx="3">
                  <c:v>2011/2010</c:v>
                </c:pt>
                <c:pt idx="4">
                  <c:v>2013/2012</c:v>
                </c:pt>
                <c:pt idx="5">
                  <c:v>2015</c:v>
                </c:pt>
                <c:pt idx="6">
                  <c:v>2017/2018</c:v>
                </c:pt>
              </c:strCache>
            </c:strRef>
          </c:cat>
          <c:val>
            <c:numRef>
              <c:f>Sheet1!$B$2:$B$8</c:f>
              <c:numCache>
                <c:formatCode>General</c:formatCode>
                <c:ptCount val="7"/>
                <c:pt idx="0">
                  <c:v>16.7</c:v>
                </c:pt>
                <c:pt idx="1">
                  <c:v>19.600000000000001</c:v>
                </c:pt>
                <c:pt idx="2">
                  <c:v>21.6</c:v>
                </c:pt>
                <c:pt idx="3">
                  <c:v>25.2</c:v>
                </c:pt>
                <c:pt idx="4">
                  <c:v>26.3</c:v>
                </c:pt>
                <c:pt idx="5">
                  <c:v>27.8</c:v>
                </c:pt>
                <c:pt idx="6">
                  <c:v>32.5</c:v>
                </c:pt>
              </c:numCache>
            </c:numRef>
          </c:val>
          <c:smooth val="0"/>
          <c:extLst>
            <c:ext xmlns:c16="http://schemas.microsoft.com/office/drawing/2014/chart" uri="{C3380CC4-5D6E-409C-BE32-E72D297353CC}">
              <c16:uniqueId val="{00000000-6939-45DD-AFC9-498339571277}"/>
            </c:ext>
          </c:extLst>
        </c:ser>
        <c:dLbls>
          <c:showLegendKey val="0"/>
          <c:showVal val="1"/>
          <c:showCatName val="0"/>
          <c:showSerName val="0"/>
          <c:showPercent val="0"/>
          <c:showBubbleSize val="0"/>
        </c:dLbls>
        <c:marker val="1"/>
        <c:smooth val="0"/>
        <c:axId val="217519232"/>
        <c:axId val="218389888"/>
      </c:lineChart>
      <c:catAx>
        <c:axId val="217519232"/>
        <c:scaling>
          <c:orientation val="minMax"/>
        </c:scaling>
        <c:delete val="0"/>
        <c:axPos val="b"/>
        <c:numFmt formatCode="General" sourceLinked="0"/>
        <c:majorTickMark val="out"/>
        <c:minorTickMark val="none"/>
        <c:tickLblPos val="nextTo"/>
        <c:txPr>
          <a:bodyPr rot="1380000" vert="horz"/>
          <a:lstStyle/>
          <a:p>
            <a:pPr>
              <a:defRPr sz="1000" b="1" baseline="0"/>
            </a:pPr>
            <a:endParaRPr lang="en-US"/>
          </a:p>
        </c:txPr>
        <c:crossAx val="218389888"/>
        <c:crosses val="autoZero"/>
        <c:auto val="1"/>
        <c:lblAlgn val="ctr"/>
        <c:lblOffset val="100"/>
        <c:noMultiLvlLbl val="0"/>
      </c:catAx>
      <c:valAx>
        <c:axId val="218389888"/>
        <c:scaling>
          <c:orientation val="minMax"/>
        </c:scaling>
        <c:delete val="1"/>
        <c:axPos val="l"/>
        <c:numFmt formatCode="General" sourceLinked="1"/>
        <c:majorTickMark val="out"/>
        <c:minorTickMark val="none"/>
        <c:tickLblPos val="none"/>
        <c:crossAx val="217519232"/>
        <c:crosses val="autoZero"/>
        <c:crossBetween val="between"/>
      </c:valAx>
    </c:plotArea>
    <c:plotVisOnly val="1"/>
    <c:dispBlanksAs val="zero"/>
    <c:showDLblsOverMax val="0"/>
  </c:chart>
  <c:spPr>
    <a:ln>
      <a:noFill/>
    </a:ln>
  </c:spPr>
  <c:txPr>
    <a:bodyPr/>
    <a:lstStyle/>
    <a:p>
      <a:pPr>
        <a:defRPr sz="1000" baseline="0">
          <a:cs typeface="Simplified Arabic" panose="02020603050405020304" pitchFamily="18" charset="-78"/>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138441183770284E-2"/>
          <c:y val="3.1954286833722284E-2"/>
          <c:w val="0.8957231176324596"/>
          <c:h val="0.7992647724308295"/>
        </c:manualLayout>
      </c:layout>
      <c:barChart>
        <c:barDir val="col"/>
        <c:grouping val="clustered"/>
        <c:varyColors val="0"/>
        <c:ser>
          <c:idx val="0"/>
          <c:order val="0"/>
          <c:tx>
            <c:strRef>
              <c:f>Sheet1!$B$1</c:f>
              <c:strCache>
                <c:ptCount val="1"/>
                <c:pt idx="0">
                  <c:v>نسبة التسرب</c:v>
                </c:pt>
              </c:strCache>
            </c:strRef>
          </c:tx>
          <c:spPr>
            <a:solidFill>
              <a:schemeClr val="accent2">
                <a:lumMod val="60000"/>
                <a:lumOff val="40000"/>
              </a:schemeClr>
            </a:solidFill>
          </c:spPr>
          <c:invertIfNegative val="0"/>
          <c:dPt>
            <c:idx val="0"/>
            <c:invertIfNegative val="0"/>
            <c:bubble3D val="0"/>
            <c:spPr>
              <a:pattFill prst="wdUpDiag">
                <a:fgClr>
                  <a:sysClr val="windowText" lastClr="000000"/>
                </a:fgClr>
                <a:bgClr>
                  <a:sysClr val="window" lastClr="FFFFFF"/>
                </a:bgClr>
              </a:pattFill>
              <a:ln>
                <a:solidFill>
                  <a:sysClr val="windowText" lastClr="000000"/>
                </a:solidFill>
              </a:ln>
            </c:spPr>
            <c:extLst>
              <c:ext xmlns:c16="http://schemas.microsoft.com/office/drawing/2014/chart" uri="{C3380CC4-5D6E-409C-BE32-E72D297353CC}">
                <c16:uniqueId val="{00000001-0C23-4B3D-B08B-118E8CDAE71C}"/>
              </c:ext>
            </c:extLst>
          </c:dPt>
          <c:dPt>
            <c:idx val="1"/>
            <c:invertIfNegative val="0"/>
            <c:bubble3D val="0"/>
            <c:spPr>
              <a:pattFill prst="diagBrick">
                <a:fgClr>
                  <a:sysClr val="windowText" lastClr="000000"/>
                </a:fgClr>
                <a:bgClr>
                  <a:sysClr val="window" lastClr="FFFFFF"/>
                </a:bgClr>
              </a:pattFill>
              <a:ln>
                <a:solidFill>
                  <a:sysClr val="windowText" lastClr="000000"/>
                </a:solidFill>
              </a:ln>
            </c:spPr>
            <c:extLst>
              <c:ext xmlns:c16="http://schemas.microsoft.com/office/drawing/2014/chart" uri="{C3380CC4-5D6E-409C-BE32-E72D297353CC}">
                <c16:uniqueId val="{00000003-0C23-4B3D-B08B-118E8CDAE71C}"/>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المرحلة الابتدائية</c:v>
                </c:pt>
                <c:pt idx="1">
                  <c:v>المرحلة الإعدادية</c:v>
                </c:pt>
              </c:strCache>
            </c:strRef>
          </c:cat>
          <c:val>
            <c:numRef>
              <c:f>Sheet1!$B$2:$B$3</c:f>
              <c:numCache>
                <c:formatCode>0.0</c:formatCode>
                <c:ptCount val="2"/>
                <c:pt idx="0">
                  <c:v>0.4</c:v>
                </c:pt>
                <c:pt idx="1">
                  <c:v>3.4</c:v>
                </c:pt>
              </c:numCache>
            </c:numRef>
          </c:val>
          <c:extLst>
            <c:ext xmlns:c16="http://schemas.microsoft.com/office/drawing/2014/chart" uri="{C3380CC4-5D6E-409C-BE32-E72D297353CC}">
              <c16:uniqueId val="{00000004-0C23-4B3D-B08B-118E8CDAE71C}"/>
            </c:ext>
          </c:extLst>
        </c:ser>
        <c:dLbls>
          <c:showLegendKey val="0"/>
          <c:showVal val="0"/>
          <c:showCatName val="0"/>
          <c:showSerName val="0"/>
          <c:showPercent val="0"/>
          <c:showBubbleSize val="0"/>
        </c:dLbls>
        <c:gapWidth val="150"/>
        <c:axId val="218579328"/>
        <c:axId val="218580864"/>
      </c:barChart>
      <c:catAx>
        <c:axId val="218579328"/>
        <c:scaling>
          <c:orientation val="minMax"/>
        </c:scaling>
        <c:delete val="0"/>
        <c:axPos val="b"/>
        <c:numFmt formatCode="General" sourceLinked="0"/>
        <c:majorTickMark val="out"/>
        <c:minorTickMark val="none"/>
        <c:tickLblPos val="nextTo"/>
        <c:txPr>
          <a:bodyPr/>
          <a:lstStyle/>
          <a:p>
            <a:pPr>
              <a:defRPr b="1" i="0" baseline="0"/>
            </a:pPr>
            <a:endParaRPr lang="en-US"/>
          </a:p>
        </c:txPr>
        <c:crossAx val="218580864"/>
        <c:crosses val="autoZero"/>
        <c:auto val="1"/>
        <c:lblAlgn val="ctr"/>
        <c:lblOffset val="100"/>
        <c:noMultiLvlLbl val="0"/>
      </c:catAx>
      <c:valAx>
        <c:axId val="218580864"/>
        <c:scaling>
          <c:orientation val="minMax"/>
        </c:scaling>
        <c:delete val="1"/>
        <c:axPos val="l"/>
        <c:numFmt formatCode="0.0" sourceLinked="1"/>
        <c:majorTickMark val="out"/>
        <c:minorTickMark val="none"/>
        <c:tickLblPos val="none"/>
        <c:crossAx val="218579328"/>
        <c:crosses val="autoZero"/>
        <c:crossBetween val="between"/>
      </c:valAx>
    </c:plotArea>
    <c:plotVisOnly val="1"/>
    <c:dispBlanksAs val="gap"/>
    <c:showDLblsOverMax val="0"/>
  </c:chart>
  <c:spPr>
    <a:ln>
      <a:noFill/>
    </a:ln>
  </c:spPr>
  <c:txPr>
    <a:bodyPr/>
    <a:lstStyle/>
    <a:p>
      <a:pPr>
        <a:defRPr baseline="0">
          <a:cs typeface="Simplified Arabic" panose="02020603050405020304" pitchFamily="18" charset="-78"/>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Sheet1!$D$8</c:f>
              <c:strCache>
                <c:ptCount val="1"/>
                <c:pt idx="0">
                  <c:v>المشتغلين </c:v>
                </c:pt>
              </c:strCache>
            </c:strRef>
          </c:tx>
          <c:spPr>
            <a:pattFill prst="dkUpDiag">
              <a:fgClr>
                <a:sysClr val="windowText" lastClr="000000"/>
              </a:fgClr>
              <a:bgClr>
                <a:sysClr val="window" lastClr="FFFFFF"/>
              </a:bgClr>
            </a:pattFill>
            <a:ln>
              <a:solidFill>
                <a:sysClr val="windowText" lastClr="000000"/>
              </a:solidFill>
            </a:ln>
          </c:spPr>
          <c:invertIfNegative val="0"/>
          <c:dLbls>
            <c:spPr>
              <a:noFill/>
              <a:ln>
                <a:noFill/>
              </a:ln>
              <a:effectLst/>
            </c:spPr>
            <c:txPr>
              <a:bodyPr rot="-3060000"/>
              <a:lstStyle/>
              <a:p>
                <a:pPr>
                  <a:defRPr sz="10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Sheet1!$E$7:$L$7</c:f>
              <c:numCache>
                <c:formatCode>General</c:formatCode>
                <c:ptCount val="8"/>
                <c:pt idx="0">
                  <c:v>2010</c:v>
                </c:pt>
                <c:pt idx="1">
                  <c:v>2011</c:v>
                </c:pt>
                <c:pt idx="2">
                  <c:v>2012</c:v>
                </c:pt>
                <c:pt idx="3">
                  <c:v>2013</c:v>
                </c:pt>
                <c:pt idx="4">
                  <c:v>2014</c:v>
                </c:pt>
                <c:pt idx="5">
                  <c:v>2015</c:v>
                </c:pt>
                <c:pt idx="6">
                  <c:v>2016</c:v>
                </c:pt>
                <c:pt idx="7">
                  <c:v>2017</c:v>
                </c:pt>
              </c:numCache>
            </c:numRef>
          </c:cat>
          <c:val>
            <c:numRef>
              <c:f>Sheet1!$E$8:$L$8</c:f>
              <c:numCache>
                <c:formatCode>0.0</c:formatCode>
                <c:ptCount val="8"/>
                <c:pt idx="0">
                  <c:v>47.649423103841308</c:v>
                </c:pt>
                <c:pt idx="1">
                  <c:v>46.809022556390978</c:v>
                </c:pt>
                <c:pt idx="2">
                  <c:v>46.616749313471757</c:v>
                </c:pt>
                <c:pt idx="3">
                  <c:v>46.463804632231806</c:v>
                </c:pt>
                <c:pt idx="4">
                  <c:v>46.511494362881152</c:v>
                </c:pt>
                <c:pt idx="5">
                  <c:v>46.568314226649129</c:v>
                </c:pt>
                <c:pt idx="6">
                  <c:v>46.680180595227128</c:v>
                </c:pt>
                <c:pt idx="7">
                  <c:v>46.874549387166546</c:v>
                </c:pt>
              </c:numCache>
            </c:numRef>
          </c:val>
          <c:extLst>
            <c:ext xmlns:c16="http://schemas.microsoft.com/office/drawing/2014/chart" uri="{C3380CC4-5D6E-409C-BE32-E72D297353CC}">
              <c16:uniqueId val="{00000000-26A6-4B09-8039-F18326F11E4A}"/>
            </c:ext>
          </c:extLst>
        </c:ser>
        <c:ser>
          <c:idx val="1"/>
          <c:order val="1"/>
          <c:tx>
            <c:strRef>
              <c:f>Sheet1!$D$9</c:f>
              <c:strCache>
                <c:ptCount val="1"/>
                <c:pt idx="0">
                  <c:v>قوة العمل</c:v>
                </c:pt>
              </c:strCache>
            </c:strRef>
          </c:tx>
          <c:spPr>
            <a:pattFill prst="lgCheck">
              <a:fgClr>
                <a:sysClr val="windowText" lastClr="000000"/>
              </a:fgClr>
              <a:bgClr>
                <a:sysClr val="window" lastClr="FFFFFF"/>
              </a:bgClr>
            </a:pattFill>
            <a:ln>
              <a:solidFill>
                <a:sysClr val="windowText" lastClr="000000"/>
              </a:solidFill>
            </a:ln>
          </c:spPr>
          <c:invertIfNegative val="0"/>
          <c:dLbls>
            <c:spPr>
              <a:noFill/>
              <a:ln>
                <a:noFill/>
              </a:ln>
              <a:effectLst/>
            </c:spPr>
            <c:txPr>
              <a:bodyPr rot="-3000000"/>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Sheet1!$E$7:$L$7</c:f>
              <c:numCache>
                <c:formatCode>General</c:formatCode>
                <c:ptCount val="8"/>
                <c:pt idx="0">
                  <c:v>2010</c:v>
                </c:pt>
                <c:pt idx="1">
                  <c:v>2011</c:v>
                </c:pt>
                <c:pt idx="2">
                  <c:v>2012</c:v>
                </c:pt>
                <c:pt idx="3">
                  <c:v>2013</c:v>
                </c:pt>
                <c:pt idx="4">
                  <c:v>2014</c:v>
                </c:pt>
                <c:pt idx="5">
                  <c:v>2015</c:v>
                </c:pt>
                <c:pt idx="6">
                  <c:v>2016</c:v>
                </c:pt>
                <c:pt idx="7">
                  <c:v>2017</c:v>
                </c:pt>
              </c:numCache>
            </c:numRef>
          </c:cat>
          <c:val>
            <c:numRef>
              <c:f>Sheet1!$E$9:$L$9</c:f>
              <c:numCache>
                <c:formatCode>0.0</c:formatCode>
                <c:ptCount val="8"/>
                <c:pt idx="0">
                  <c:v>52.350576896158699</c:v>
                </c:pt>
                <c:pt idx="1">
                  <c:v>53.190977443609022</c:v>
                </c:pt>
                <c:pt idx="2">
                  <c:v>53.383250686528235</c:v>
                </c:pt>
                <c:pt idx="3">
                  <c:v>53.536195367768194</c:v>
                </c:pt>
                <c:pt idx="4">
                  <c:v>53.488505637118841</c:v>
                </c:pt>
                <c:pt idx="5">
                  <c:v>53.431685773350878</c:v>
                </c:pt>
                <c:pt idx="6">
                  <c:v>53.319819404772872</c:v>
                </c:pt>
                <c:pt idx="7">
                  <c:v>53.125450612833461</c:v>
                </c:pt>
              </c:numCache>
            </c:numRef>
          </c:val>
          <c:extLst>
            <c:ext xmlns:c16="http://schemas.microsoft.com/office/drawing/2014/chart" uri="{C3380CC4-5D6E-409C-BE32-E72D297353CC}">
              <c16:uniqueId val="{00000001-26A6-4B09-8039-F18326F11E4A}"/>
            </c:ext>
          </c:extLst>
        </c:ser>
        <c:dLbls>
          <c:showLegendKey val="0"/>
          <c:showVal val="0"/>
          <c:showCatName val="0"/>
          <c:showSerName val="0"/>
          <c:showPercent val="0"/>
          <c:showBubbleSize val="0"/>
        </c:dLbls>
        <c:gapWidth val="150"/>
        <c:axId val="218480640"/>
        <c:axId val="218482176"/>
      </c:barChart>
      <c:catAx>
        <c:axId val="218480640"/>
        <c:scaling>
          <c:orientation val="minMax"/>
        </c:scaling>
        <c:delete val="0"/>
        <c:axPos val="b"/>
        <c:numFmt formatCode="General" sourceLinked="1"/>
        <c:majorTickMark val="out"/>
        <c:minorTickMark val="none"/>
        <c:tickLblPos val="nextTo"/>
        <c:crossAx val="218482176"/>
        <c:crosses val="autoZero"/>
        <c:auto val="1"/>
        <c:lblAlgn val="ctr"/>
        <c:lblOffset val="100"/>
        <c:noMultiLvlLbl val="0"/>
      </c:catAx>
      <c:valAx>
        <c:axId val="218482176"/>
        <c:scaling>
          <c:orientation val="minMax"/>
        </c:scaling>
        <c:delete val="0"/>
        <c:axPos val="l"/>
        <c:majorGridlines/>
        <c:numFmt formatCode="0.0" sourceLinked="1"/>
        <c:majorTickMark val="out"/>
        <c:minorTickMark val="none"/>
        <c:tickLblPos val="nextTo"/>
        <c:crossAx val="218480640"/>
        <c:crosses val="autoZero"/>
        <c:crossBetween val="between"/>
      </c:valAx>
    </c:plotArea>
    <c:legend>
      <c:legendPos val="b"/>
      <c:layout>
        <c:manualLayout>
          <c:xMode val="edge"/>
          <c:yMode val="edge"/>
          <c:x val="9.0598862642169722E-2"/>
          <c:y val="0.8533370563014312"/>
          <c:w val="0.8076911636045494"/>
          <c:h val="0.11913605512967268"/>
        </c:manualLayout>
      </c:layout>
      <c:overlay val="0"/>
      <c:txPr>
        <a:bodyPr/>
        <a:lstStyle/>
        <a:p>
          <a:pPr>
            <a:defRPr sz="1200" b="1">
              <a:latin typeface="Simplified Arabic" pitchFamily="18" charset="-78"/>
              <a:cs typeface="Simplified Arabic" pitchFamily="18" charset="-78"/>
            </a:defRPr>
          </a:pPr>
          <a:endParaRPr lang="en-US"/>
        </a:p>
      </c:txPr>
    </c:legend>
    <c:plotVisOnly val="1"/>
    <c:dispBlanksAs val="gap"/>
    <c:showDLblsOverMax val="0"/>
  </c:chart>
  <c:spPr>
    <a:ln>
      <a:noFill/>
    </a:ln>
  </c:spPr>
  <c:txPr>
    <a:bodyPr/>
    <a:lstStyle/>
    <a:p>
      <a:pPr>
        <a:defRPr baseline="0">
          <a:cs typeface="Simplified Arabic" pitchFamily="18" charset="-78"/>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0.72961</cdr:x>
      <cdr:y>0.05927</cdr:y>
    </cdr:from>
    <cdr:to>
      <cdr:x>0.97316</cdr:x>
      <cdr:y>0.18556</cdr:y>
    </cdr:to>
    <cdr:sp macro="" textlink="">
      <cdr:nvSpPr>
        <cdr:cNvPr id="2" name="TextBox 21">
          <a:extLst xmlns:a="http://schemas.openxmlformats.org/drawingml/2006/main">
            <a:ext uri="{FF2B5EF4-FFF2-40B4-BE49-F238E27FC236}">
              <a16:creationId xmlns:a16="http://schemas.microsoft.com/office/drawing/2014/main" id="{323FC135-3E93-4AAF-A266-63A0352B8E5C}"/>
            </a:ext>
          </a:extLst>
        </cdr:cNvPr>
        <cdr:cNvSpPr txBox="1"/>
      </cdr:nvSpPr>
      <cdr:spPr>
        <a:xfrm xmlns:a="http://schemas.openxmlformats.org/drawingml/2006/main">
          <a:off x="3467818" y="143395"/>
          <a:ext cx="1157587" cy="30553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outerShdw blurRad="40000" dist="23000" dir="5400000" rotWithShape="0">
            <a:srgbClr val="000000">
              <a:alpha val="35000"/>
            </a:srgbClr>
          </a:outerShdw>
        </a:effectLst>
        <a:scene3d xmlns:a="http://schemas.openxmlformats.org/drawingml/2006/main">
          <a:camera prst="orthographicFront">
            <a:rot lat="0" lon="0" rev="0"/>
          </a:camera>
          <a:lightRig rig="threePt" dir="t">
            <a:rot lat="0" lon="0" rev="1200000"/>
          </a:lightRig>
        </a:scene3d>
        <a:sp3d xmlns:a="http://schemas.openxmlformats.org/drawingml/2006/main">
          <a:bevelT w="63500" h="25400"/>
        </a:sp3d>
      </cdr:spPr>
      <cdr:style>
        <a:lnRef xmlns:a="http://schemas.openxmlformats.org/drawingml/2006/main" idx="0">
          <a:schemeClr val="accent5"/>
        </a:lnRef>
        <a:fillRef xmlns:a="http://schemas.openxmlformats.org/drawingml/2006/main" idx="3">
          <a:schemeClr val="accent5"/>
        </a:fillRef>
        <a:effectRef xmlns:a="http://schemas.openxmlformats.org/drawingml/2006/main" idx="3">
          <a:schemeClr val="accent5"/>
        </a:effectRef>
        <a:fontRef xmlns:a="http://schemas.openxmlformats.org/drawingml/2006/main" idx="minor">
          <a:schemeClr val="lt1"/>
        </a:fontRef>
      </cdr:style>
      <cdr:txBody>
        <a:bodyPr xmlns:a="http://schemas.openxmlformats.org/drawingml/2006/main" wrap="square" rtlCol="0">
          <a:spAutoFit/>
        </a:bodyPr>
        <a:lstStyle xmlns:a="http://schemas.openxmlformats.org/drawingml/2006/main">
          <a:defPPr>
            <a:defRPr lang="en-U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xmlns:a="http://schemas.openxmlformats.org/drawingml/2006/main">
          <a:pPr algn="ctr"/>
          <a:r>
            <a:rPr lang="ar-EG" sz="1000" b="1" dirty="0">
              <a:solidFill>
                <a:sysClr val="windowText" lastClr="000000"/>
              </a:solidFill>
              <a:latin typeface="Simplified Arabic" pitchFamily="18" charset="-78"/>
              <a:cs typeface="Simplified Arabic" pitchFamily="18" charset="-78"/>
            </a:rPr>
            <a:t>ذكور</a:t>
          </a:r>
        </a:p>
      </cdr:txBody>
    </cdr:sp>
  </cdr:relSizeAnchor>
  <cdr:relSizeAnchor xmlns:cdr="http://schemas.openxmlformats.org/drawingml/2006/chartDrawing">
    <cdr:from>
      <cdr:x>0.1492</cdr:x>
      <cdr:y>0.06058</cdr:y>
    </cdr:from>
    <cdr:to>
      <cdr:x>0.31805</cdr:x>
      <cdr:y>0.19055</cdr:y>
    </cdr:to>
    <cdr:sp macro="" textlink="">
      <cdr:nvSpPr>
        <cdr:cNvPr id="3" name="TextBox 25">
          <a:extLst xmlns:a="http://schemas.openxmlformats.org/drawingml/2006/main">
            <a:ext uri="{FF2B5EF4-FFF2-40B4-BE49-F238E27FC236}">
              <a16:creationId xmlns:a16="http://schemas.microsoft.com/office/drawing/2014/main" id="{323FC135-3E93-4AAF-A266-63A0352B8E5C}"/>
            </a:ext>
          </a:extLst>
        </cdr:cNvPr>
        <cdr:cNvSpPr txBox="1"/>
      </cdr:nvSpPr>
      <cdr:spPr>
        <a:xfrm xmlns:a="http://schemas.openxmlformats.org/drawingml/2006/main">
          <a:off x="811061" y="181218"/>
          <a:ext cx="917909" cy="38879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outerShdw blurRad="40000" dist="23000" dir="5400000" rotWithShape="0">
            <a:srgbClr val="000000">
              <a:alpha val="35000"/>
            </a:srgbClr>
          </a:outerShdw>
        </a:effectLst>
        <a:scene3d xmlns:a="http://schemas.openxmlformats.org/drawingml/2006/main">
          <a:camera prst="orthographicFront">
            <a:rot lat="0" lon="0" rev="0"/>
          </a:camera>
          <a:lightRig rig="threePt" dir="t">
            <a:rot lat="0" lon="0" rev="1200000"/>
          </a:lightRig>
        </a:scene3d>
        <a:sp3d xmlns:a="http://schemas.openxmlformats.org/drawingml/2006/main">
          <a:bevelT w="63500" h="25400"/>
        </a:sp3d>
      </cdr:spPr>
      <cdr:style>
        <a:lnRef xmlns:a="http://schemas.openxmlformats.org/drawingml/2006/main" idx="0">
          <a:schemeClr val="accent6"/>
        </a:lnRef>
        <a:fillRef xmlns:a="http://schemas.openxmlformats.org/drawingml/2006/main" idx="3">
          <a:schemeClr val="accent6"/>
        </a:fillRef>
        <a:effectRef xmlns:a="http://schemas.openxmlformats.org/drawingml/2006/main" idx="3">
          <a:schemeClr val="accent6"/>
        </a:effectRef>
        <a:fontRef xmlns:a="http://schemas.openxmlformats.org/drawingml/2006/main" idx="minor">
          <a:schemeClr val="lt1"/>
        </a:fontRef>
      </cdr:style>
      <cdr:txBody>
        <a:bodyPr xmlns:a="http://schemas.openxmlformats.org/drawingml/2006/main" wrap="square" rtlCol="0">
          <a:noAutofit/>
        </a:bodyPr>
        <a:lstStyle xmlns:a="http://schemas.openxmlformats.org/drawingml/2006/main">
          <a:defPPr>
            <a:defRPr lang="en-US"/>
          </a:defPPr>
          <a:lvl1pPr algn="l" rtl="0" fontAlgn="base">
            <a:spcBef>
              <a:spcPct val="0"/>
            </a:spcBef>
            <a:spcAft>
              <a:spcPct val="0"/>
            </a:spcAft>
            <a:defRPr kern="1200">
              <a:solidFill>
                <a:sysClr val="window" lastClr="FFFFFF"/>
              </a:solidFill>
              <a:latin typeface="Calibri"/>
            </a:defRPr>
          </a:lvl1pPr>
          <a:lvl2pPr marL="457200" algn="l" rtl="0" fontAlgn="base">
            <a:spcBef>
              <a:spcPct val="0"/>
            </a:spcBef>
            <a:spcAft>
              <a:spcPct val="0"/>
            </a:spcAft>
            <a:defRPr kern="1200">
              <a:solidFill>
                <a:sysClr val="window" lastClr="FFFFFF"/>
              </a:solidFill>
              <a:latin typeface="Calibri"/>
            </a:defRPr>
          </a:lvl2pPr>
          <a:lvl3pPr marL="914400" algn="l" rtl="0" fontAlgn="base">
            <a:spcBef>
              <a:spcPct val="0"/>
            </a:spcBef>
            <a:spcAft>
              <a:spcPct val="0"/>
            </a:spcAft>
            <a:defRPr kern="1200">
              <a:solidFill>
                <a:sysClr val="window" lastClr="FFFFFF"/>
              </a:solidFill>
              <a:latin typeface="Calibri"/>
            </a:defRPr>
          </a:lvl3pPr>
          <a:lvl4pPr marL="1371600" algn="l" rtl="0" fontAlgn="base">
            <a:spcBef>
              <a:spcPct val="0"/>
            </a:spcBef>
            <a:spcAft>
              <a:spcPct val="0"/>
            </a:spcAft>
            <a:defRPr kern="1200">
              <a:solidFill>
                <a:sysClr val="window" lastClr="FFFFFF"/>
              </a:solidFill>
              <a:latin typeface="Calibri"/>
            </a:defRPr>
          </a:lvl4pPr>
          <a:lvl5pPr marL="1828800" algn="l" rtl="0" fontAlgn="base">
            <a:spcBef>
              <a:spcPct val="0"/>
            </a:spcBef>
            <a:spcAft>
              <a:spcPct val="0"/>
            </a:spcAft>
            <a:defRPr kern="1200">
              <a:solidFill>
                <a:sysClr val="window" lastClr="FFFFFF"/>
              </a:solidFill>
              <a:latin typeface="Calibri"/>
            </a:defRPr>
          </a:lvl5pPr>
          <a:lvl6pPr marL="2286000" algn="l" defTabSz="914400" rtl="0" eaLnBrk="1" latinLnBrk="0" hangingPunct="1">
            <a:defRPr kern="1200">
              <a:solidFill>
                <a:sysClr val="window" lastClr="FFFFFF"/>
              </a:solidFill>
              <a:latin typeface="Calibri"/>
            </a:defRPr>
          </a:lvl6pPr>
          <a:lvl7pPr marL="2743200" algn="l" defTabSz="914400" rtl="0" eaLnBrk="1" latinLnBrk="0" hangingPunct="1">
            <a:defRPr kern="1200">
              <a:solidFill>
                <a:sysClr val="window" lastClr="FFFFFF"/>
              </a:solidFill>
              <a:latin typeface="Calibri"/>
            </a:defRPr>
          </a:lvl7pPr>
          <a:lvl8pPr marL="3200400" algn="l" defTabSz="914400" rtl="0" eaLnBrk="1" latinLnBrk="0" hangingPunct="1">
            <a:defRPr kern="1200">
              <a:solidFill>
                <a:sysClr val="window" lastClr="FFFFFF"/>
              </a:solidFill>
              <a:latin typeface="Calibri"/>
            </a:defRPr>
          </a:lvl8pPr>
          <a:lvl9pPr marL="3657600" algn="l" defTabSz="914400" rtl="0" eaLnBrk="1" latinLnBrk="0" hangingPunct="1">
            <a:defRPr kern="1200">
              <a:solidFill>
                <a:sysClr val="window" lastClr="FFFFFF"/>
              </a:solidFill>
              <a:latin typeface="Calibri"/>
            </a:defRPr>
          </a:lvl9pPr>
        </a:lstStyle>
        <a:p xmlns:a="http://schemas.openxmlformats.org/drawingml/2006/main">
          <a:pPr algn="ctr" rtl="1"/>
          <a:r>
            <a:rPr lang="ar-EG" sz="1000" b="1" dirty="0">
              <a:solidFill>
                <a:sysClr val="windowText" lastClr="000000"/>
              </a:solidFill>
              <a:latin typeface="Simplified Arabic" pitchFamily="18" charset="-78"/>
              <a:cs typeface="Simplified Arabic" pitchFamily="18" charset="-78"/>
            </a:rPr>
            <a:t>إناث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251</TotalTime>
  <Pages>37</Pages>
  <Words>6800</Words>
  <Characters>38763</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 my</dc:creator>
  <cp:keywords/>
  <dc:description/>
  <cp:lastModifiedBy>Abo my</cp:lastModifiedBy>
  <cp:revision>16</cp:revision>
  <dcterms:created xsi:type="dcterms:W3CDTF">2022-01-01T14:57:00Z</dcterms:created>
  <dcterms:modified xsi:type="dcterms:W3CDTF">2022-01-01T19:15:00Z</dcterms:modified>
</cp:coreProperties>
</file>