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footer1.xml" ContentType="application/vnd.openxmlformats-officedocument.wordprocessingml.footer+xml"/>
  <Override PartName="/word/header3.xml" ContentType="application/vnd.openxmlformats-officedocument.wordprocessingml.header+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31.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32.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33.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34.xml" ContentType="application/vnd.openxmlformats-officedocument.drawingml.chart+xml"/>
  <Override PartName="/word/charts/style20.xml" ContentType="application/vnd.ms-office.chartstyle+xml"/>
  <Override PartName="/word/charts/colors20.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21FB67" w14:textId="77777777" w:rsidR="003E7AF1" w:rsidRDefault="003E7AF1" w:rsidP="003E7AF1">
      <w:pPr>
        <w:ind w:right="6379"/>
        <w:jc w:val="cente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جمهورية مصر العربية</w:t>
      </w:r>
    </w:p>
    <w:p w14:paraId="79B692A1" w14:textId="5842C8EC" w:rsidR="003E7AF1" w:rsidRDefault="003E7AF1" w:rsidP="003E7AF1">
      <w:pPr>
        <w:ind w:right="6379"/>
        <w:jc w:val="center"/>
        <w:rPr>
          <w:rFonts w:ascii="Simplified Arabic" w:hAnsi="Simplified Arabic" w:cs="Simplified Arabic"/>
          <w:b/>
          <w:bCs/>
          <w:sz w:val="24"/>
          <w:szCs w:val="24"/>
          <w:rtl/>
          <w:lang w:bidi="ar-EG"/>
        </w:rPr>
      </w:pPr>
      <w:r>
        <w:rPr>
          <w:rFonts w:ascii="Simplified Arabic" w:hAnsi="Simplified Arabic" w:cs="Simplified Arabic"/>
          <w:b/>
          <w:bCs/>
          <w:sz w:val="24"/>
          <w:szCs w:val="24"/>
          <w:lang w:bidi="ar-EG"/>
        </w:rPr>
        <w:drawing>
          <wp:inline distT="0" distB="0" distL="0" distR="0" wp14:anchorId="0C494D2A" wp14:editId="49852771">
            <wp:extent cx="873760" cy="1003110"/>
            <wp:effectExtent l="0" t="0" r="254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7278" cy="1007149"/>
                    </a:xfrm>
                    <a:prstGeom prst="rect">
                      <a:avLst/>
                    </a:prstGeom>
                    <a:noFill/>
                    <a:ln>
                      <a:noFill/>
                    </a:ln>
                  </pic:spPr>
                </pic:pic>
              </a:graphicData>
            </a:graphic>
          </wp:inline>
        </w:drawing>
      </w:r>
    </w:p>
    <w:p w14:paraId="6C242033" w14:textId="77777777" w:rsidR="003E7AF1" w:rsidRDefault="003E7AF1" w:rsidP="003E7AF1">
      <w:pPr>
        <w:ind w:right="6379"/>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معهد التخطيط القومي</w:t>
      </w:r>
    </w:p>
    <w:p w14:paraId="40F42C27" w14:textId="77777777" w:rsidR="003E7AF1" w:rsidRDefault="003E7AF1" w:rsidP="003E7AF1">
      <w:pPr>
        <w:ind w:right="6379"/>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الدراسات العليا</w:t>
      </w:r>
    </w:p>
    <w:p w14:paraId="724EB619" w14:textId="77777777" w:rsidR="003E7AF1" w:rsidRDefault="003E7AF1" w:rsidP="003E7AF1">
      <w:pPr>
        <w:ind w:right="-288"/>
        <w:jc w:val="center"/>
        <w:rPr>
          <w:rFonts w:ascii="Simplified Arabic" w:hAnsi="Simplified Arabic" w:cs="Simplified Arabic"/>
          <w:b/>
          <w:bCs/>
          <w:noProof w:val="0"/>
          <w:kern w:val="24"/>
          <w:sz w:val="28"/>
          <w:szCs w:val="28"/>
          <w:lang w:bidi="ar-EG"/>
        </w:rPr>
      </w:pPr>
    </w:p>
    <w:p w14:paraId="50ACC66E" w14:textId="77777777" w:rsidR="003E7AF1" w:rsidRDefault="003E7AF1" w:rsidP="003E7AF1">
      <w:pPr>
        <w:jc w:val="center"/>
        <w:rPr>
          <w:rFonts w:ascii="Simplified Arabic" w:hAnsi="Simplified Arabic" w:cs="Simplified Arabic"/>
          <w:b/>
          <w:bCs/>
          <w:noProof w:val="0"/>
          <w:kern w:val="24"/>
          <w:sz w:val="28"/>
          <w:szCs w:val="28"/>
          <w:rtl/>
          <w:lang w:bidi="ar-EG"/>
        </w:rPr>
      </w:pPr>
    </w:p>
    <w:p w14:paraId="0F4552CA" w14:textId="77777777" w:rsidR="003E7AF1" w:rsidRDefault="003E7AF1" w:rsidP="003E7AF1">
      <w:pPr>
        <w:jc w:val="center"/>
        <w:rPr>
          <w:rFonts w:ascii="Simplified Arabic" w:hAnsi="Simplified Arabic" w:cs="Simplified Arabic"/>
          <w:b/>
          <w:bCs/>
          <w:noProof w:val="0"/>
          <w:kern w:val="24"/>
          <w:sz w:val="28"/>
          <w:szCs w:val="28"/>
          <w:rtl/>
          <w:lang w:bidi="ar-EG"/>
        </w:rPr>
      </w:pPr>
    </w:p>
    <w:p w14:paraId="7185C747" w14:textId="77777777" w:rsidR="003E7AF1" w:rsidRDefault="003E7AF1" w:rsidP="003E7AF1">
      <w:pPr>
        <w:jc w:val="center"/>
        <w:rPr>
          <w:rFonts w:ascii="Simplified Arabic" w:hAnsi="Simplified Arabic" w:cs="Simplified Arabic"/>
          <w:b/>
          <w:bCs/>
          <w:noProof w:val="0"/>
          <w:kern w:val="24"/>
          <w:sz w:val="44"/>
          <w:szCs w:val="44"/>
          <w:rtl/>
          <w:lang w:bidi="ar-EG"/>
        </w:rPr>
      </w:pPr>
      <w:r>
        <w:rPr>
          <w:rFonts w:ascii="Simplified Arabic" w:hAnsi="Simplified Arabic" w:cs="Simplified Arabic"/>
          <w:b/>
          <w:bCs/>
          <w:noProof w:val="0"/>
          <w:kern w:val="24"/>
          <w:sz w:val="44"/>
          <w:szCs w:val="44"/>
          <w:rtl/>
          <w:lang w:bidi="ar-EG"/>
        </w:rPr>
        <w:t>تحليل أثر الآليات المالية لتمويل عجز الموازنة العامة للدولة</w:t>
      </w:r>
    </w:p>
    <w:p w14:paraId="343ADBF7" w14:textId="77777777" w:rsidR="003E7AF1" w:rsidRDefault="003E7AF1" w:rsidP="003E7AF1">
      <w:pPr>
        <w:jc w:val="center"/>
        <w:rPr>
          <w:rFonts w:ascii="Simplified Arabic" w:hAnsi="Simplified Arabic" w:cs="Simplified Arabic"/>
          <w:b/>
          <w:bCs/>
          <w:noProof w:val="0"/>
          <w:kern w:val="24"/>
          <w:sz w:val="44"/>
          <w:szCs w:val="44"/>
          <w:rtl/>
          <w:lang w:bidi="ar-EG"/>
        </w:rPr>
      </w:pPr>
      <w:r>
        <w:rPr>
          <w:rFonts w:ascii="Simplified Arabic" w:hAnsi="Simplified Arabic" w:cs="Simplified Arabic"/>
          <w:b/>
          <w:bCs/>
          <w:noProof w:val="0"/>
          <w:kern w:val="24"/>
          <w:sz w:val="44"/>
          <w:szCs w:val="44"/>
          <w:rtl/>
          <w:lang w:bidi="ar-EG"/>
        </w:rPr>
        <w:t>على التضخم في مصر</w:t>
      </w:r>
      <w:r>
        <w:rPr>
          <w:rFonts w:ascii="Simplified Arabic" w:hAnsi="Simplified Arabic" w:cs="Simplified Arabic"/>
          <w:b/>
          <w:bCs/>
          <w:noProof w:val="0"/>
          <w:kern w:val="24"/>
          <w:sz w:val="44"/>
          <w:szCs w:val="44"/>
          <w:lang w:bidi="ar-EG"/>
        </w:rPr>
        <w:t xml:space="preserve"> </w:t>
      </w:r>
      <w:r>
        <w:rPr>
          <w:rFonts w:ascii="Simplified Arabic" w:hAnsi="Simplified Arabic" w:cs="Simplified Arabic"/>
          <w:b/>
          <w:bCs/>
          <w:noProof w:val="0"/>
          <w:kern w:val="24"/>
          <w:sz w:val="44"/>
          <w:szCs w:val="44"/>
          <w:rtl/>
          <w:lang w:bidi="ar-EG"/>
        </w:rPr>
        <w:t>خلال الفترة (1991 – 2016)</w:t>
      </w:r>
    </w:p>
    <w:p w14:paraId="51155F3B" w14:textId="77777777" w:rsidR="003E7AF1" w:rsidRDefault="003E7AF1" w:rsidP="003E7AF1">
      <w:pPr>
        <w:jc w:val="center"/>
        <w:rPr>
          <w:rFonts w:ascii="Simplified Arabic" w:hAnsi="Simplified Arabic" w:cs="Simplified Arabic"/>
          <w:b/>
          <w:bCs/>
          <w:noProof w:val="0"/>
          <w:kern w:val="24"/>
          <w:sz w:val="28"/>
          <w:szCs w:val="28"/>
          <w:lang w:bidi="ar-EG"/>
        </w:rPr>
      </w:pPr>
    </w:p>
    <w:p w14:paraId="3BF345BB" w14:textId="77777777" w:rsidR="003E7AF1" w:rsidRDefault="003E7AF1" w:rsidP="003E7AF1">
      <w:pPr>
        <w:jc w:val="center"/>
        <w:rPr>
          <w:rFonts w:ascii="Simplified Arabic" w:hAnsi="Simplified Arabic" w:cs="Simplified Arabic"/>
          <w:b/>
          <w:bCs/>
          <w:noProof w:val="0"/>
          <w:kern w:val="24"/>
          <w:sz w:val="28"/>
          <w:szCs w:val="28"/>
          <w:rtl/>
          <w:lang w:bidi="ar-EG"/>
        </w:rPr>
      </w:pPr>
      <w:r>
        <w:rPr>
          <w:rFonts w:ascii="Simplified Arabic" w:hAnsi="Simplified Arabic" w:cs="Simplified Arabic"/>
          <w:b/>
          <w:bCs/>
          <w:noProof w:val="0"/>
          <w:kern w:val="24"/>
          <w:sz w:val="28"/>
          <w:szCs w:val="28"/>
          <w:rtl/>
          <w:lang w:bidi="ar-EG"/>
        </w:rPr>
        <w:t>رسالة</w:t>
      </w:r>
      <w:r>
        <w:rPr>
          <w:rFonts w:ascii="Arial" w:hAnsi="Arial" w:cs="PT Bold Heading" w:hint="cs"/>
          <w:b/>
          <w:bCs/>
          <w:noProof w:val="0"/>
          <w:kern w:val="24"/>
          <w:sz w:val="28"/>
          <w:szCs w:val="28"/>
          <w:rtl/>
          <w:lang w:bidi="ar-EG"/>
        </w:rPr>
        <w:t xml:space="preserve"> </w:t>
      </w:r>
      <w:r>
        <w:rPr>
          <w:rFonts w:ascii="Simplified Arabic" w:hAnsi="Simplified Arabic" w:cs="Simplified Arabic"/>
          <w:b/>
          <w:bCs/>
          <w:noProof w:val="0"/>
          <w:kern w:val="24"/>
          <w:sz w:val="28"/>
          <w:szCs w:val="28"/>
          <w:rtl/>
          <w:lang w:bidi="ar-EG"/>
        </w:rPr>
        <w:t>مقدمة لاستكمال متطلبات نيل درجة الماجستير في التخطيط والتنمية</w:t>
      </w:r>
    </w:p>
    <w:p w14:paraId="7EC6F4F7" w14:textId="77777777" w:rsidR="003E7AF1" w:rsidRDefault="003E7AF1" w:rsidP="003E7AF1">
      <w:pPr>
        <w:jc w:val="center"/>
        <w:rPr>
          <w:rFonts w:ascii="Simplified Arabic" w:hAnsi="Simplified Arabic" w:cs="Simplified Arabic"/>
          <w:b/>
          <w:bCs/>
          <w:noProof w:val="0"/>
          <w:kern w:val="24"/>
          <w:sz w:val="28"/>
          <w:szCs w:val="28"/>
          <w:rtl/>
          <w:lang w:bidi="ar-EG"/>
        </w:rPr>
      </w:pPr>
    </w:p>
    <w:p w14:paraId="31B0A65C" w14:textId="77777777" w:rsidR="003E7AF1" w:rsidRDefault="003E7AF1" w:rsidP="003E7AF1">
      <w:pPr>
        <w:jc w:val="center"/>
        <w:rPr>
          <w:rFonts w:ascii="Simplified Arabic" w:hAnsi="Simplified Arabic" w:cs="Simplified Arabic"/>
          <w:b/>
          <w:bCs/>
          <w:noProof w:val="0"/>
          <w:kern w:val="24"/>
          <w:sz w:val="28"/>
          <w:szCs w:val="28"/>
          <w:rtl/>
          <w:lang w:bidi="ar-EG"/>
        </w:rPr>
      </w:pPr>
    </w:p>
    <w:p w14:paraId="60EAF05C" w14:textId="77777777" w:rsidR="003E7AF1" w:rsidRDefault="003E7AF1" w:rsidP="003E7AF1">
      <w:pPr>
        <w:jc w:val="center"/>
        <w:rPr>
          <w:rFonts w:ascii="Simplified Arabic" w:hAnsi="Simplified Arabic" w:cs="Simplified Arabic"/>
          <w:b/>
          <w:bCs/>
          <w:noProof w:val="0"/>
          <w:kern w:val="24"/>
          <w:sz w:val="28"/>
          <w:szCs w:val="28"/>
          <w:u w:val="single"/>
          <w:rtl/>
          <w:lang w:bidi="ar-EG"/>
        </w:rPr>
      </w:pPr>
      <w:r>
        <w:rPr>
          <w:rFonts w:ascii="Simplified Arabic" w:hAnsi="Simplified Arabic" w:cs="Simplified Arabic"/>
          <w:b/>
          <w:bCs/>
          <w:noProof w:val="0"/>
          <w:kern w:val="24"/>
          <w:sz w:val="36"/>
          <w:szCs w:val="36"/>
          <w:u w:val="single"/>
          <w:rtl/>
          <w:lang w:bidi="ar-EG"/>
        </w:rPr>
        <w:t>إعــــداد</w:t>
      </w:r>
    </w:p>
    <w:p w14:paraId="3013EA91" w14:textId="77777777" w:rsidR="003E7AF1" w:rsidRDefault="003E7AF1" w:rsidP="003E7AF1">
      <w:pPr>
        <w:jc w:val="center"/>
        <w:rPr>
          <w:rFonts w:ascii="Simplified Arabic" w:hAnsi="Simplified Arabic" w:cs="Simplified Arabic"/>
          <w:b/>
          <w:bCs/>
          <w:noProof w:val="0"/>
          <w:kern w:val="24"/>
          <w:sz w:val="40"/>
          <w:szCs w:val="40"/>
          <w:rtl/>
          <w:lang w:bidi="ar-EG"/>
        </w:rPr>
      </w:pPr>
      <w:r>
        <w:rPr>
          <w:rFonts w:ascii="Simplified Arabic" w:hAnsi="Simplified Arabic" w:cs="Simplified Arabic"/>
          <w:b/>
          <w:bCs/>
          <w:noProof w:val="0"/>
          <w:kern w:val="24"/>
          <w:sz w:val="40"/>
          <w:szCs w:val="40"/>
          <w:rtl/>
          <w:lang w:bidi="ar-EG"/>
        </w:rPr>
        <w:t xml:space="preserve">إبراهيم مرسي </w:t>
      </w:r>
      <w:proofErr w:type="spellStart"/>
      <w:r>
        <w:rPr>
          <w:rFonts w:ascii="Simplified Arabic" w:hAnsi="Simplified Arabic" w:cs="Simplified Arabic"/>
          <w:b/>
          <w:bCs/>
          <w:noProof w:val="0"/>
          <w:kern w:val="24"/>
          <w:sz w:val="40"/>
          <w:szCs w:val="40"/>
          <w:rtl/>
          <w:lang w:bidi="ar-EG"/>
        </w:rPr>
        <w:t>مرسي</w:t>
      </w:r>
      <w:proofErr w:type="spellEnd"/>
      <w:r>
        <w:rPr>
          <w:rFonts w:ascii="Simplified Arabic" w:hAnsi="Simplified Arabic" w:cs="Simplified Arabic"/>
          <w:b/>
          <w:bCs/>
          <w:noProof w:val="0"/>
          <w:kern w:val="24"/>
          <w:sz w:val="40"/>
          <w:szCs w:val="40"/>
          <w:rtl/>
          <w:lang w:bidi="ar-EG"/>
        </w:rPr>
        <w:t xml:space="preserve"> </w:t>
      </w:r>
      <w:proofErr w:type="spellStart"/>
      <w:r>
        <w:rPr>
          <w:rFonts w:ascii="Simplified Arabic" w:hAnsi="Simplified Arabic" w:cs="Simplified Arabic"/>
          <w:b/>
          <w:bCs/>
          <w:noProof w:val="0"/>
          <w:kern w:val="24"/>
          <w:sz w:val="40"/>
          <w:szCs w:val="40"/>
          <w:rtl/>
          <w:lang w:bidi="ar-EG"/>
        </w:rPr>
        <w:t>السلاموني</w:t>
      </w:r>
      <w:proofErr w:type="spellEnd"/>
    </w:p>
    <w:p w14:paraId="071A7ACC" w14:textId="77777777" w:rsidR="003E7AF1" w:rsidRDefault="003E7AF1" w:rsidP="003E7AF1">
      <w:pPr>
        <w:jc w:val="center"/>
        <w:rPr>
          <w:rFonts w:ascii="Simplified Arabic" w:hAnsi="Simplified Arabic" w:cs="Simplified Arabic"/>
          <w:b/>
          <w:bCs/>
          <w:noProof w:val="0"/>
          <w:kern w:val="24"/>
          <w:sz w:val="28"/>
          <w:szCs w:val="28"/>
          <w:rtl/>
          <w:lang w:bidi="ar-EG"/>
        </w:rPr>
      </w:pPr>
    </w:p>
    <w:p w14:paraId="1DE5877A" w14:textId="77777777" w:rsidR="003E7AF1" w:rsidRDefault="003E7AF1" w:rsidP="003E7AF1">
      <w:pPr>
        <w:jc w:val="center"/>
        <w:rPr>
          <w:rFonts w:ascii="Simplified Arabic" w:hAnsi="Simplified Arabic" w:cs="Simplified Arabic"/>
          <w:b/>
          <w:bCs/>
          <w:noProof w:val="0"/>
          <w:kern w:val="24"/>
          <w:sz w:val="28"/>
          <w:szCs w:val="28"/>
          <w:rtl/>
          <w:lang w:bidi="ar-EG"/>
        </w:rPr>
      </w:pPr>
    </w:p>
    <w:p w14:paraId="098B22F9" w14:textId="77777777" w:rsidR="003E7AF1" w:rsidRDefault="003E7AF1" w:rsidP="003E7AF1">
      <w:pPr>
        <w:jc w:val="center"/>
        <w:rPr>
          <w:rFonts w:ascii="Simplified Arabic" w:hAnsi="Simplified Arabic" w:cs="Simplified Arabic"/>
          <w:b/>
          <w:bCs/>
          <w:noProof w:val="0"/>
          <w:kern w:val="24"/>
          <w:sz w:val="36"/>
          <w:szCs w:val="36"/>
          <w:u w:val="single"/>
          <w:rtl/>
          <w:lang w:bidi="ar-EG"/>
        </w:rPr>
      </w:pPr>
      <w:r>
        <w:rPr>
          <w:rFonts w:ascii="Simplified Arabic" w:hAnsi="Simplified Arabic" w:cs="Simplified Arabic"/>
          <w:b/>
          <w:bCs/>
          <w:noProof w:val="0"/>
          <w:kern w:val="24"/>
          <w:sz w:val="36"/>
          <w:szCs w:val="36"/>
          <w:u w:val="single"/>
          <w:rtl/>
          <w:lang w:bidi="ar-EG"/>
        </w:rPr>
        <w:t>إشــــراف</w:t>
      </w:r>
    </w:p>
    <w:tbl>
      <w:tblPr>
        <w:tblStyle w:val="a"/>
        <w:bidiVisual/>
        <w:tblW w:w="8957" w:type="dxa"/>
        <w:jc w:val="center"/>
        <w:tblInd w:w="0" w:type="dxa"/>
        <w:tblLook w:val="04A0" w:firstRow="1" w:lastRow="0" w:firstColumn="1" w:lastColumn="0" w:noHBand="0" w:noVBand="1"/>
      </w:tblPr>
      <w:tblGrid>
        <w:gridCol w:w="4195"/>
        <w:gridCol w:w="567"/>
        <w:gridCol w:w="4195"/>
      </w:tblGrid>
      <w:tr w:rsidR="003E7AF1" w14:paraId="1875F57D" w14:textId="77777777" w:rsidTr="003E7AF1">
        <w:trPr>
          <w:jc w:val="center"/>
        </w:trPr>
        <w:tc>
          <w:tcPr>
            <w:tcW w:w="4195" w:type="dxa"/>
            <w:vAlign w:val="center"/>
            <w:hideMark/>
          </w:tcPr>
          <w:p w14:paraId="39C96128" w14:textId="77777777" w:rsidR="003E7AF1" w:rsidRDefault="003E7AF1">
            <w:pPr>
              <w:jc w:val="center"/>
              <w:rPr>
                <w:rFonts w:ascii="Simplified Arabic" w:hAnsi="Simplified Arabic" w:cs="Simplified Arabic"/>
                <w:b/>
                <w:bCs/>
                <w:noProof w:val="0"/>
                <w:kern w:val="24"/>
                <w:sz w:val="40"/>
                <w:szCs w:val="40"/>
                <w:rtl/>
                <w:lang w:bidi="ar-EG"/>
              </w:rPr>
            </w:pPr>
            <w:r>
              <w:rPr>
                <w:rFonts w:ascii="Simplified Arabic" w:hAnsi="Simplified Arabic" w:cs="Simplified Arabic"/>
                <w:b/>
                <w:bCs/>
                <w:noProof w:val="0"/>
                <w:kern w:val="24"/>
                <w:sz w:val="40"/>
                <w:szCs w:val="40"/>
                <w:rtl/>
                <w:lang w:bidi="ar-EG"/>
              </w:rPr>
              <w:t>أ.د./ خالــد زكريــا أمين</w:t>
            </w:r>
          </w:p>
          <w:p w14:paraId="7DA105EE" w14:textId="77777777" w:rsidR="003E7AF1" w:rsidRDefault="003E7AF1">
            <w:pPr>
              <w:jc w:val="center"/>
              <w:rPr>
                <w:rFonts w:ascii="Simplified Arabic" w:hAnsi="Simplified Arabic" w:cs="Simplified Arabic"/>
                <w:b/>
                <w:bCs/>
                <w:noProof w:val="0"/>
                <w:kern w:val="24"/>
                <w:sz w:val="28"/>
                <w:szCs w:val="28"/>
                <w:rtl/>
                <w:lang w:bidi="ar-EG"/>
              </w:rPr>
            </w:pPr>
            <w:r>
              <w:rPr>
                <w:rFonts w:ascii="Simplified Arabic" w:hAnsi="Simplified Arabic" w:cs="Simplified Arabic"/>
                <w:b/>
                <w:bCs/>
                <w:noProof w:val="0"/>
                <w:kern w:val="24"/>
                <w:sz w:val="28"/>
                <w:szCs w:val="28"/>
                <w:rtl/>
                <w:lang w:bidi="ar-EG"/>
              </w:rPr>
              <w:t>أستاذ الإدارة العامة</w:t>
            </w:r>
          </w:p>
          <w:p w14:paraId="256D89D4" w14:textId="77777777" w:rsidR="003E7AF1" w:rsidRDefault="003E7AF1">
            <w:pPr>
              <w:jc w:val="center"/>
              <w:rPr>
                <w:rFonts w:ascii="Simplified Arabic" w:hAnsi="Simplified Arabic" w:cs="Simplified Arabic"/>
                <w:b/>
                <w:bCs/>
                <w:noProof w:val="0"/>
                <w:kern w:val="24"/>
                <w:sz w:val="28"/>
                <w:szCs w:val="28"/>
                <w:rtl/>
                <w:lang w:bidi="ar-EG"/>
              </w:rPr>
            </w:pPr>
            <w:r>
              <w:rPr>
                <w:rFonts w:ascii="Simplified Arabic" w:hAnsi="Simplified Arabic" w:cs="Simplified Arabic"/>
                <w:b/>
                <w:bCs/>
                <w:noProof w:val="0"/>
                <w:kern w:val="24"/>
                <w:sz w:val="28"/>
                <w:szCs w:val="28"/>
                <w:rtl/>
                <w:lang w:bidi="ar-EG"/>
              </w:rPr>
              <w:t>مدير مركز السياسات الاقتصادية الكلية</w:t>
            </w:r>
          </w:p>
          <w:p w14:paraId="764D41FC" w14:textId="77777777" w:rsidR="003E7AF1" w:rsidRDefault="003E7AF1">
            <w:pPr>
              <w:jc w:val="center"/>
              <w:rPr>
                <w:rFonts w:ascii="Simplified Arabic" w:hAnsi="Simplified Arabic" w:cs="Simplified Arabic"/>
                <w:b/>
                <w:bCs/>
                <w:noProof w:val="0"/>
                <w:kern w:val="24"/>
                <w:sz w:val="28"/>
                <w:szCs w:val="28"/>
                <w:rtl/>
                <w:lang w:bidi="ar-EG"/>
              </w:rPr>
            </w:pPr>
            <w:r>
              <w:rPr>
                <w:rFonts w:ascii="Simplified Arabic" w:hAnsi="Simplified Arabic" w:cs="Simplified Arabic"/>
                <w:b/>
                <w:bCs/>
                <w:noProof w:val="0"/>
                <w:kern w:val="24"/>
                <w:sz w:val="28"/>
                <w:szCs w:val="28"/>
                <w:rtl/>
                <w:lang w:bidi="ar-EG"/>
              </w:rPr>
              <w:t>معهد التخطيط القومي</w:t>
            </w:r>
          </w:p>
        </w:tc>
        <w:tc>
          <w:tcPr>
            <w:tcW w:w="567" w:type="dxa"/>
            <w:vAlign w:val="center"/>
          </w:tcPr>
          <w:p w14:paraId="0CE954B0" w14:textId="77777777" w:rsidR="003E7AF1" w:rsidRDefault="003E7AF1">
            <w:pPr>
              <w:jc w:val="center"/>
              <w:rPr>
                <w:rFonts w:ascii="Simplified Arabic" w:hAnsi="Simplified Arabic" w:cs="Simplified Arabic"/>
                <w:b/>
                <w:bCs/>
                <w:noProof w:val="0"/>
                <w:kern w:val="24"/>
                <w:sz w:val="36"/>
                <w:szCs w:val="36"/>
                <w:u w:val="single"/>
                <w:rtl/>
                <w:lang w:bidi="ar-EG"/>
              </w:rPr>
            </w:pPr>
          </w:p>
        </w:tc>
        <w:tc>
          <w:tcPr>
            <w:tcW w:w="4195" w:type="dxa"/>
            <w:vAlign w:val="center"/>
            <w:hideMark/>
          </w:tcPr>
          <w:p w14:paraId="6E62AC64" w14:textId="77777777" w:rsidR="003E7AF1" w:rsidRDefault="003E7AF1">
            <w:pPr>
              <w:jc w:val="center"/>
              <w:rPr>
                <w:rFonts w:ascii="Simplified Arabic" w:hAnsi="Simplified Arabic" w:cs="Simplified Arabic"/>
                <w:b/>
                <w:bCs/>
                <w:noProof w:val="0"/>
                <w:kern w:val="24"/>
                <w:sz w:val="40"/>
                <w:szCs w:val="40"/>
                <w:rtl/>
                <w:lang w:bidi="ar-EG"/>
              </w:rPr>
            </w:pPr>
            <w:r>
              <w:rPr>
                <w:rFonts w:ascii="Simplified Arabic" w:hAnsi="Simplified Arabic" w:cs="Simplified Arabic"/>
                <w:b/>
                <w:bCs/>
                <w:noProof w:val="0"/>
                <w:kern w:val="24"/>
                <w:sz w:val="40"/>
                <w:szCs w:val="40"/>
                <w:rtl/>
                <w:lang w:bidi="ar-EG"/>
              </w:rPr>
              <w:t>د./ حجـازي عبد الحميد الجـزار</w:t>
            </w:r>
          </w:p>
          <w:p w14:paraId="5A7C6AF8" w14:textId="77777777" w:rsidR="003E7AF1" w:rsidRDefault="003E7AF1">
            <w:pPr>
              <w:jc w:val="center"/>
              <w:rPr>
                <w:rFonts w:ascii="Simplified Arabic" w:hAnsi="Simplified Arabic" w:cs="Simplified Arabic"/>
                <w:b/>
                <w:bCs/>
                <w:noProof w:val="0"/>
                <w:kern w:val="24"/>
                <w:sz w:val="28"/>
                <w:szCs w:val="28"/>
                <w:rtl/>
                <w:lang w:bidi="ar-EG"/>
              </w:rPr>
            </w:pPr>
            <w:r>
              <w:rPr>
                <w:rFonts w:ascii="Simplified Arabic" w:hAnsi="Simplified Arabic" w:cs="Simplified Arabic"/>
                <w:b/>
                <w:bCs/>
                <w:noProof w:val="0"/>
                <w:kern w:val="24"/>
                <w:sz w:val="28"/>
                <w:szCs w:val="28"/>
                <w:rtl/>
                <w:lang w:bidi="ar-EG"/>
              </w:rPr>
              <w:t>أستاذ الاقتصاد المساعد</w:t>
            </w:r>
          </w:p>
          <w:p w14:paraId="722082A2" w14:textId="77777777" w:rsidR="003E7AF1" w:rsidRDefault="003E7AF1">
            <w:pPr>
              <w:jc w:val="center"/>
              <w:rPr>
                <w:rFonts w:ascii="Simplified Arabic" w:hAnsi="Simplified Arabic" w:cs="Simplified Arabic"/>
                <w:b/>
                <w:bCs/>
                <w:noProof w:val="0"/>
                <w:kern w:val="24"/>
                <w:sz w:val="28"/>
                <w:szCs w:val="28"/>
                <w:rtl/>
                <w:lang w:bidi="ar-EG"/>
              </w:rPr>
            </w:pPr>
            <w:r>
              <w:rPr>
                <w:rFonts w:ascii="Simplified Arabic" w:hAnsi="Simplified Arabic" w:cs="Simplified Arabic"/>
                <w:b/>
                <w:bCs/>
                <w:noProof w:val="0"/>
                <w:kern w:val="24"/>
                <w:sz w:val="28"/>
                <w:szCs w:val="28"/>
                <w:rtl/>
                <w:lang w:bidi="ar-EG"/>
              </w:rPr>
              <w:t>مدير مركز العلاقات الاقتصادية الدولية سابقاً</w:t>
            </w:r>
          </w:p>
          <w:p w14:paraId="6440792F" w14:textId="77777777" w:rsidR="003E7AF1" w:rsidRDefault="003E7AF1">
            <w:pPr>
              <w:jc w:val="center"/>
              <w:rPr>
                <w:rFonts w:ascii="Simplified Arabic" w:hAnsi="Simplified Arabic" w:cs="Simplified Arabic"/>
                <w:b/>
                <w:bCs/>
                <w:noProof w:val="0"/>
                <w:kern w:val="24"/>
                <w:sz w:val="28"/>
                <w:szCs w:val="28"/>
                <w:rtl/>
                <w:lang w:bidi="ar-EG"/>
              </w:rPr>
            </w:pPr>
            <w:r>
              <w:rPr>
                <w:rFonts w:ascii="Simplified Arabic" w:hAnsi="Simplified Arabic" w:cs="Simplified Arabic"/>
                <w:b/>
                <w:bCs/>
                <w:noProof w:val="0"/>
                <w:kern w:val="24"/>
                <w:sz w:val="28"/>
                <w:szCs w:val="28"/>
                <w:rtl/>
                <w:lang w:bidi="ar-EG"/>
              </w:rPr>
              <w:t>معهد التخطيط القومي</w:t>
            </w:r>
          </w:p>
        </w:tc>
      </w:tr>
    </w:tbl>
    <w:p w14:paraId="00578818" w14:textId="77777777" w:rsidR="003E7AF1" w:rsidRDefault="003E7AF1" w:rsidP="003E7AF1">
      <w:pPr>
        <w:jc w:val="center"/>
        <w:rPr>
          <w:rFonts w:ascii="Simplified Arabic" w:hAnsi="Simplified Arabic" w:cs="Simplified Arabic"/>
          <w:b/>
          <w:bCs/>
          <w:noProof w:val="0"/>
          <w:kern w:val="24"/>
          <w:sz w:val="28"/>
          <w:szCs w:val="28"/>
          <w:rtl/>
          <w:lang w:bidi="ar-EG"/>
        </w:rPr>
      </w:pPr>
    </w:p>
    <w:p w14:paraId="344A97CA" w14:textId="77777777" w:rsidR="003E7AF1" w:rsidRDefault="003E7AF1" w:rsidP="003E7AF1">
      <w:pPr>
        <w:jc w:val="center"/>
        <w:rPr>
          <w:rFonts w:ascii="Simplified Arabic" w:hAnsi="Simplified Arabic" w:cs="Simplified Arabic"/>
          <w:b/>
          <w:bCs/>
          <w:noProof w:val="0"/>
          <w:kern w:val="24"/>
          <w:sz w:val="36"/>
          <w:szCs w:val="36"/>
          <w:rtl/>
          <w:lang w:bidi="ar-EG"/>
        </w:rPr>
      </w:pPr>
      <w:r>
        <w:rPr>
          <w:rFonts w:ascii="Simplified Arabic" w:hAnsi="Simplified Arabic" w:cs="Simplified Arabic"/>
          <w:b/>
          <w:bCs/>
          <w:noProof w:val="0"/>
          <w:kern w:val="24"/>
          <w:sz w:val="28"/>
          <w:szCs w:val="28"/>
          <w:rtl/>
          <w:lang w:bidi="ar-EG"/>
        </w:rPr>
        <w:t>2021</w:t>
      </w:r>
    </w:p>
    <w:p w14:paraId="5DF299A5" w14:textId="77777777" w:rsidR="00270E6A" w:rsidRDefault="00270E6A">
      <w:pPr>
        <w:bidi w:val="0"/>
        <w:spacing w:after="160" w:line="259" w:lineRule="auto"/>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br w:type="page"/>
      </w:r>
    </w:p>
    <w:p w14:paraId="207D17E5" w14:textId="56ECA936" w:rsidR="00270E6A" w:rsidRDefault="00270E6A">
      <w:pPr>
        <w:bidi w:val="0"/>
        <w:spacing w:after="160" w:line="259" w:lineRule="auto"/>
        <w:rPr>
          <w:rFonts w:ascii="Simplified Arabic" w:hAnsi="Simplified Arabic" w:cs="Simplified Arabic"/>
          <w:b/>
          <w:bCs/>
          <w:sz w:val="24"/>
          <w:szCs w:val="24"/>
          <w:rtl/>
          <w:lang w:bidi="ar-EG"/>
        </w:rPr>
      </w:pPr>
      <w:r>
        <w:rPr>
          <w:rtl/>
        </w:rPr>
        <w:lastRenderedPageBreak/>
        <mc:AlternateContent>
          <mc:Choice Requires="wps">
            <w:drawing>
              <wp:anchor distT="0" distB="0" distL="114300" distR="114300" simplePos="0" relativeHeight="251729920" behindDoc="0" locked="0" layoutInCell="1" allowOverlap="1" wp14:anchorId="633A6075" wp14:editId="14F56AB6">
                <wp:simplePos x="0" y="0"/>
                <wp:positionH relativeFrom="margin">
                  <wp:posOffset>825689</wp:posOffset>
                </wp:positionH>
                <wp:positionV relativeFrom="margin">
                  <wp:posOffset>1901806</wp:posOffset>
                </wp:positionV>
                <wp:extent cx="4803140" cy="2677795"/>
                <wp:effectExtent l="19050" t="19050" r="16510" b="17780"/>
                <wp:wrapNone/>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3140" cy="2677795"/>
                        </a:xfrm>
                        <a:prstGeom prst="roundRect">
                          <a:avLst>
                            <a:gd name="adj" fmla="val 16667"/>
                          </a:avLst>
                        </a:prstGeom>
                        <a:solidFill>
                          <a:srgbClr val="FFFFFF"/>
                        </a:solidFill>
                        <a:ln w="31750">
                          <a:solidFill>
                            <a:srgbClr val="5B9BD5"/>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E95165" w14:textId="77777777" w:rsidR="00270E6A" w:rsidRDefault="00270E6A" w:rsidP="00270E6A">
                            <w:pPr>
                              <w:jc w:val="center"/>
                              <w:rPr>
                                <w:rFonts w:cs="DecoType Naskh Variants"/>
                                <w:sz w:val="40"/>
                                <w:szCs w:val="40"/>
                                <w:lang w:bidi="ar-EG"/>
                              </w:rPr>
                            </w:pPr>
                            <w:r>
                              <w:rPr>
                                <w:rFonts w:cs="DecoType Naskh Variants" w:hint="cs"/>
                                <w:sz w:val="40"/>
                                <w:szCs w:val="40"/>
                                <w:rtl/>
                                <w:lang w:bidi="ar-EG"/>
                              </w:rPr>
                              <w:t>بِسْمِ اللّهِ الرَّحْمَنِ الرَّحِيمِ</w:t>
                            </w:r>
                          </w:p>
                          <w:p w14:paraId="6AE46D20" w14:textId="77777777" w:rsidR="00270E6A" w:rsidRDefault="00270E6A" w:rsidP="00270E6A">
                            <w:pPr>
                              <w:jc w:val="center"/>
                              <w:rPr>
                                <w:rFonts w:cs="DecoType Naskh Variants" w:hint="cs"/>
                                <w:sz w:val="8"/>
                                <w:szCs w:val="8"/>
                                <w:rtl/>
                                <w:lang w:bidi="ar-EG"/>
                              </w:rPr>
                            </w:pPr>
                          </w:p>
                          <w:p w14:paraId="583B51DF" w14:textId="77777777" w:rsidR="00270E6A" w:rsidRDefault="00270E6A" w:rsidP="00270E6A">
                            <w:pPr>
                              <w:jc w:val="center"/>
                              <w:rPr>
                                <w:rFonts w:cs="DecoType Naskh Variants" w:hint="cs"/>
                                <w:sz w:val="40"/>
                                <w:szCs w:val="40"/>
                                <w:rtl/>
                                <w:lang w:bidi="ar-EG"/>
                              </w:rPr>
                            </w:pPr>
                            <w:r>
                              <w:rPr>
                                <w:rFonts w:cs="DecoType Naskh Variants" w:hint="cs"/>
                                <w:sz w:val="40"/>
                                <w:szCs w:val="40"/>
                                <w:rtl/>
                                <w:lang w:bidi="ar-EG"/>
                              </w:rPr>
                              <w:t>"يَا أَيُّهَا الَّذِينَ آمَنُواْ اتَّقُواْ اللّهَ وَذَرُواْ مَا بَقِيَ مِنَ الرِّبَا إِن كُنتُم مُّؤْمِنِينَ"</w:t>
                            </w:r>
                          </w:p>
                          <w:p w14:paraId="76C0AB8E" w14:textId="77777777" w:rsidR="00270E6A" w:rsidRDefault="00270E6A" w:rsidP="00270E6A">
                            <w:pPr>
                              <w:jc w:val="right"/>
                              <w:rPr>
                                <w:rFonts w:cs="DecoType Naskh Variants"/>
                                <w:sz w:val="8"/>
                                <w:szCs w:val="8"/>
                                <w:lang w:bidi="ar-EG"/>
                              </w:rPr>
                            </w:pPr>
                          </w:p>
                          <w:p w14:paraId="588254BB" w14:textId="77777777" w:rsidR="00270E6A" w:rsidRDefault="00270E6A" w:rsidP="00270E6A">
                            <w:pPr>
                              <w:jc w:val="right"/>
                              <w:rPr>
                                <w:rFonts w:cs="DecoType Naskh Variants" w:hint="cs"/>
                                <w:sz w:val="40"/>
                                <w:szCs w:val="40"/>
                                <w:rtl/>
                                <w:lang w:bidi="ar-EG"/>
                              </w:rPr>
                            </w:pPr>
                            <w:r>
                              <w:rPr>
                                <w:rFonts w:cs="DecoType Naskh Variants" w:hint="cs"/>
                                <w:sz w:val="40"/>
                                <w:szCs w:val="40"/>
                                <w:rtl/>
                                <w:lang w:bidi="ar-EG"/>
                              </w:rPr>
                              <w:t>صدق الله العظيم</w:t>
                            </w:r>
                          </w:p>
                          <w:p w14:paraId="1AF96460" w14:textId="77777777" w:rsidR="00270E6A" w:rsidRDefault="00270E6A" w:rsidP="00270E6A">
                            <w:pPr>
                              <w:jc w:val="right"/>
                              <w:rPr>
                                <w:rFonts w:cs="DecoType Naskh Variants" w:hint="cs"/>
                                <w:sz w:val="40"/>
                                <w:szCs w:val="40"/>
                                <w:rtl/>
                                <w:lang w:bidi="ar-EG"/>
                              </w:rPr>
                            </w:pPr>
                            <w:r>
                              <w:rPr>
                                <w:rFonts w:cs="DecoType Naskh Variants" w:hint="cs"/>
                                <w:sz w:val="40"/>
                                <w:szCs w:val="40"/>
                                <w:rtl/>
                                <w:lang w:bidi="ar-EG"/>
                              </w:rPr>
                              <w:t>سورة البقرة (الآية 278)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3A6075" id="Rectangle: Rounded Corners 5" o:spid="_x0000_s1026" style="position:absolute;margin-left:65pt;margin-top:149.75pt;width:378.2pt;height:210.8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" strokecolor="#5b9bd5" strokeweight="2.5pt">
                <v:shadow color="#868686"/>
                <v:textbox>
                  <w:txbxContent>
                    <w:p w14:paraId="2DE95165" w14:textId="77777777" w:rsidR="00270E6A" w:rsidRDefault="00270E6A" w:rsidP="00270E6A">
                      <w:pPr>
                        <w:jc w:val="center"/>
                        <w:rPr>
                          <w:rFonts w:cs="DecoType Naskh Variants"/>
                          <w:sz w:val="40"/>
                          <w:szCs w:val="40"/>
                          <w:lang w:bidi="ar-EG"/>
                        </w:rPr>
                      </w:pPr>
                      <w:r>
                        <w:rPr>
                          <w:rFonts w:cs="DecoType Naskh Variants" w:hint="cs"/>
                          <w:sz w:val="40"/>
                          <w:szCs w:val="40"/>
                          <w:rtl/>
                          <w:lang w:bidi="ar-EG"/>
                        </w:rPr>
                        <w:t>بِسْمِ اللّهِ الرَّحْمَنِ الرَّحِيمِ</w:t>
                      </w:r>
                    </w:p>
                    <w:p w14:paraId="6AE46D20" w14:textId="77777777" w:rsidR="00270E6A" w:rsidRDefault="00270E6A" w:rsidP="00270E6A">
                      <w:pPr>
                        <w:jc w:val="center"/>
                        <w:rPr>
                          <w:rFonts w:cs="DecoType Naskh Variants" w:hint="cs"/>
                          <w:sz w:val="8"/>
                          <w:szCs w:val="8"/>
                          <w:rtl/>
                          <w:lang w:bidi="ar-EG"/>
                        </w:rPr>
                      </w:pPr>
                    </w:p>
                    <w:p w14:paraId="583B51DF" w14:textId="77777777" w:rsidR="00270E6A" w:rsidRDefault="00270E6A" w:rsidP="00270E6A">
                      <w:pPr>
                        <w:jc w:val="center"/>
                        <w:rPr>
                          <w:rFonts w:cs="DecoType Naskh Variants" w:hint="cs"/>
                          <w:sz w:val="40"/>
                          <w:szCs w:val="40"/>
                          <w:rtl/>
                          <w:lang w:bidi="ar-EG"/>
                        </w:rPr>
                      </w:pPr>
                      <w:r>
                        <w:rPr>
                          <w:rFonts w:cs="DecoType Naskh Variants" w:hint="cs"/>
                          <w:sz w:val="40"/>
                          <w:szCs w:val="40"/>
                          <w:rtl/>
                          <w:lang w:bidi="ar-EG"/>
                        </w:rPr>
                        <w:t>"يَا أَيُّهَا الَّذِينَ آمَنُواْ اتَّقُواْ اللّهَ وَذَرُواْ مَا بَقِيَ مِنَ الرِّبَا إِن كُنتُم مُّؤْمِنِينَ"</w:t>
                      </w:r>
                    </w:p>
                    <w:p w14:paraId="76C0AB8E" w14:textId="77777777" w:rsidR="00270E6A" w:rsidRDefault="00270E6A" w:rsidP="00270E6A">
                      <w:pPr>
                        <w:jc w:val="right"/>
                        <w:rPr>
                          <w:rFonts w:cs="DecoType Naskh Variants"/>
                          <w:sz w:val="8"/>
                          <w:szCs w:val="8"/>
                          <w:lang w:bidi="ar-EG"/>
                        </w:rPr>
                      </w:pPr>
                    </w:p>
                    <w:p w14:paraId="588254BB" w14:textId="77777777" w:rsidR="00270E6A" w:rsidRDefault="00270E6A" w:rsidP="00270E6A">
                      <w:pPr>
                        <w:jc w:val="right"/>
                        <w:rPr>
                          <w:rFonts w:cs="DecoType Naskh Variants" w:hint="cs"/>
                          <w:sz w:val="40"/>
                          <w:szCs w:val="40"/>
                          <w:rtl/>
                          <w:lang w:bidi="ar-EG"/>
                        </w:rPr>
                      </w:pPr>
                      <w:r>
                        <w:rPr>
                          <w:rFonts w:cs="DecoType Naskh Variants" w:hint="cs"/>
                          <w:sz w:val="40"/>
                          <w:szCs w:val="40"/>
                          <w:rtl/>
                          <w:lang w:bidi="ar-EG"/>
                        </w:rPr>
                        <w:t>صدق الله العظيم</w:t>
                      </w:r>
                    </w:p>
                    <w:p w14:paraId="1AF96460" w14:textId="77777777" w:rsidR="00270E6A" w:rsidRDefault="00270E6A" w:rsidP="00270E6A">
                      <w:pPr>
                        <w:jc w:val="right"/>
                        <w:rPr>
                          <w:rFonts w:cs="DecoType Naskh Variants" w:hint="cs"/>
                          <w:sz w:val="40"/>
                          <w:szCs w:val="40"/>
                          <w:rtl/>
                          <w:lang w:bidi="ar-EG"/>
                        </w:rPr>
                      </w:pPr>
                      <w:r>
                        <w:rPr>
                          <w:rFonts w:cs="DecoType Naskh Variants" w:hint="cs"/>
                          <w:sz w:val="40"/>
                          <w:szCs w:val="40"/>
                          <w:rtl/>
                          <w:lang w:bidi="ar-EG"/>
                        </w:rPr>
                        <w:t>سورة البقرة (الآية 278)</w:t>
                      </w:r>
                    </w:p>
                  </w:txbxContent>
                </v:textbox>
                <w10:wrap anchorx="margin" anchory="margin"/>
              </v:roundrect>
            </w:pict>
          </mc:Fallback>
        </mc:AlternateContent>
      </w:r>
      <w:r>
        <w:rPr>
          <w:rFonts w:ascii="Simplified Arabic" w:hAnsi="Simplified Arabic" w:cs="Simplified Arabic"/>
          <w:b/>
          <w:bCs/>
          <w:sz w:val="24"/>
          <w:szCs w:val="24"/>
          <w:rtl/>
          <w:lang w:bidi="ar-EG"/>
        </w:rPr>
        <w:br w:type="page"/>
      </w:r>
    </w:p>
    <w:p w14:paraId="03BB505E" w14:textId="6998A84A" w:rsidR="003E7AF1" w:rsidRDefault="003E7AF1" w:rsidP="003E7AF1">
      <w:pPr>
        <w:ind w:right="6379"/>
        <w:jc w:val="cente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lastRenderedPageBreak/>
        <w:t>جمهورية مصر العربية</w:t>
      </w:r>
    </w:p>
    <w:p w14:paraId="4406CE3D" w14:textId="5707E730" w:rsidR="003E7AF1" w:rsidRDefault="003E7AF1" w:rsidP="003E7AF1">
      <w:pPr>
        <w:ind w:right="6379"/>
        <w:jc w:val="center"/>
        <w:rPr>
          <w:rFonts w:ascii="Simplified Arabic" w:hAnsi="Simplified Arabic" w:cs="Simplified Arabic"/>
          <w:b/>
          <w:bCs/>
          <w:sz w:val="24"/>
          <w:szCs w:val="24"/>
          <w:rtl/>
          <w:lang w:bidi="ar-EG"/>
        </w:rPr>
      </w:pPr>
      <w:r>
        <w:rPr>
          <w:rFonts w:ascii="Simplified Arabic" w:hAnsi="Simplified Arabic" w:cs="Simplified Arabic"/>
          <w:b/>
          <w:bCs/>
          <w:sz w:val="24"/>
          <w:szCs w:val="24"/>
          <w:lang w:bidi="ar-EG"/>
        </w:rPr>
        <w:drawing>
          <wp:inline distT="0" distB="0" distL="0" distR="0" wp14:anchorId="0103A41B" wp14:editId="5E2BC219">
            <wp:extent cx="873760" cy="94169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8456" cy="946756"/>
                    </a:xfrm>
                    <a:prstGeom prst="rect">
                      <a:avLst/>
                    </a:prstGeom>
                    <a:noFill/>
                    <a:ln>
                      <a:noFill/>
                    </a:ln>
                  </pic:spPr>
                </pic:pic>
              </a:graphicData>
            </a:graphic>
          </wp:inline>
        </w:drawing>
      </w:r>
    </w:p>
    <w:p w14:paraId="5422BFF3" w14:textId="77777777" w:rsidR="003E7AF1" w:rsidRDefault="003E7AF1" w:rsidP="003E7AF1">
      <w:pPr>
        <w:ind w:right="6379"/>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معهد التخطيط القومي</w:t>
      </w:r>
    </w:p>
    <w:p w14:paraId="542ABA4C" w14:textId="77777777" w:rsidR="003E7AF1" w:rsidRDefault="003E7AF1" w:rsidP="003E7AF1">
      <w:pPr>
        <w:ind w:right="6379"/>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الدراسات العليا</w:t>
      </w:r>
    </w:p>
    <w:p w14:paraId="0639DA77" w14:textId="77777777" w:rsidR="003E7AF1" w:rsidRDefault="003E7AF1" w:rsidP="003E7AF1">
      <w:pPr>
        <w:ind w:left="-288" w:right="-288"/>
        <w:jc w:val="center"/>
        <w:rPr>
          <w:rFonts w:ascii="Simplified Arabic" w:hAnsi="Simplified Arabic" w:cs="Simplified Arabic"/>
          <w:b/>
          <w:bCs/>
          <w:noProof w:val="0"/>
          <w:kern w:val="24"/>
          <w:sz w:val="14"/>
          <w:szCs w:val="14"/>
          <w:lang w:bidi="ar-EG"/>
        </w:rPr>
      </w:pPr>
    </w:p>
    <w:p w14:paraId="747ECD6F" w14:textId="77777777" w:rsidR="003E7AF1" w:rsidRDefault="003E7AF1" w:rsidP="003E7AF1">
      <w:pPr>
        <w:jc w:val="center"/>
        <w:rPr>
          <w:rFonts w:ascii="Simplified Arabic" w:hAnsi="Simplified Arabic" w:cs="Simplified Arabic"/>
          <w:b/>
          <w:bCs/>
          <w:noProof w:val="0"/>
          <w:kern w:val="24"/>
          <w:sz w:val="32"/>
          <w:szCs w:val="32"/>
          <w:u w:val="single"/>
          <w:rtl/>
          <w:lang w:bidi="ar-EG"/>
        </w:rPr>
      </w:pPr>
      <w:r>
        <w:rPr>
          <w:rFonts w:ascii="Simplified Arabic" w:hAnsi="Simplified Arabic" w:cs="Simplified Arabic"/>
          <w:b/>
          <w:bCs/>
          <w:noProof w:val="0"/>
          <w:kern w:val="24"/>
          <w:sz w:val="32"/>
          <w:szCs w:val="32"/>
          <w:u w:val="single"/>
          <w:rtl/>
          <w:lang w:bidi="ar-EG"/>
        </w:rPr>
        <w:t>إجازة رسالة ماجستير في التخطيط والتنمية</w:t>
      </w:r>
    </w:p>
    <w:p w14:paraId="3F9C2318" w14:textId="77777777" w:rsidR="003E7AF1" w:rsidRDefault="003E7AF1" w:rsidP="003E7AF1">
      <w:pPr>
        <w:rPr>
          <w:rFonts w:ascii="Simplified Arabic" w:hAnsi="Simplified Arabic" w:cs="Simplified Arabic"/>
          <w:b/>
          <w:bCs/>
          <w:noProof w:val="0"/>
          <w:kern w:val="24"/>
          <w:sz w:val="32"/>
          <w:szCs w:val="32"/>
          <w:rtl/>
          <w:lang w:bidi="ar-EG"/>
        </w:rPr>
      </w:pPr>
      <w:r>
        <w:rPr>
          <w:rFonts w:ascii="Simplified Arabic" w:hAnsi="Simplified Arabic" w:cs="Simplified Arabic"/>
          <w:b/>
          <w:bCs/>
          <w:noProof w:val="0"/>
          <w:kern w:val="24"/>
          <w:sz w:val="32"/>
          <w:szCs w:val="32"/>
          <w:u w:val="single"/>
          <w:rtl/>
          <w:lang w:bidi="ar-EG"/>
        </w:rPr>
        <w:t>بعنوان</w:t>
      </w:r>
      <w:r>
        <w:rPr>
          <w:rFonts w:ascii="Simplified Arabic" w:hAnsi="Simplified Arabic" w:cs="Simplified Arabic"/>
          <w:b/>
          <w:bCs/>
          <w:noProof w:val="0"/>
          <w:kern w:val="24"/>
          <w:sz w:val="32"/>
          <w:szCs w:val="32"/>
          <w:rtl/>
          <w:lang w:bidi="ar-EG"/>
        </w:rPr>
        <w:t>: تحليل أثر الآليات المالية لتمويل عجز الموازنة العامة للدولة على التضخم في مصر</w:t>
      </w:r>
      <w:r>
        <w:rPr>
          <w:rFonts w:ascii="Simplified Arabic" w:hAnsi="Simplified Arabic" w:cs="Simplified Arabic"/>
          <w:b/>
          <w:bCs/>
          <w:noProof w:val="0"/>
          <w:kern w:val="24"/>
          <w:sz w:val="32"/>
          <w:szCs w:val="32"/>
          <w:lang w:bidi="ar-EG"/>
        </w:rPr>
        <w:t xml:space="preserve"> </w:t>
      </w:r>
      <w:r>
        <w:rPr>
          <w:rFonts w:ascii="Simplified Arabic" w:hAnsi="Simplified Arabic" w:cs="Simplified Arabic"/>
          <w:b/>
          <w:bCs/>
          <w:noProof w:val="0"/>
          <w:kern w:val="24"/>
          <w:sz w:val="32"/>
          <w:szCs w:val="32"/>
          <w:rtl/>
          <w:lang w:bidi="ar-EG"/>
        </w:rPr>
        <w:t xml:space="preserve">خلال الفترة (1991 – 2016)، </w:t>
      </w:r>
      <w:r>
        <w:rPr>
          <w:rFonts w:ascii="Simplified Arabic" w:hAnsi="Simplified Arabic" w:cs="Simplified Arabic"/>
          <w:b/>
          <w:bCs/>
          <w:noProof w:val="0"/>
          <w:kern w:val="24"/>
          <w:sz w:val="32"/>
          <w:szCs w:val="32"/>
          <w:u w:val="single"/>
          <w:rtl/>
          <w:lang w:bidi="ar-EG"/>
        </w:rPr>
        <w:t>الباحث</w:t>
      </w:r>
      <w:r>
        <w:rPr>
          <w:rFonts w:ascii="Simplified Arabic" w:hAnsi="Simplified Arabic" w:cs="Simplified Arabic"/>
          <w:b/>
          <w:bCs/>
          <w:noProof w:val="0"/>
          <w:kern w:val="24"/>
          <w:sz w:val="32"/>
          <w:szCs w:val="32"/>
          <w:rtl/>
          <w:lang w:bidi="ar-EG"/>
        </w:rPr>
        <w:t xml:space="preserve">: إبراهيم مرسي </w:t>
      </w:r>
      <w:proofErr w:type="spellStart"/>
      <w:r>
        <w:rPr>
          <w:rFonts w:ascii="Simplified Arabic" w:hAnsi="Simplified Arabic" w:cs="Simplified Arabic"/>
          <w:b/>
          <w:bCs/>
          <w:noProof w:val="0"/>
          <w:kern w:val="24"/>
          <w:sz w:val="32"/>
          <w:szCs w:val="32"/>
          <w:rtl/>
          <w:lang w:bidi="ar-EG"/>
        </w:rPr>
        <w:t>مرسي</w:t>
      </w:r>
      <w:proofErr w:type="spellEnd"/>
      <w:r>
        <w:rPr>
          <w:rFonts w:ascii="Simplified Arabic" w:hAnsi="Simplified Arabic" w:cs="Simplified Arabic"/>
          <w:b/>
          <w:bCs/>
          <w:noProof w:val="0"/>
          <w:kern w:val="24"/>
          <w:sz w:val="32"/>
          <w:szCs w:val="32"/>
          <w:rtl/>
          <w:lang w:bidi="ar-EG"/>
        </w:rPr>
        <w:t xml:space="preserve"> </w:t>
      </w:r>
      <w:proofErr w:type="spellStart"/>
      <w:r>
        <w:rPr>
          <w:rFonts w:ascii="Simplified Arabic" w:hAnsi="Simplified Arabic" w:cs="Simplified Arabic"/>
          <w:b/>
          <w:bCs/>
          <w:noProof w:val="0"/>
          <w:kern w:val="24"/>
          <w:sz w:val="32"/>
          <w:szCs w:val="32"/>
          <w:rtl/>
          <w:lang w:bidi="ar-EG"/>
        </w:rPr>
        <w:t>السلاموني</w:t>
      </w:r>
      <w:proofErr w:type="spellEnd"/>
    </w:p>
    <w:p w14:paraId="63FB2EA7" w14:textId="77777777" w:rsidR="003E7AF1" w:rsidRDefault="003E7AF1" w:rsidP="003E7AF1">
      <w:pPr>
        <w:bidi w:val="0"/>
        <w:jc w:val="center"/>
        <w:rPr>
          <w:rFonts w:ascii="Cambria" w:hAnsi="Cambria" w:cs="PT Bold Heading"/>
          <w:b/>
          <w:bCs/>
          <w:noProof w:val="0"/>
          <w:kern w:val="24"/>
          <w:sz w:val="32"/>
          <w:szCs w:val="32"/>
          <w:rtl/>
          <w:lang w:bidi="ar-EG"/>
        </w:rPr>
      </w:pPr>
      <w:r>
        <w:rPr>
          <w:rFonts w:ascii="Cambria" w:hAnsi="Cambria" w:cs="PT Bold Heading"/>
          <w:b/>
          <w:bCs/>
          <w:noProof w:val="0"/>
          <w:kern w:val="24"/>
          <w:sz w:val="32"/>
          <w:szCs w:val="32"/>
          <w:lang w:bidi="ar-EG"/>
        </w:rPr>
        <w:t>The Impact of Financing State Budget Deficit on</w:t>
      </w:r>
    </w:p>
    <w:p w14:paraId="36399BD4" w14:textId="77777777" w:rsidR="003E7AF1" w:rsidRDefault="003E7AF1" w:rsidP="003E7AF1">
      <w:pPr>
        <w:jc w:val="center"/>
        <w:rPr>
          <w:rFonts w:ascii="Simplified Arabic" w:hAnsi="Simplified Arabic" w:cs="Simplified Arabic"/>
          <w:b/>
          <w:bCs/>
          <w:noProof w:val="0"/>
          <w:kern w:val="24"/>
          <w:sz w:val="32"/>
          <w:szCs w:val="32"/>
          <w:lang w:bidi="ar-EG"/>
        </w:rPr>
      </w:pPr>
      <w:r>
        <w:rPr>
          <w:rFonts w:ascii="Cambria" w:hAnsi="Cambria" w:cs="PT Bold Heading"/>
          <w:b/>
          <w:bCs/>
          <w:noProof w:val="0"/>
          <w:kern w:val="24"/>
          <w:sz w:val="32"/>
          <w:szCs w:val="32"/>
          <w:lang w:bidi="ar-EG"/>
        </w:rPr>
        <w:t>Inflation in Egypt (1991- 2016)</w:t>
      </w:r>
    </w:p>
    <w:p w14:paraId="5B1BE1B7" w14:textId="77777777" w:rsidR="003E7AF1" w:rsidRDefault="003E7AF1" w:rsidP="003E7AF1">
      <w:pPr>
        <w:jc w:val="center"/>
        <w:rPr>
          <w:rFonts w:ascii="Simplified Arabic" w:hAnsi="Simplified Arabic" w:cs="Simplified Arabic"/>
          <w:b/>
          <w:bCs/>
          <w:noProof w:val="0"/>
          <w:kern w:val="24"/>
          <w:sz w:val="28"/>
          <w:szCs w:val="28"/>
          <w:rtl/>
          <w:lang w:bidi="ar-EG"/>
        </w:rPr>
      </w:pPr>
    </w:p>
    <w:p w14:paraId="57AF112E" w14:textId="77777777" w:rsidR="003E7AF1" w:rsidRDefault="003E7AF1" w:rsidP="003E7AF1">
      <w:pPr>
        <w:jc w:val="center"/>
        <w:rPr>
          <w:rFonts w:ascii="Simplified Arabic" w:hAnsi="Simplified Arabic" w:cs="Simplified Arabic"/>
          <w:b/>
          <w:bCs/>
          <w:noProof w:val="0"/>
          <w:kern w:val="24"/>
          <w:sz w:val="32"/>
          <w:szCs w:val="32"/>
          <w:u w:val="single"/>
          <w:rtl/>
          <w:lang w:bidi="ar-EG"/>
        </w:rPr>
      </w:pPr>
      <w:r>
        <w:rPr>
          <w:rFonts w:ascii="Simplified Arabic" w:hAnsi="Simplified Arabic" w:cs="Simplified Arabic"/>
          <w:b/>
          <w:bCs/>
          <w:noProof w:val="0"/>
          <w:kern w:val="24"/>
          <w:sz w:val="32"/>
          <w:szCs w:val="32"/>
          <w:u w:val="single"/>
          <w:rtl/>
          <w:lang w:bidi="ar-EG"/>
        </w:rPr>
        <w:t>لجنة المناقشة والحكم</w:t>
      </w:r>
    </w:p>
    <w:tbl>
      <w:tblPr>
        <w:tblStyle w:val="a"/>
        <w:bidiVisual/>
        <w:tblW w:w="8957" w:type="dxa"/>
        <w:jc w:val="center"/>
        <w:tblInd w:w="0" w:type="dxa"/>
        <w:tblLook w:val="04A0" w:firstRow="1" w:lastRow="0" w:firstColumn="1" w:lastColumn="0" w:noHBand="0" w:noVBand="1"/>
      </w:tblPr>
      <w:tblGrid>
        <w:gridCol w:w="4523"/>
        <w:gridCol w:w="1017"/>
        <w:gridCol w:w="3417"/>
      </w:tblGrid>
      <w:tr w:rsidR="003E7AF1" w14:paraId="2C94C7D9" w14:textId="77777777" w:rsidTr="003E7AF1">
        <w:trPr>
          <w:jc w:val="center"/>
        </w:trPr>
        <w:tc>
          <w:tcPr>
            <w:tcW w:w="4620" w:type="dxa"/>
            <w:vAlign w:val="center"/>
            <w:hideMark/>
          </w:tcPr>
          <w:p w14:paraId="7232FA88" w14:textId="77777777" w:rsidR="003E7AF1" w:rsidRDefault="003E7AF1">
            <w:pPr>
              <w:jc w:val="center"/>
              <w:rPr>
                <w:rFonts w:ascii="Simplified Arabic" w:hAnsi="Simplified Arabic" w:cs="Simplified Arabic"/>
                <w:b/>
                <w:bCs/>
                <w:noProof w:val="0"/>
                <w:kern w:val="24"/>
                <w:sz w:val="32"/>
                <w:szCs w:val="32"/>
                <w:rtl/>
                <w:lang w:bidi="ar-EG"/>
              </w:rPr>
            </w:pPr>
            <w:r>
              <w:rPr>
                <w:rFonts w:ascii="Simplified Arabic" w:hAnsi="Simplified Arabic" w:cs="Simplified Arabic"/>
                <w:b/>
                <w:bCs/>
                <w:noProof w:val="0"/>
                <w:kern w:val="24"/>
                <w:sz w:val="32"/>
                <w:szCs w:val="32"/>
                <w:rtl/>
                <w:lang w:bidi="ar-EG"/>
              </w:rPr>
              <w:t>أ.د./ أشرف السيد العربي</w:t>
            </w:r>
          </w:p>
          <w:p w14:paraId="28C23808" w14:textId="77777777" w:rsidR="003E7AF1" w:rsidRDefault="003E7AF1">
            <w:pPr>
              <w:jc w:val="center"/>
              <w:rPr>
                <w:rFonts w:ascii="Simplified Arabic" w:hAnsi="Simplified Arabic" w:cs="Simplified Arabic"/>
                <w:b/>
                <w:bCs/>
                <w:noProof w:val="0"/>
                <w:kern w:val="24"/>
                <w:sz w:val="28"/>
                <w:szCs w:val="28"/>
                <w:rtl/>
                <w:lang w:bidi="ar-EG"/>
              </w:rPr>
            </w:pPr>
            <w:r>
              <w:rPr>
                <w:rFonts w:ascii="Simplified Arabic" w:hAnsi="Simplified Arabic" w:cs="Simplified Arabic"/>
                <w:b/>
                <w:bCs/>
                <w:noProof w:val="0"/>
                <w:kern w:val="24"/>
                <w:sz w:val="28"/>
                <w:szCs w:val="28"/>
                <w:rtl/>
                <w:lang w:bidi="ar-EG"/>
              </w:rPr>
              <w:t>وزير التخطيط الأسبق</w:t>
            </w:r>
          </w:p>
          <w:p w14:paraId="3DEC51DD" w14:textId="77777777" w:rsidR="003E7AF1" w:rsidRDefault="003E7AF1">
            <w:pPr>
              <w:jc w:val="center"/>
              <w:rPr>
                <w:rFonts w:ascii="Simplified Arabic" w:hAnsi="Simplified Arabic" w:cs="Simplified Arabic"/>
                <w:b/>
                <w:bCs/>
                <w:noProof w:val="0"/>
                <w:kern w:val="24"/>
                <w:sz w:val="28"/>
                <w:szCs w:val="28"/>
                <w:rtl/>
                <w:lang w:bidi="ar-EG"/>
              </w:rPr>
            </w:pPr>
            <w:r>
              <w:rPr>
                <w:rFonts w:ascii="Simplified Arabic" w:hAnsi="Simplified Arabic" w:cs="Simplified Arabic"/>
                <w:b/>
                <w:bCs/>
                <w:noProof w:val="0"/>
                <w:kern w:val="24"/>
                <w:sz w:val="28"/>
                <w:szCs w:val="28"/>
                <w:rtl/>
                <w:lang w:bidi="ar-EG"/>
              </w:rPr>
              <w:t>وأستاذ الاقتصاد بمعهد التخطيط القومي</w:t>
            </w:r>
          </w:p>
        </w:tc>
        <w:tc>
          <w:tcPr>
            <w:tcW w:w="850" w:type="dxa"/>
            <w:vAlign w:val="center"/>
          </w:tcPr>
          <w:p w14:paraId="2E0D65A6" w14:textId="77777777" w:rsidR="003E7AF1" w:rsidRDefault="003E7AF1">
            <w:pPr>
              <w:jc w:val="center"/>
              <w:rPr>
                <w:rFonts w:ascii="Simplified Arabic" w:hAnsi="Simplified Arabic" w:cs="Simplified Arabic"/>
                <w:b/>
                <w:bCs/>
                <w:noProof w:val="0"/>
                <w:kern w:val="24"/>
                <w:sz w:val="2"/>
                <w:szCs w:val="2"/>
                <w:rtl/>
                <w:lang w:bidi="ar-EG"/>
              </w:rPr>
            </w:pPr>
          </w:p>
          <w:p w14:paraId="53016D64" w14:textId="77777777" w:rsidR="003E7AF1" w:rsidRDefault="003E7AF1">
            <w:pPr>
              <w:jc w:val="center"/>
              <w:rPr>
                <w:rFonts w:ascii="Simplified Arabic" w:hAnsi="Simplified Arabic" w:cs="Simplified Arabic"/>
                <w:b/>
                <w:bCs/>
                <w:noProof w:val="0"/>
                <w:kern w:val="24"/>
                <w:sz w:val="32"/>
                <w:szCs w:val="32"/>
                <w:rtl/>
                <w:lang w:bidi="ar-EG"/>
              </w:rPr>
            </w:pPr>
            <w:r>
              <w:rPr>
                <w:rFonts w:ascii="Simplified Arabic" w:hAnsi="Simplified Arabic" w:cs="Simplified Arabic"/>
                <w:b/>
                <w:bCs/>
                <w:noProof w:val="0"/>
                <w:kern w:val="24"/>
                <w:sz w:val="32"/>
                <w:szCs w:val="32"/>
                <w:rtl/>
                <w:lang w:bidi="ar-EG"/>
              </w:rPr>
              <w:t>التوقيع:</w:t>
            </w:r>
          </w:p>
        </w:tc>
        <w:tc>
          <w:tcPr>
            <w:tcW w:w="3487" w:type="dxa"/>
            <w:vAlign w:val="center"/>
          </w:tcPr>
          <w:p w14:paraId="78CE783B" w14:textId="77777777" w:rsidR="003E7AF1" w:rsidRDefault="003E7AF1">
            <w:pPr>
              <w:jc w:val="center"/>
              <w:rPr>
                <w:rFonts w:ascii="Simplified Arabic" w:hAnsi="Simplified Arabic" w:cs="Simplified Arabic"/>
                <w:b/>
                <w:bCs/>
                <w:noProof w:val="0"/>
                <w:kern w:val="24"/>
                <w:sz w:val="32"/>
                <w:szCs w:val="32"/>
                <w:rtl/>
                <w:lang w:bidi="ar-EG"/>
              </w:rPr>
            </w:pPr>
            <w:r>
              <w:rPr>
                <w:rFonts w:ascii="Simplified Arabic" w:hAnsi="Simplified Arabic" w:cs="Simplified Arabic"/>
                <w:b/>
                <w:bCs/>
                <w:noProof w:val="0"/>
                <w:kern w:val="24"/>
                <w:sz w:val="32"/>
                <w:szCs w:val="32"/>
                <w:rtl/>
                <w:lang w:bidi="ar-EG"/>
              </w:rPr>
              <w:t>(محكماً ورئيساً)</w:t>
            </w:r>
          </w:p>
          <w:p w14:paraId="23E766A6" w14:textId="77777777" w:rsidR="003E7AF1" w:rsidRDefault="003E7AF1">
            <w:pPr>
              <w:jc w:val="center"/>
              <w:rPr>
                <w:rFonts w:ascii="Simplified Arabic" w:hAnsi="Simplified Arabic" w:cs="Simplified Arabic"/>
                <w:b/>
                <w:bCs/>
                <w:noProof w:val="0"/>
                <w:kern w:val="24"/>
                <w:sz w:val="32"/>
                <w:szCs w:val="32"/>
                <w:rtl/>
                <w:lang w:bidi="ar-EG"/>
              </w:rPr>
            </w:pPr>
          </w:p>
          <w:p w14:paraId="7F59A17A" w14:textId="77777777" w:rsidR="003E7AF1" w:rsidRDefault="003E7AF1">
            <w:pPr>
              <w:rPr>
                <w:rFonts w:ascii="Simplified Arabic" w:hAnsi="Simplified Arabic" w:cs="Simplified Arabic"/>
                <w:b/>
                <w:bCs/>
                <w:noProof w:val="0"/>
                <w:kern w:val="24"/>
                <w:sz w:val="32"/>
                <w:szCs w:val="32"/>
                <w:rtl/>
                <w:lang w:bidi="ar-EG"/>
              </w:rPr>
            </w:pPr>
          </w:p>
        </w:tc>
      </w:tr>
      <w:tr w:rsidR="003E7AF1" w14:paraId="6D3EFB04" w14:textId="77777777" w:rsidTr="003E7AF1">
        <w:trPr>
          <w:jc w:val="center"/>
        </w:trPr>
        <w:tc>
          <w:tcPr>
            <w:tcW w:w="4620" w:type="dxa"/>
            <w:vAlign w:val="center"/>
            <w:hideMark/>
          </w:tcPr>
          <w:p w14:paraId="62C3937E" w14:textId="77777777" w:rsidR="003E7AF1" w:rsidRDefault="003E7AF1">
            <w:pPr>
              <w:jc w:val="center"/>
              <w:rPr>
                <w:rFonts w:ascii="Simplified Arabic" w:hAnsi="Simplified Arabic" w:cs="Simplified Arabic"/>
                <w:b/>
                <w:bCs/>
                <w:noProof w:val="0"/>
                <w:kern w:val="24"/>
                <w:sz w:val="32"/>
                <w:szCs w:val="32"/>
                <w:rtl/>
                <w:lang w:bidi="ar-EG"/>
              </w:rPr>
            </w:pPr>
            <w:r>
              <w:rPr>
                <w:rFonts w:ascii="Simplified Arabic" w:hAnsi="Simplified Arabic" w:cs="Simplified Arabic"/>
                <w:b/>
                <w:bCs/>
                <w:noProof w:val="0"/>
                <w:kern w:val="24"/>
                <w:sz w:val="32"/>
                <w:szCs w:val="32"/>
                <w:rtl/>
                <w:lang w:bidi="ar-EG"/>
              </w:rPr>
              <w:t>أ.د./ خالــد زكريــا أمين</w:t>
            </w:r>
          </w:p>
          <w:p w14:paraId="03FE2371" w14:textId="77777777" w:rsidR="003E7AF1" w:rsidRDefault="003E7AF1">
            <w:pPr>
              <w:jc w:val="center"/>
              <w:rPr>
                <w:rFonts w:ascii="Simplified Arabic" w:hAnsi="Simplified Arabic" w:cs="Simplified Arabic"/>
                <w:b/>
                <w:bCs/>
                <w:noProof w:val="0"/>
                <w:kern w:val="24"/>
                <w:sz w:val="28"/>
                <w:szCs w:val="28"/>
                <w:rtl/>
                <w:lang w:bidi="ar-EG"/>
              </w:rPr>
            </w:pPr>
            <w:r>
              <w:rPr>
                <w:rFonts w:ascii="Simplified Arabic" w:hAnsi="Simplified Arabic" w:cs="Simplified Arabic"/>
                <w:b/>
                <w:bCs/>
                <w:noProof w:val="0"/>
                <w:kern w:val="24"/>
                <w:sz w:val="28"/>
                <w:szCs w:val="28"/>
                <w:rtl/>
                <w:lang w:bidi="ar-EG"/>
              </w:rPr>
              <w:t>أستاذ الإدارة العامة، ومدير مركز السياسات الاقتصادية الكلية بمعهد التخطيط القومي</w:t>
            </w:r>
          </w:p>
        </w:tc>
        <w:tc>
          <w:tcPr>
            <w:tcW w:w="850" w:type="dxa"/>
            <w:vAlign w:val="center"/>
          </w:tcPr>
          <w:p w14:paraId="47A25149" w14:textId="77777777" w:rsidR="003E7AF1" w:rsidRDefault="003E7AF1">
            <w:pPr>
              <w:jc w:val="center"/>
              <w:rPr>
                <w:rFonts w:ascii="Simplified Arabic" w:hAnsi="Simplified Arabic" w:cs="Simplified Arabic"/>
                <w:b/>
                <w:bCs/>
                <w:noProof w:val="0"/>
                <w:kern w:val="24"/>
                <w:sz w:val="6"/>
                <w:szCs w:val="6"/>
                <w:rtl/>
                <w:lang w:bidi="ar-EG"/>
              </w:rPr>
            </w:pPr>
          </w:p>
          <w:p w14:paraId="39152FF1" w14:textId="77777777" w:rsidR="003E7AF1" w:rsidRDefault="003E7AF1">
            <w:pPr>
              <w:jc w:val="center"/>
              <w:rPr>
                <w:rFonts w:ascii="Simplified Arabic" w:hAnsi="Simplified Arabic" w:cs="Simplified Arabic"/>
                <w:b/>
                <w:bCs/>
                <w:noProof w:val="0"/>
                <w:kern w:val="24"/>
                <w:sz w:val="32"/>
                <w:szCs w:val="32"/>
                <w:u w:val="single"/>
                <w:rtl/>
                <w:lang w:bidi="ar-EG"/>
              </w:rPr>
            </w:pPr>
            <w:r>
              <w:rPr>
                <w:rFonts w:ascii="Simplified Arabic" w:hAnsi="Simplified Arabic" w:cs="Simplified Arabic"/>
                <w:b/>
                <w:bCs/>
                <w:noProof w:val="0"/>
                <w:kern w:val="24"/>
                <w:sz w:val="32"/>
                <w:szCs w:val="32"/>
                <w:rtl/>
                <w:lang w:bidi="ar-EG"/>
              </w:rPr>
              <w:t>التوقيع:</w:t>
            </w:r>
          </w:p>
        </w:tc>
        <w:tc>
          <w:tcPr>
            <w:tcW w:w="3487" w:type="dxa"/>
            <w:vAlign w:val="center"/>
          </w:tcPr>
          <w:p w14:paraId="7CDD02E5" w14:textId="77777777" w:rsidR="003E7AF1" w:rsidRDefault="003E7AF1">
            <w:pPr>
              <w:jc w:val="center"/>
              <w:rPr>
                <w:rFonts w:ascii="Simplified Arabic" w:hAnsi="Simplified Arabic" w:cs="Simplified Arabic"/>
                <w:b/>
                <w:bCs/>
                <w:noProof w:val="0"/>
                <w:kern w:val="24"/>
                <w:sz w:val="32"/>
                <w:szCs w:val="32"/>
                <w:rtl/>
                <w:lang w:bidi="ar-EG"/>
              </w:rPr>
            </w:pPr>
            <w:r>
              <w:rPr>
                <w:rFonts w:ascii="Simplified Arabic" w:hAnsi="Simplified Arabic" w:cs="Simplified Arabic"/>
                <w:b/>
                <w:bCs/>
                <w:noProof w:val="0"/>
                <w:kern w:val="24"/>
                <w:sz w:val="32"/>
                <w:szCs w:val="32"/>
                <w:rtl/>
                <w:lang w:bidi="ar-EG"/>
              </w:rPr>
              <w:t>(مشرفاً وعضواً)</w:t>
            </w:r>
          </w:p>
          <w:p w14:paraId="45C4FCEF" w14:textId="77777777" w:rsidR="003E7AF1" w:rsidRDefault="003E7AF1">
            <w:pPr>
              <w:jc w:val="center"/>
              <w:rPr>
                <w:rFonts w:ascii="Simplified Arabic" w:hAnsi="Simplified Arabic" w:cs="Simplified Arabic"/>
                <w:b/>
                <w:bCs/>
                <w:noProof w:val="0"/>
                <w:kern w:val="24"/>
                <w:sz w:val="32"/>
                <w:szCs w:val="32"/>
                <w:rtl/>
                <w:lang w:bidi="ar-EG"/>
              </w:rPr>
            </w:pPr>
          </w:p>
          <w:p w14:paraId="31282C79" w14:textId="77777777" w:rsidR="003E7AF1" w:rsidRDefault="003E7AF1">
            <w:pPr>
              <w:rPr>
                <w:rFonts w:ascii="Simplified Arabic" w:hAnsi="Simplified Arabic" w:cs="Simplified Arabic"/>
                <w:b/>
                <w:bCs/>
                <w:noProof w:val="0"/>
                <w:kern w:val="24"/>
                <w:sz w:val="32"/>
                <w:szCs w:val="32"/>
                <w:rtl/>
                <w:lang w:bidi="ar-EG"/>
              </w:rPr>
            </w:pPr>
          </w:p>
        </w:tc>
      </w:tr>
      <w:tr w:rsidR="003E7AF1" w14:paraId="3054152F" w14:textId="77777777" w:rsidTr="003E7AF1">
        <w:trPr>
          <w:jc w:val="center"/>
        </w:trPr>
        <w:tc>
          <w:tcPr>
            <w:tcW w:w="4620" w:type="dxa"/>
            <w:vAlign w:val="center"/>
            <w:hideMark/>
          </w:tcPr>
          <w:p w14:paraId="2430B939" w14:textId="77777777" w:rsidR="003E7AF1" w:rsidRDefault="003E7AF1">
            <w:pPr>
              <w:jc w:val="center"/>
              <w:rPr>
                <w:rFonts w:ascii="Simplified Arabic" w:hAnsi="Simplified Arabic" w:cs="Simplified Arabic"/>
                <w:b/>
                <w:bCs/>
                <w:noProof w:val="0"/>
                <w:kern w:val="24"/>
                <w:sz w:val="32"/>
                <w:szCs w:val="32"/>
                <w:rtl/>
                <w:lang w:bidi="ar-EG"/>
              </w:rPr>
            </w:pPr>
            <w:r>
              <w:rPr>
                <w:rFonts w:ascii="Simplified Arabic" w:hAnsi="Simplified Arabic" w:cs="Simplified Arabic"/>
                <w:b/>
                <w:bCs/>
                <w:noProof w:val="0"/>
                <w:kern w:val="24"/>
                <w:sz w:val="32"/>
                <w:szCs w:val="32"/>
                <w:rtl/>
                <w:lang w:bidi="ar-EG"/>
              </w:rPr>
              <w:t>د./ حجـازي عبد الحميد الجـزار</w:t>
            </w:r>
          </w:p>
          <w:p w14:paraId="7C3E816A" w14:textId="77777777" w:rsidR="003E7AF1" w:rsidRDefault="003E7AF1">
            <w:pPr>
              <w:jc w:val="center"/>
              <w:rPr>
                <w:rFonts w:ascii="Simplified Arabic" w:hAnsi="Simplified Arabic" w:cs="Simplified Arabic"/>
                <w:b/>
                <w:bCs/>
                <w:noProof w:val="0"/>
                <w:kern w:val="24"/>
                <w:sz w:val="28"/>
                <w:szCs w:val="28"/>
                <w:rtl/>
                <w:lang w:bidi="ar-EG"/>
              </w:rPr>
            </w:pPr>
            <w:r>
              <w:rPr>
                <w:rFonts w:ascii="Simplified Arabic" w:hAnsi="Simplified Arabic" w:cs="Simplified Arabic"/>
                <w:b/>
                <w:bCs/>
                <w:noProof w:val="0"/>
                <w:kern w:val="24"/>
                <w:sz w:val="28"/>
                <w:szCs w:val="28"/>
                <w:rtl/>
                <w:lang w:bidi="ar-EG"/>
              </w:rPr>
              <w:t>أستاذ الاقتصاد المساعد، ومدير مركز العلاقات الاقتصادية الدولية سابقاً بمعهد التخطيط القومي</w:t>
            </w:r>
          </w:p>
        </w:tc>
        <w:tc>
          <w:tcPr>
            <w:tcW w:w="850" w:type="dxa"/>
            <w:vAlign w:val="center"/>
          </w:tcPr>
          <w:p w14:paraId="04F7CB2E" w14:textId="77777777" w:rsidR="003E7AF1" w:rsidRDefault="003E7AF1">
            <w:pPr>
              <w:jc w:val="center"/>
              <w:rPr>
                <w:rFonts w:ascii="Simplified Arabic" w:hAnsi="Simplified Arabic" w:cs="Simplified Arabic"/>
                <w:b/>
                <w:bCs/>
                <w:noProof w:val="0"/>
                <w:kern w:val="24"/>
                <w:sz w:val="6"/>
                <w:szCs w:val="6"/>
                <w:rtl/>
                <w:lang w:bidi="ar-EG"/>
              </w:rPr>
            </w:pPr>
          </w:p>
          <w:p w14:paraId="313A4701" w14:textId="77777777" w:rsidR="003E7AF1" w:rsidRDefault="003E7AF1">
            <w:pPr>
              <w:jc w:val="center"/>
              <w:rPr>
                <w:rFonts w:ascii="Simplified Arabic" w:hAnsi="Simplified Arabic" w:cs="Simplified Arabic"/>
                <w:b/>
                <w:bCs/>
                <w:noProof w:val="0"/>
                <w:kern w:val="24"/>
                <w:sz w:val="32"/>
                <w:szCs w:val="32"/>
                <w:u w:val="single"/>
                <w:rtl/>
                <w:lang w:bidi="ar-EG"/>
              </w:rPr>
            </w:pPr>
            <w:r>
              <w:rPr>
                <w:rFonts w:ascii="Simplified Arabic" w:hAnsi="Simplified Arabic" w:cs="Simplified Arabic"/>
                <w:b/>
                <w:bCs/>
                <w:noProof w:val="0"/>
                <w:kern w:val="24"/>
                <w:sz w:val="32"/>
                <w:szCs w:val="32"/>
                <w:rtl/>
                <w:lang w:bidi="ar-EG"/>
              </w:rPr>
              <w:t>التوقيع:</w:t>
            </w:r>
          </w:p>
        </w:tc>
        <w:tc>
          <w:tcPr>
            <w:tcW w:w="3487" w:type="dxa"/>
            <w:vAlign w:val="center"/>
          </w:tcPr>
          <w:p w14:paraId="23C2BA0C" w14:textId="77777777" w:rsidR="003E7AF1" w:rsidRDefault="003E7AF1">
            <w:pPr>
              <w:jc w:val="center"/>
              <w:rPr>
                <w:rFonts w:ascii="Simplified Arabic" w:hAnsi="Simplified Arabic" w:cs="Simplified Arabic"/>
                <w:b/>
                <w:bCs/>
                <w:noProof w:val="0"/>
                <w:kern w:val="24"/>
                <w:sz w:val="32"/>
                <w:szCs w:val="32"/>
                <w:rtl/>
                <w:lang w:bidi="ar-EG"/>
              </w:rPr>
            </w:pPr>
            <w:r>
              <w:rPr>
                <w:rFonts w:ascii="Simplified Arabic" w:hAnsi="Simplified Arabic" w:cs="Simplified Arabic"/>
                <w:b/>
                <w:bCs/>
                <w:noProof w:val="0"/>
                <w:kern w:val="24"/>
                <w:sz w:val="32"/>
                <w:szCs w:val="32"/>
                <w:rtl/>
                <w:lang w:bidi="ar-EG"/>
              </w:rPr>
              <w:t>(مشرفاً مشاركاً وعضواً)</w:t>
            </w:r>
          </w:p>
          <w:p w14:paraId="0068192F" w14:textId="77777777" w:rsidR="003E7AF1" w:rsidRDefault="003E7AF1">
            <w:pPr>
              <w:jc w:val="center"/>
              <w:rPr>
                <w:rFonts w:ascii="Simplified Arabic" w:hAnsi="Simplified Arabic" w:cs="Simplified Arabic"/>
                <w:b/>
                <w:bCs/>
                <w:noProof w:val="0"/>
                <w:kern w:val="24"/>
                <w:sz w:val="32"/>
                <w:szCs w:val="32"/>
                <w:rtl/>
                <w:lang w:bidi="ar-EG"/>
              </w:rPr>
            </w:pPr>
          </w:p>
          <w:p w14:paraId="349AC3BE" w14:textId="77777777" w:rsidR="003E7AF1" w:rsidRDefault="003E7AF1">
            <w:pPr>
              <w:rPr>
                <w:rFonts w:ascii="Simplified Arabic" w:hAnsi="Simplified Arabic" w:cs="Simplified Arabic"/>
                <w:b/>
                <w:bCs/>
                <w:noProof w:val="0"/>
                <w:kern w:val="24"/>
                <w:sz w:val="32"/>
                <w:szCs w:val="32"/>
                <w:rtl/>
                <w:lang w:bidi="ar-EG"/>
              </w:rPr>
            </w:pPr>
          </w:p>
        </w:tc>
      </w:tr>
      <w:tr w:rsidR="003E7AF1" w14:paraId="4404E3A1" w14:textId="77777777" w:rsidTr="003E7AF1">
        <w:trPr>
          <w:jc w:val="center"/>
        </w:trPr>
        <w:tc>
          <w:tcPr>
            <w:tcW w:w="4620" w:type="dxa"/>
            <w:vAlign w:val="center"/>
            <w:hideMark/>
          </w:tcPr>
          <w:p w14:paraId="24BD870A" w14:textId="77777777" w:rsidR="003E7AF1" w:rsidRDefault="003E7AF1">
            <w:pPr>
              <w:jc w:val="center"/>
              <w:rPr>
                <w:rFonts w:ascii="Simplified Arabic" w:hAnsi="Simplified Arabic" w:cs="Simplified Arabic"/>
                <w:b/>
                <w:bCs/>
                <w:noProof w:val="0"/>
                <w:kern w:val="24"/>
                <w:sz w:val="32"/>
                <w:szCs w:val="32"/>
                <w:rtl/>
                <w:lang w:bidi="ar-EG"/>
              </w:rPr>
            </w:pPr>
            <w:r>
              <w:rPr>
                <w:rFonts w:ascii="Simplified Arabic" w:hAnsi="Simplified Arabic" w:cs="Simplified Arabic"/>
                <w:b/>
                <w:bCs/>
                <w:noProof w:val="0"/>
                <w:kern w:val="24"/>
                <w:sz w:val="32"/>
                <w:szCs w:val="32"/>
                <w:rtl/>
                <w:lang w:bidi="ar-EG"/>
              </w:rPr>
              <w:t>د./ إسراء عادل الحسيني</w:t>
            </w:r>
          </w:p>
          <w:p w14:paraId="15F251BE" w14:textId="77777777" w:rsidR="003E7AF1" w:rsidRDefault="003E7AF1">
            <w:pPr>
              <w:jc w:val="center"/>
              <w:rPr>
                <w:rFonts w:ascii="Simplified Arabic" w:hAnsi="Simplified Arabic" w:cs="Simplified Arabic"/>
                <w:b/>
                <w:bCs/>
                <w:noProof w:val="0"/>
                <w:kern w:val="24"/>
                <w:sz w:val="28"/>
                <w:szCs w:val="28"/>
                <w:rtl/>
                <w:lang w:bidi="ar-EG"/>
              </w:rPr>
            </w:pPr>
            <w:r>
              <w:rPr>
                <w:rFonts w:ascii="Simplified Arabic" w:hAnsi="Simplified Arabic" w:cs="Simplified Arabic"/>
                <w:b/>
                <w:bCs/>
                <w:noProof w:val="0"/>
                <w:kern w:val="24"/>
                <w:sz w:val="28"/>
                <w:szCs w:val="28"/>
                <w:rtl/>
                <w:lang w:bidi="ar-EG"/>
              </w:rPr>
              <w:t xml:space="preserve">أستاذ الاقتصاد المساعد </w:t>
            </w:r>
          </w:p>
          <w:p w14:paraId="0C36A7F7" w14:textId="77777777" w:rsidR="003E7AF1" w:rsidRDefault="003E7AF1">
            <w:pPr>
              <w:jc w:val="center"/>
              <w:rPr>
                <w:rFonts w:ascii="Simplified Arabic" w:hAnsi="Simplified Arabic" w:cs="Simplified Arabic"/>
                <w:b/>
                <w:bCs/>
                <w:noProof w:val="0"/>
                <w:kern w:val="24"/>
                <w:sz w:val="28"/>
                <w:szCs w:val="28"/>
                <w:rtl/>
                <w:lang w:bidi="ar-EG"/>
              </w:rPr>
            </w:pPr>
            <w:r>
              <w:rPr>
                <w:rFonts w:ascii="Simplified Arabic" w:hAnsi="Simplified Arabic" w:cs="Simplified Arabic"/>
                <w:b/>
                <w:bCs/>
                <w:noProof w:val="0"/>
                <w:kern w:val="24"/>
                <w:sz w:val="28"/>
                <w:szCs w:val="28"/>
                <w:rtl/>
                <w:lang w:bidi="ar-EG"/>
              </w:rPr>
              <w:t>كلية الاقتصاد والعلوم السياسية بجامعة القاهرة</w:t>
            </w:r>
          </w:p>
        </w:tc>
        <w:tc>
          <w:tcPr>
            <w:tcW w:w="850" w:type="dxa"/>
            <w:vAlign w:val="center"/>
          </w:tcPr>
          <w:p w14:paraId="27D65C37" w14:textId="77777777" w:rsidR="003E7AF1" w:rsidRDefault="003E7AF1">
            <w:pPr>
              <w:jc w:val="center"/>
              <w:rPr>
                <w:rFonts w:ascii="Simplified Arabic" w:hAnsi="Simplified Arabic" w:cs="Simplified Arabic"/>
                <w:b/>
                <w:bCs/>
                <w:noProof w:val="0"/>
                <w:kern w:val="24"/>
                <w:sz w:val="2"/>
                <w:szCs w:val="2"/>
                <w:rtl/>
                <w:lang w:bidi="ar-EG"/>
              </w:rPr>
            </w:pPr>
          </w:p>
          <w:p w14:paraId="659C6745" w14:textId="77777777" w:rsidR="003E7AF1" w:rsidRDefault="003E7AF1">
            <w:pPr>
              <w:jc w:val="center"/>
              <w:rPr>
                <w:rFonts w:ascii="Simplified Arabic" w:hAnsi="Simplified Arabic" w:cs="Simplified Arabic"/>
                <w:b/>
                <w:bCs/>
                <w:noProof w:val="0"/>
                <w:kern w:val="24"/>
                <w:sz w:val="32"/>
                <w:szCs w:val="32"/>
                <w:u w:val="single"/>
                <w:rtl/>
                <w:lang w:bidi="ar-EG"/>
              </w:rPr>
            </w:pPr>
            <w:r>
              <w:rPr>
                <w:rFonts w:ascii="Simplified Arabic" w:hAnsi="Simplified Arabic" w:cs="Simplified Arabic"/>
                <w:b/>
                <w:bCs/>
                <w:noProof w:val="0"/>
                <w:kern w:val="24"/>
                <w:sz w:val="32"/>
                <w:szCs w:val="32"/>
                <w:rtl/>
                <w:lang w:bidi="ar-EG"/>
              </w:rPr>
              <w:t>التوقيع:</w:t>
            </w:r>
          </w:p>
        </w:tc>
        <w:tc>
          <w:tcPr>
            <w:tcW w:w="3487" w:type="dxa"/>
            <w:vAlign w:val="center"/>
          </w:tcPr>
          <w:p w14:paraId="3C32B23C" w14:textId="77777777" w:rsidR="003E7AF1" w:rsidRDefault="003E7AF1">
            <w:pPr>
              <w:jc w:val="center"/>
              <w:rPr>
                <w:rFonts w:ascii="Simplified Arabic" w:hAnsi="Simplified Arabic" w:cs="Simplified Arabic"/>
                <w:b/>
                <w:bCs/>
                <w:noProof w:val="0"/>
                <w:kern w:val="24"/>
                <w:sz w:val="32"/>
                <w:szCs w:val="32"/>
                <w:rtl/>
                <w:lang w:bidi="ar-EG"/>
              </w:rPr>
            </w:pPr>
            <w:r>
              <w:rPr>
                <w:rFonts w:ascii="Simplified Arabic" w:hAnsi="Simplified Arabic" w:cs="Simplified Arabic"/>
                <w:b/>
                <w:bCs/>
                <w:noProof w:val="0"/>
                <w:kern w:val="24"/>
                <w:sz w:val="32"/>
                <w:szCs w:val="32"/>
                <w:rtl/>
                <w:lang w:bidi="ar-EG"/>
              </w:rPr>
              <w:t>(محكماً وعضواً)</w:t>
            </w:r>
          </w:p>
          <w:p w14:paraId="7FEC7E69" w14:textId="77777777" w:rsidR="003E7AF1" w:rsidRDefault="003E7AF1">
            <w:pPr>
              <w:jc w:val="center"/>
              <w:rPr>
                <w:rFonts w:ascii="Simplified Arabic" w:hAnsi="Simplified Arabic" w:cs="Simplified Arabic"/>
                <w:b/>
                <w:bCs/>
                <w:noProof w:val="0"/>
                <w:kern w:val="24"/>
                <w:sz w:val="32"/>
                <w:szCs w:val="32"/>
                <w:rtl/>
                <w:lang w:bidi="ar-EG"/>
              </w:rPr>
            </w:pPr>
          </w:p>
          <w:p w14:paraId="2EBA8173" w14:textId="77777777" w:rsidR="003E7AF1" w:rsidRDefault="003E7AF1">
            <w:pPr>
              <w:rPr>
                <w:rFonts w:ascii="Simplified Arabic" w:hAnsi="Simplified Arabic" w:cs="Simplified Arabic"/>
                <w:b/>
                <w:bCs/>
                <w:noProof w:val="0"/>
                <w:kern w:val="24"/>
                <w:sz w:val="32"/>
                <w:szCs w:val="32"/>
                <w:rtl/>
                <w:lang w:bidi="ar-EG"/>
              </w:rPr>
            </w:pPr>
          </w:p>
        </w:tc>
      </w:tr>
    </w:tbl>
    <w:p w14:paraId="0A9D82F0" w14:textId="77777777" w:rsidR="003E7AF1" w:rsidRDefault="003E7AF1" w:rsidP="003E7AF1">
      <w:pPr>
        <w:jc w:val="center"/>
        <w:rPr>
          <w:rFonts w:ascii="Simplified Arabic" w:hAnsi="Simplified Arabic" w:cs="Simplified Arabic"/>
          <w:b/>
          <w:bCs/>
          <w:noProof w:val="0"/>
          <w:kern w:val="24"/>
          <w:sz w:val="28"/>
          <w:szCs w:val="28"/>
          <w:rtl/>
          <w:lang w:bidi="ar-EG"/>
        </w:rPr>
      </w:pPr>
    </w:p>
    <w:p w14:paraId="2CAE02EA" w14:textId="57B4F6CB" w:rsidR="003E7AF1" w:rsidRDefault="003E7AF1" w:rsidP="003E7AF1">
      <w:pPr>
        <w:pStyle w:val="FootnoteText"/>
        <w:jc w:val="lowKashida"/>
        <w:rPr>
          <w:rFonts w:ascii="Arial" w:hAnsi="Arial" w:cs="Arial"/>
          <w:sz w:val="28"/>
          <w:szCs w:val="28"/>
          <w:rtl/>
          <w:lang w:bidi="ar-EG"/>
        </w:rPr>
      </w:pPr>
      <w:r>
        <w:rPr>
          <w:rFonts w:ascii="Simplified Arabic" w:hAnsi="Simplified Arabic" w:cs="Simplified Arabic"/>
          <w:b/>
          <w:bCs/>
          <w:noProof w:val="0"/>
          <w:kern w:val="24"/>
          <w:sz w:val="28"/>
          <w:szCs w:val="28"/>
          <w:rtl/>
          <w:lang w:bidi="ar-EG"/>
        </w:rPr>
        <w:t xml:space="preserve">تم إجازة الرسالة </w:t>
      </w:r>
      <w:proofErr w:type="gramStart"/>
      <w:r>
        <w:rPr>
          <w:rFonts w:ascii="Simplified Arabic" w:hAnsi="Simplified Arabic" w:cs="Simplified Arabic"/>
          <w:b/>
          <w:bCs/>
          <w:noProof w:val="0"/>
          <w:kern w:val="24"/>
          <w:sz w:val="28"/>
          <w:szCs w:val="28"/>
          <w:rtl/>
          <w:lang w:bidi="ar-EG"/>
        </w:rPr>
        <w:t xml:space="preserve">بتاريخ:   </w:t>
      </w:r>
      <w:proofErr w:type="gramEnd"/>
      <w:r>
        <w:rPr>
          <w:rFonts w:ascii="Simplified Arabic" w:hAnsi="Simplified Arabic" w:cs="Simplified Arabic"/>
          <w:b/>
          <w:bCs/>
          <w:noProof w:val="0"/>
          <w:kern w:val="24"/>
          <w:sz w:val="28"/>
          <w:szCs w:val="28"/>
          <w:rtl/>
          <w:lang w:bidi="ar-EG"/>
        </w:rPr>
        <w:t xml:space="preserve">  /     /2021</w:t>
      </w:r>
    </w:p>
    <w:p w14:paraId="649FC465" w14:textId="77777777" w:rsidR="003E7AF1" w:rsidRDefault="003E7AF1" w:rsidP="003E7AF1">
      <w:pPr>
        <w:pStyle w:val="FootnoteText"/>
        <w:ind w:right="-567"/>
        <w:jc w:val="lowKashida"/>
        <w:rPr>
          <w:rFonts w:ascii="Arial" w:hAnsi="Arial" w:cs="Arial"/>
          <w:sz w:val="28"/>
          <w:szCs w:val="28"/>
          <w:lang w:bidi="ar-EG"/>
        </w:rPr>
      </w:pPr>
    </w:p>
    <w:p w14:paraId="603E30AE" w14:textId="2166A4DF" w:rsidR="003E7AF1" w:rsidRDefault="003E7AF1" w:rsidP="003E7AF1">
      <w:pPr>
        <w:pStyle w:val="FootnoteText"/>
        <w:ind w:right="-567"/>
        <w:jc w:val="lowKashida"/>
        <w:rPr>
          <w:rFonts w:ascii="Arial" w:hAnsi="Arial" w:cs="Arial"/>
          <w:sz w:val="28"/>
          <w:szCs w:val="28"/>
          <w:rtl/>
          <w:lang w:bidi="ar-EG"/>
        </w:rPr>
      </w:pPr>
    </w:p>
    <w:p w14:paraId="405A5A73" w14:textId="761BD58C" w:rsidR="00E21419" w:rsidRDefault="00E21419" w:rsidP="003E7AF1">
      <w:pPr>
        <w:rPr>
          <w:rtl/>
        </w:rPr>
      </w:pPr>
    </w:p>
    <w:p w14:paraId="0522F82F" w14:textId="77777777" w:rsidR="003E7AF1" w:rsidRDefault="003E7AF1" w:rsidP="003E7AF1">
      <w:pPr>
        <w:jc w:val="center"/>
        <w:rPr>
          <w:rFonts w:ascii="Simplified Arabic" w:hAnsi="Simplified Arabic" w:cs="Simplified Arabic"/>
          <w:b/>
          <w:bCs/>
          <w:noProof w:val="0"/>
          <w:kern w:val="24"/>
          <w:sz w:val="32"/>
          <w:szCs w:val="32"/>
          <w:u w:val="single"/>
          <w:lang w:bidi="ar-EG"/>
        </w:rPr>
      </w:pPr>
      <w:r>
        <w:rPr>
          <w:rFonts w:ascii="Simplified Arabic" w:hAnsi="Simplified Arabic" w:cs="Simplified Arabic"/>
          <w:b/>
          <w:bCs/>
          <w:noProof w:val="0"/>
          <w:kern w:val="24"/>
          <w:sz w:val="32"/>
          <w:szCs w:val="32"/>
          <w:u w:val="single"/>
          <w:rtl/>
          <w:lang w:bidi="ar-EG"/>
        </w:rPr>
        <w:lastRenderedPageBreak/>
        <w:t>شكر وتقدير</w:t>
      </w:r>
    </w:p>
    <w:p w14:paraId="2997CFCF" w14:textId="77777777" w:rsidR="003E7AF1" w:rsidRDefault="003E7AF1" w:rsidP="003E7AF1">
      <w:pPr>
        <w:ind w:firstLine="425"/>
        <w:jc w:val="both"/>
        <w:rPr>
          <w:rFonts w:ascii="Simplified Arabic" w:hAnsi="Simplified Arabic" w:cs="Simplified Arabic"/>
          <w:b/>
          <w:bCs/>
          <w:noProof w:val="0"/>
          <w:kern w:val="24"/>
          <w:sz w:val="28"/>
          <w:szCs w:val="28"/>
          <w:rtl/>
          <w:lang w:bidi="ar-EG"/>
        </w:rPr>
      </w:pPr>
    </w:p>
    <w:p w14:paraId="400BFC89" w14:textId="77777777" w:rsidR="003E7AF1" w:rsidRDefault="003E7AF1" w:rsidP="003E7AF1">
      <w:pPr>
        <w:ind w:firstLine="425"/>
        <w:jc w:val="both"/>
        <w:rPr>
          <w:rFonts w:ascii="Simplified Arabic" w:hAnsi="Simplified Arabic" w:cs="Simplified Arabic"/>
          <w:b/>
          <w:bCs/>
          <w:noProof w:val="0"/>
          <w:kern w:val="24"/>
          <w:sz w:val="28"/>
          <w:szCs w:val="28"/>
          <w:rtl/>
          <w:lang w:bidi="ar-EG"/>
        </w:rPr>
      </w:pPr>
      <w:r>
        <w:rPr>
          <w:rFonts w:ascii="Simplified Arabic" w:hAnsi="Simplified Arabic" w:cs="Simplified Arabic"/>
          <w:b/>
          <w:bCs/>
          <w:noProof w:val="0"/>
          <w:kern w:val="24"/>
          <w:sz w:val="28"/>
          <w:szCs w:val="28"/>
          <w:rtl/>
          <w:lang w:bidi="ar-EG"/>
        </w:rPr>
        <w:t xml:space="preserve">الحمد لله كما ينبغي لجلال وجهه وعظيم سلطانه، الذي أنعم علينا بفضله إتمام هذه الرسالة، </w:t>
      </w:r>
      <w:r>
        <w:rPr>
          <w:rFonts w:ascii="Simplified Arabic" w:hAnsi="Simplified Arabic" w:cs="Simplified Arabic"/>
          <w:b/>
          <w:bCs/>
          <w:noProof w:val="0"/>
          <w:kern w:val="24"/>
          <w:sz w:val="28"/>
          <w:szCs w:val="28"/>
          <w:rtl/>
          <w:lang w:bidi="ar-EG"/>
        </w:rPr>
        <w:br/>
        <w:t>ومن تمام شكر الله عز وجل شكر كل من ساعد في إتمام هذه الرسالة، ولذا أتوجه بجزيل الشكر وعظيم الامتنان لكل من:</w:t>
      </w:r>
    </w:p>
    <w:p w14:paraId="26E3E06C" w14:textId="77777777" w:rsidR="003E7AF1" w:rsidRDefault="003E7AF1" w:rsidP="003E7AF1">
      <w:pPr>
        <w:ind w:firstLine="425"/>
        <w:jc w:val="both"/>
        <w:rPr>
          <w:rFonts w:ascii="Simplified Arabic" w:hAnsi="Simplified Arabic" w:cs="Simplified Arabic"/>
          <w:b/>
          <w:bCs/>
          <w:noProof w:val="0"/>
          <w:kern w:val="24"/>
          <w:rtl/>
          <w:lang w:bidi="ar-EG"/>
        </w:rPr>
      </w:pPr>
    </w:p>
    <w:p w14:paraId="0F25621C" w14:textId="77777777" w:rsidR="003E7AF1" w:rsidRDefault="003E7AF1" w:rsidP="0041332D">
      <w:pPr>
        <w:numPr>
          <w:ilvl w:val="0"/>
          <w:numId w:val="4"/>
        </w:numPr>
        <w:ind w:left="425"/>
        <w:jc w:val="both"/>
        <w:rPr>
          <w:rFonts w:ascii="Simplified Arabic" w:hAnsi="Simplified Arabic" w:cs="Simplified Arabic"/>
          <w:b/>
          <w:bCs/>
          <w:noProof w:val="0"/>
          <w:kern w:val="24"/>
          <w:sz w:val="28"/>
          <w:szCs w:val="28"/>
          <w:rtl/>
          <w:lang w:bidi="ar-EG"/>
        </w:rPr>
      </w:pPr>
      <w:r>
        <w:rPr>
          <w:rFonts w:ascii="Simplified Arabic" w:hAnsi="Simplified Arabic" w:cs="Simplified Arabic"/>
          <w:b/>
          <w:bCs/>
          <w:noProof w:val="0"/>
          <w:kern w:val="24"/>
          <w:sz w:val="28"/>
          <w:szCs w:val="28"/>
          <w:rtl/>
          <w:lang w:bidi="ar-EG"/>
        </w:rPr>
        <w:t>السيد الدكتور/ حجـازي عبد الحميد الجـزار - أستاذ الاقتصاد المساعد، ومدير مركز العلاقات الاقتصادية الدولية سابقاً بمعهد التخطيط القومي، الذي تفضل بالإشراف على هذه الرسالة، فقد أعطى الكثير من وقته وجهده وفكره من أجل أن تخرج هذه الرسالة بهذا الشكل وكان سباقاً إلى مساعدة الباحث، فله جزيل الشكر.</w:t>
      </w:r>
    </w:p>
    <w:p w14:paraId="28317B9A" w14:textId="77777777" w:rsidR="003E7AF1" w:rsidRDefault="003E7AF1" w:rsidP="003E7AF1">
      <w:pPr>
        <w:ind w:left="425"/>
        <w:jc w:val="both"/>
        <w:rPr>
          <w:rFonts w:ascii="Simplified Arabic" w:hAnsi="Simplified Arabic" w:cs="Simplified Arabic"/>
          <w:b/>
          <w:bCs/>
          <w:noProof w:val="0"/>
          <w:kern w:val="24"/>
          <w:lang w:bidi="ar-EG"/>
        </w:rPr>
      </w:pPr>
      <w:r>
        <w:rPr>
          <w:rFonts w:ascii="Simplified Arabic" w:hAnsi="Simplified Arabic" w:cs="Simplified Arabic"/>
          <w:b/>
          <w:bCs/>
          <w:noProof w:val="0"/>
          <w:kern w:val="24"/>
          <w:rtl/>
          <w:lang w:bidi="ar-EG"/>
        </w:rPr>
        <w:t xml:space="preserve"> </w:t>
      </w:r>
    </w:p>
    <w:p w14:paraId="0D5F9BF7" w14:textId="77777777" w:rsidR="003E7AF1" w:rsidRDefault="003E7AF1" w:rsidP="0041332D">
      <w:pPr>
        <w:numPr>
          <w:ilvl w:val="0"/>
          <w:numId w:val="4"/>
        </w:numPr>
        <w:ind w:left="425"/>
        <w:jc w:val="both"/>
        <w:rPr>
          <w:rFonts w:ascii="Simplified Arabic" w:hAnsi="Simplified Arabic" w:cs="Simplified Arabic" w:hint="cs"/>
          <w:b/>
          <w:bCs/>
          <w:noProof w:val="0"/>
          <w:kern w:val="24"/>
          <w:sz w:val="28"/>
          <w:szCs w:val="28"/>
          <w:rtl/>
          <w:lang w:bidi="ar-EG"/>
        </w:rPr>
      </w:pPr>
      <w:r>
        <w:rPr>
          <w:rFonts w:ascii="Simplified Arabic" w:hAnsi="Simplified Arabic" w:cs="Simplified Arabic"/>
          <w:b/>
          <w:bCs/>
          <w:noProof w:val="0"/>
          <w:kern w:val="24"/>
          <w:sz w:val="28"/>
          <w:szCs w:val="28"/>
          <w:rtl/>
          <w:lang w:bidi="ar-EG"/>
        </w:rPr>
        <w:t>الأستاذ الدكتور/ خالد زكريا أمين – أستاذ الإدارة العامة، ومدير مركز السياسات الاقتصادية الكلية بمعهد التخطيط القومي، الذي تفضل بالإشراف على هذه الرسالة، وكانت لتوجيهاته السديدة ونصائحه القيمة أبلغ الأثر في إنجاز هذه الرسالة بهذا الشكل، فله جزيل الشكر.</w:t>
      </w:r>
    </w:p>
    <w:p w14:paraId="27EEFE1E" w14:textId="77777777" w:rsidR="003E7AF1" w:rsidRDefault="003E7AF1" w:rsidP="003E7AF1">
      <w:pPr>
        <w:pStyle w:val="ListParagraph"/>
        <w:spacing w:after="0" w:line="240" w:lineRule="auto"/>
        <w:rPr>
          <w:rFonts w:ascii="Simplified Arabic" w:hAnsi="Simplified Arabic" w:cs="Simplified Arabic"/>
          <w:b/>
          <w:bCs/>
          <w:noProof w:val="0"/>
          <w:kern w:val="24"/>
          <w:lang w:bidi="ar-EG"/>
        </w:rPr>
      </w:pPr>
    </w:p>
    <w:p w14:paraId="16977EE5" w14:textId="77777777" w:rsidR="003E7AF1" w:rsidRDefault="003E7AF1" w:rsidP="0041332D">
      <w:pPr>
        <w:numPr>
          <w:ilvl w:val="0"/>
          <w:numId w:val="4"/>
        </w:numPr>
        <w:ind w:left="425"/>
        <w:jc w:val="both"/>
        <w:rPr>
          <w:rFonts w:ascii="Simplified Arabic" w:hAnsi="Simplified Arabic" w:cs="Simplified Arabic"/>
          <w:b/>
          <w:bCs/>
          <w:noProof w:val="0"/>
          <w:kern w:val="24"/>
          <w:sz w:val="28"/>
          <w:szCs w:val="28"/>
          <w:rtl/>
          <w:lang w:bidi="ar-EG"/>
        </w:rPr>
      </w:pPr>
      <w:r>
        <w:rPr>
          <w:rFonts w:ascii="Simplified Arabic" w:hAnsi="Simplified Arabic" w:cs="Simplified Arabic"/>
          <w:b/>
          <w:bCs/>
          <w:noProof w:val="0"/>
          <w:kern w:val="24"/>
          <w:sz w:val="28"/>
          <w:szCs w:val="28"/>
          <w:rtl/>
          <w:lang w:bidi="ar-EG"/>
        </w:rPr>
        <w:t>الأستاذ الدكتور/ أشرف السيد العربي- وزير التخطيط الأسبق وأستاذ الاقتصاد بمعهد التخطيط القومي، والذي تفضل مشكوراً برئاسة لجنة المناقشة، وهو ما أعطى زخماً علمياً لهذه الرسالة، وشكل نقطة مضيئة في مسيرة الباحث، فله جزيل الشكر.</w:t>
      </w:r>
    </w:p>
    <w:p w14:paraId="4CEBE14C" w14:textId="77777777" w:rsidR="003E7AF1" w:rsidRDefault="003E7AF1" w:rsidP="003E7AF1">
      <w:pPr>
        <w:pStyle w:val="ListParagraph"/>
        <w:spacing w:after="0" w:line="240" w:lineRule="auto"/>
        <w:rPr>
          <w:rFonts w:ascii="Simplified Arabic" w:hAnsi="Simplified Arabic" w:cs="Simplified Arabic"/>
          <w:b/>
          <w:bCs/>
          <w:noProof w:val="0"/>
          <w:kern w:val="24"/>
          <w:lang w:bidi="ar-EG"/>
        </w:rPr>
      </w:pPr>
    </w:p>
    <w:p w14:paraId="102EECBD" w14:textId="77777777" w:rsidR="003E7AF1" w:rsidRDefault="003E7AF1" w:rsidP="0041332D">
      <w:pPr>
        <w:numPr>
          <w:ilvl w:val="0"/>
          <w:numId w:val="4"/>
        </w:numPr>
        <w:ind w:left="425"/>
        <w:jc w:val="both"/>
        <w:rPr>
          <w:rFonts w:ascii="Simplified Arabic" w:hAnsi="Simplified Arabic" w:cs="Simplified Arabic"/>
          <w:b/>
          <w:bCs/>
          <w:noProof w:val="0"/>
          <w:kern w:val="24"/>
          <w:sz w:val="28"/>
          <w:szCs w:val="28"/>
          <w:rtl/>
          <w:lang w:bidi="ar-EG"/>
        </w:rPr>
      </w:pPr>
      <w:r>
        <w:rPr>
          <w:rFonts w:ascii="Simplified Arabic" w:hAnsi="Simplified Arabic" w:cs="Simplified Arabic"/>
          <w:b/>
          <w:bCs/>
          <w:noProof w:val="0"/>
          <w:kern w:val="24"/>
          <w:sz w:val="28"/>
          <w:szCs w:val="28"/>
          <w:rtl/>
          <w:lang w:bidi="ar-EG"/>
        </w:rPr>
        <w:t xml:space="preserve">السيدة الدكتورة/ إسراء عادل الحسيني- أستاذ الاقتصاد المساعد بكلية الاقتصاد والعلوم السياسية بجامعة القاهرة، والتي تفضلت مشكورة بالمشاركة في لجنة المناقشة، فأثرت بخبرتها البحثية المتميزة المناقشة العلمية لهذه الرسالة، فلها جزيل الشكر. </w:t>
      </w:r>
    </w:p>
    <w:p w14:paraId="733CD71D" w14:textId="77777777" w:rsidR="003E7AF1" w:rsidRDefault="003E7AF1" w:rsidP="003E7AF1">
      <w:pPr>
        <w:ind w:firstLine="425"/>
        <w:jc w:val="both"/>
        <w:rPr>
          <w:rFonts w:ascii="Simplified Arabic" w:hAnsi="Simplified Arabic" w:cs="Simplified Arabic"/>
          <w:b/>
          <w:bCs/>
          <w:noProof w:val="0"/>
          <w:kern w:val="24"/>
          <w:sz w:val="28"/>
          <w:szCs w:val="28"/>
          <w:rtl/>
          <w:lang w:bidi="ar-EG"/>
        </w:rPr>
      </w:pPr>
    </w:p>
    <w:p w14:paraId="0015662E" w14:textId="77777777" w:rsidR="003E7AF1" w:rsidRDefault="003E7AF1" w:rsidP="003E7AF1">
      <w:pPr>
        <w:ind w:firstLine="425"/>
        <w:jc w:val="both"/>
        <w:rPr>
          <w:rFonts w:ascii="Simplified Arabic" w:hAnsi="Simplified Arabic" w:cs="Simplified Arabic"/>
          <w:b/>
          <w:bCs/>
          <w:noProof w:val="0"/>
          <w:kern w:val="24"/>
          <w:sz w:val="28"/>
          <w:szCs w:val="28"/>
          <w:rtl/>
          <w:lang w:bidi="ar-EG"/>
        </w:rPr>
      </w:pPr>
      <w:r>
        <w:rPr>
          <w:rFonts w:ascii="Simplified Arabic" w:hAnsi="Simplified Arabic" w:cs="Simplified Arabic"/>
          <w:b/>
          <w:bCs/>
          <w:noProof w:val="0"/>
          <w:kern w:val="24"/>
          <w:sz w:val="28"/>
          <w:szCs w:val="28"/>
          <w:rtl/>
          <w:lang w:bidi="ar-EG"/>
        </w:rPr>
        <w:t>كما أتوجه بخالص الشكر والتقدير لكل من ساهم في تسهيل مهمة الباحث وأخص بالشكر السادة العاملين بمكتبة معهد التخطيط القومي، والسادة العاملين بمكتبة كلية الاقتصاد والعلوم السياسية بجامعة القاهرة، والسادة العاملين بمكتبة كلية التجارة بجامعة عين شمس، وكذا كافة السادة العاملين بمعهد التخطيط القومي لما يقدموه من دعم دائم ومستمر لكافة الباحثين فلهم جميعاً جزيل الشكر.</w:t>
      </w:r>
    </w:p>
    <w:p w14:paraId="4FFDA2E4" w14:textId="77777777" w:rsidR="003E7AF1" w:rsidRDefault="003E7AF1" w:rsidP="003E7AF1">
      <w:pPr>
        <w:ind w:firstLine="425"/>
        <w:jc w:val="both"/>
        <w:rPr>
          <w:rFonts w:ascii="Simplified Arabic" w:hAnsi="Simplified Arabic" w:cs="Simplified Arabic"/>
          <w:b/>
          <w:bCs/>
          <w:noProof w:val="0"/>
          <w:kern w:val="24"/>
          <w:sz w:val="28"/>
          <w:szCs w:val="28"/>
          <w:rtl/>
          <w:lang w:bidi="ar-EG"/>
        </w:rPr>
      </w:pPr>
    </w:p>
    <w:p w14:paraId="6F822878" w14:textId="1CB08FC1" w:rsidR="003E7AF1" w:rsidRDefault="003E7AF1" w:rsidP="003E7AF1">
      <w:pPr>
        <w:bidi w:val="0"/>
        <w:rPr>
          <w:rFonts w:ascii="Simplified Arabic" w:hAnsi="Simplified Arabic" w:cs="Simplified Arabic"/>
          <w:b/>
          <w:bCs/>
          <w:noProof w:val="0"/>
          <w:kern w:val="24"/>
          <w:sz w:val="28"/>
          <w:szCs w:val="28"/>
          <w:rtl/>
          <w:lang w:bidi="ar-EG"/>
        </w:rPr>
      </w:pPr>
      <w:r>
        <w:rPr>
          <w:rFonts w:ascii="Simplified Arabic" w:hAnsi="Simplified Arabic" w:cs="Simplified Arabic"/>
          <w:b/>
          <w:bCs/>
          <w:noProof w:val="0"/>
          <w:kern w:val="24"/>
          <w:sz w:val="28"/>
          <w:szCs w:val="28"/>
          <w:rtl/>
          <w:lang w:bidi="ar-EG"/>
        </w:rPr>
        <w:t>الباحث</w:t>
      </w:r>
    </w:p>
    <w:p w14:paraId="3C879476" w14:textId="3857594C" w:rsidR="003E7AF1" w:rsidRDefault="003E7AF1">
      <w:pPr>
        <w:bidi w:val="0"/>
        <w:spacing w:after="160" w:line="259" w:lineRule="auto"/>
        <w:rPr>
          <w:rFonts w:ascii="Simplified Arabic" w:hAnsi="Simplified Arabic" w:cs="Simplified Arabic"/>
          <w:b/>
          <w:bCs/>
          <w:noProof w:val="0"/>
          <w:kern w:val="24"/>
          <w:sz w:val="28"/>
          <w:szCs w:val="28"/>
          <w:rtl/>
          <w:lang w:bidi="ar-EG"/>
        </w:rPr>
      </w:pPr>
      <w:r>
        <w:rPr>
          <w:rFonts w:ascii="Simplified Arabic" w:hAnsi="Simplified Arabic" w:cs="Simplified Arabic"/>
          <w:b/>
          <w:bCs/>
          <w:noProof w:val="0"/>
          <w:kern w:val="24"/>
          <w:sz w:val="28"/>
          <w:szCs w:val="28"/>
          <w:rtl/>
          <w:lang w:bidi="ar-EG"/>
        </w:rPr>
        <w:br w:type="page"/>
      </w:r>
    </w:p>
    <w:p w14:paraId="2E94B6EC" w14:textId="77777777" w:rsidR="003E7AF1" w:rsidRDefault="003E7AF1" w:rsidP="003E7AF1">
      <w:pPr>
        <w:ind w:left="1559" w:hanging="1559"/>
        <w:jc w:val="center"/>
        <w:rPr>
          <w:rFonts w:ascii="Simplified Arabic" w:hAnsi="Simplified Arabic" w:cs="Simplified Arabic"/>
          <w:b/>
          <w:bCs/>
          <w:noProof w:val="0"/>
          <w:kern w:val="24"/>
          <w:sz w:val="32"/>
          <w:szCs w:val="32"/>
          <w:u w:val="single"/>
          <w:lang w:bidi="ar-EG"/>
        </w:rPr>
      </w:pPr>
      <w:r>
        <w:rPr>
          <w:rFonts w:ascii="Simplified Arabic" w:hAnsi="Simplified Arabic" w:cs="Simplified Arabic"/>
          <w:b/>
          <w:bCs/>
          <w:noProof w:val="0"/>
          <w:kern w:val="24"/>
          <w:sz w:val="32"/>
          <w:szCs w:val="32"/>
          <w:u w:val="single"/>
          <w:rtl/>
          <w:lang w:bidi="ar-EG"/>
        </w:rPr>
        <w:lastRenderedPageBreak/>
        <w:t>المستخلص</w:t>
      </w:r>
    </w:p>
    <w:p w14:paraId="1A3A3FB2" w14:textId="77777777" w:rsidR="003E7AF1" w:rsidRDefault="003E7AF1" w:rsidP="003E7AF1">
      <w:pPr>
        <w:ind w:left="1559" w:hanging="1559"/>
        <w:jc w:val="center"/>
        <w:rPr>
          <w:rFonts w:ascii="Simplified Arabic" w:hAnsi="Simplified Arabic" w:cs="Simplified Arabic"/>
          <w:b/>
          <w:bCs/>
          <w:noProof w:val="0"/>
          <w:kern w:val="24"/>
          <w:sz w:val="12"/>
          <w:szCs w:val="12"/>
          <w:u w:val="single"/>
          <w:rtl/>
          <w:lang w:bidi="ar-EG"/>
        </w:rPr>
      </w:pPr>
    </w:p>
    <w:p w14:paraId="47AA5FD6" w14:textId="77777777" w:rsidR="003E7AF1" w:rsidRDefault="003E7AF1" w:rsidP="003E7AF1">
      <w:pPr>
        <w:ind w:left="1559" w:hanging="1559"/>
        <w:jc w:val="lowKashida"/>
        <w:rPr>
          <w:rFonts w:ascii="Simplified Arabic" w:hAnsi="Simplified Arabic" w:cs="Simplified Arabic"/>
          <w:b/>
          <w:bCs/>
          <w:noProof w:val="0"/>
          <w:kern w:val="24"/>
          <w:sz w:val="28"/>
          <w:szCs w:val="28"/>
          <w:rtl/>
          <w:lang w:bidi="ar-EG"/>
        </w:rPr>
      </w:pPr>
      <w:r>
        <w:rPr>
          <w:rFonts w:ascii="Simplified Arabic" w:hAnsi="Simplified Arabic" w:cs="Simplified Arabic"/>
          <w:b/>
          <w:bCs/>
          <w:noProof w:val="0"/>
          <w:kern w:val="24"/>
          <w:sz w:val="28"/>
          <w:szCs w:val="28"/>
          <w:u w:val="single"/>
          <w:rtl/>
          <w:lang w:bidi="ar-EG"/>
        </w:rPr>
        <w:t>عنوان الرسالة</w:t>
      </w:r>
      <w:r>
        <w:rPr>
          <w:rFonts w:ascii="Simplified Arabic" w:hAnsi="Simplified Arabic" w:cs="Simplified Arabic"/>
          <w:b/>
          <w:bCs/>
          <w:noProof w:val="0"/>
          <w:kern w:val="24"/>
          <w:sz w:val="28"/>
          <w:szCs w:val="28"/>
          <w:rtl/>
          <w:lang w:bidi="ar-EG"/>
        </w:rPr>
        <w:t>: تحليل أثر الآليات المالية لتمويل عجز الموازنة العامة للدولة على التضخم</w:t>
      </w:r>
      <w:r>
        <w:rPr>
          <w:rFonts w:ascii="Simplified Arabic" w:hAnsi="Simplified Arabic" w:cs="Simplified Arabic"/>
          <w:b/>
          <w:bCs/>
          <w:noProof w:val="0"/>
          <w:kern w:val="24"/>
          <w:sz w:val="28"/>
          <w:szCs w:val="28"/>
          <w:rtl/>
          <w:lang w:bidi="ar-EG"/>
        </w:rPr>
        <w:br/>
        <w:t>في مصر</w:t>
      </w:r>
      <w:r>
        <w:rPr>
          <w:rFonts w:ascii="Simplified Arabic" w:hAnsi="Simplified Arabic" w:cs="Simplified Arabic"/>
          <w:b/>
          <w:bCs/>
          <w:noProof w:val="0"/>
          <w:kern w:val="24"/>
          <w:sz w:val="28"/>
          <w:szCs w:val="28"/>
          <w:lang w:bidi="ar-EG"/>
        </w:rPr>
        <w:t xml:space="preserve"> </w:t>
      </w:r>
      <w:r>
        <w:rPr>
          <w:rFonts w:ascii="Simplified Arabic" w:hAnsi="Simplified Arabic" w:cs="Simplified Arabic"/>
          <w:b/>
          <w:bCs/>
          <w:noProof w:val="0"/>
          <w:kern w:val="24"/>
          <w:sz w:val="28"/>
          <w:szCs w:val="28"/>
          <w:rtl/>
          <w:lang w:bidi="ar-EG"/>
        </w:rPr>
        <w:t>خلال الفترة (1991 – 2016)</w:t>
      </w:r>
    </w:p>
    <w:p w14:paraId="6E2B7C37" w14:textId="77777777" w:rsidR="003E7AF1" w:rsidRDefault="003E7AF1" w:rsidP="003E7AF1">
      <w:pPr>
        <w:ind w:left="1134" w:hanging="1134"/>
        <w:jc w:val="lowKashida"/>
        <w:rPr>
          <w:rFonts w:ascii="Simplified Arabic" w:hAnsi="Simplified Arabic" w:cs="Simplified Arabic"/>
          <w:b/>
          <w:bCs/>
          <w:noProof w:val="0"/>
          <w:kern w:val="24"/>
          <w:sz w:val="28"/>
          <w:szCs w:val="28"/>
          <w:rtl/>
          <w:lang w:bidi="ar-EG"/>
        </w:rPr>
      </w:pPr>
      <w:r>
        <w:rPr>
          <w:rFonts w:ascii="Simplified Arabic" w:hAnsi="Simplified Arabic" w:cs="Simplified Arabic"/>
          <w:b/>
          <w:bCs/>
          <w:noProof w:val="0"/>
          <w:kern w:val="24"/>
          <w:sz w:val="28"/>
          <w:szCs w:val="28"/>
          <w:rtl/>
          <w:lang w:bidi="ar-EG"/>
        </w:rPr>
        <w:t xml:space="preserve">الباحث: إبراهيم مرسي </w:t>
      </w:r>
      <w:proofErr w:type="spellStart"/>
      <w:r>
        <w:rPr>
          <w:rFonts w:ascii="Simplified Arabic" w:hAnsi="Simplified Arabic" w:cs="Simplified Arabic"/>
          <w:b/>
          <w:bCs/>
          <w:noProof w:val="0"/>
          <w:kern w:val="24"/>
          <w:sz w:val="28"/>
          <w:szCs w:val="28"/>
          <w:rtl/>
          <w:lang w:bidi="ar-EG"/>
        </w:rPr>
        <w:t>مرسي</w:t>
      </w:r>
      <w:proofErr w:type="spellEnd"/>
      <w:r>
        <w:rPr>
          <w:rFonts w:ascii="Simplified Arabic" w:hAnsi="Simplified Arabic" w:cs="Simplified Arabic"/>
          <w:b/>
          <w:bCs/>
          <w:noProof w:val="0"/>
          <w:kern w:val="24"/>
          <w:sz w:val="28"/>
          <w:szCs w:val="28"/>
          <w:rtl/>
          <w:lang w:bidi="ar-EG"/>
        </w:rPr>
        <w:t xml:space="preserve"> </w:t>
      </w:r>
      <w:proofErr w:type="spellStart"/>
      <w:r>
        <w:rPr>
          <w:rFonts w:ascii="Simplified Arabic" w:hAnsi="Simplified Arabic" w:cs="Simplified Arabic"/>
          <w:b/>
          <w:bCs/>
          <w:noProof w:val="0"/>
          <w:kern w:val="24"/>
          <w:sz w:val="28"/>
          <w:szCs w:val="28"/>
          <w:rtl/>
          <w:lang w:bidi="ar-EG"/>
        </w:rPr>
        <w:t>السلاموني</w:t>
      </w:r>
      <w:proofErr w:type="spellEnd"/>
    </w:p>
    <w:p w14:paraId="15494444" w14:textId="77777777" w:rsidR="003E7AF1" w:rsidRDefault="003E7AF1" w:rsidP="003E7AF1">
      <w:pPr>
        <w:ind w:left="1134" w:hanging="1134"/>
        <w:jc w:val="lowKashida"/>
        <w:rPr>
          <w:rFonts w:ascii="Simplified Arabic" w:hAnsi="Simplified Arabic" w:cs="Simplified Arabic"/>
          <w:b/>
          <w:bCs/>
          <w:noProof w:val="0"/>
          <w:kern w:val="24"/>
          <w:sz w:val="28"/>
          <w:szCs w:val="28"/>
          <w:rtl/>
          <w:lang w:bidi="ar-EG"/>
        </w:rPr>
      </w:pPr>
      <w:r>
        <w:rPr>
          <w:rFonts w:ascii="Simplified Arabic" w:hAnsi="Simplified Arabic" w:cs="Simplified Arabic"/>
          <w:b/>
          <w:bCs/>
          <w:noProof w:val="0"/>
          <w:kern w:val="24"/>
          <w:sz w:val="28"/>
          <w:szCs w:val="28"/>
          <w:rtl/>
          <w:lang w:bidi="ar-EG"/>
        </w:rPr>
        <w:t xml:space="preserve">المشرفون: أ.د./ خالــد زكريــا أمين </w:t>
      </w:r>
      <w:r>
        <w:rPr>
          <w:rFonts w:ascii="Simplified Arabic" w:hAnsi="Simplified Arabic" w:cs="Simplified Arabic"/>
          <w:b/>
          <w:bCs/>
          <w:noProof w:val="0"/>
          <w:kern w:val="24"/>
          <w:sz w:val="28"/>
          <w:szCs w:val="28"/>
          <w:rtl/>
          <w:lang w:bidi="ar-EG"/>
        </w:rPr>
        <w:tab/>
        <w:t>د./ حجـازي عبد الحميد الجـزار</w:t>
      </w:r>
      <w:r>
        <w:rPr>
          <w:rFonts w:ascii="Simplified Arabic" w:hAnsi="Simplified Arabic" w:cs="Simplified Arabic"/>
          <w:b/>
          <w:bCs/>
          <w:noProof w:val="0"/>
          <w:kern w:val="24"/>
          <w:sz w:val="28"/>
          <w:szCs w:val="28"/>
          <w:rtl/>
          <w:lang w:bidi="ar-EG"/>
        </w:rPr>
        <w:tab/>
      </w:r>
      <w:r>
        <w:rPr>
          <w:rFonts w:ascii="Simplified Arabic" w:hAnsi="Simplified Arabic" w:cs="Simplified Arabic"/>
          <w:b/>
          <w:bCs/>
          <w:noProof w:val="0"/>
          <w:kern w:val="24"/>
          <w:sz w:val="28"/>
          <w:szCs w:val="28"/>
          <w:rtl/>
          <w:lang w:bidi="ar-EG"/>
        </w:rPr>
        <w:tab/>
        <w:t>السنة: 2021</w:t>
      </w:r>
    </w:p>
    <w:p w14:paraId="36CCA8F7" w14:textId="77777777" w:rsidR="003E7AF1" w:rsidRDefault="003E7AF1" w:rsidP="003E7AF1">
      <w:pPr>
        <w:ind w:left="1134" w:hanging="1134"/>
        <w:jc w:val="lowKashida"/>
        <w:rPr>
          <w:rFonts w:ascii="Simplified Arabic" w:hAnsi="Simplified Arabic" w:cs="Simplified Arabic"/>
          <w:b/>
          <w:bCs/>
          <w:noProof w:val="0"/>
          <w:kern w:val="24"/>
          <w:sz w:val="28"/>
          <w:szCs w:val="28"/>
          <w:rtl/>
          <w:lang w:bidi="ar-EG"/>
        </w:rPr>
      </w:pPr>
      <w:r>
        <w:rPr>
          <w:rFonts w:ascii="Simplified Arabic" w:hAnsi="Simplified Arabic" w:cs="Simplified Arabic"/>
          <w:b/>
          <w:bCs/>
          <w:noProof w:val="0"/>
          <w:kern w:val="24"/>
          <w:sz w:val="28"/>
          <w:szCs w:val="28"/>
          <w:rtl/>
          <w:lang w:bidi="ar-EG"/>
        </w:rPr>
        <w:t>الدرجة العلمية: ماجستير التخطيط والتنمية</w:t>
      </w:r>
      <w:r>
        <w:rPr>
          <w:rFonts w:ascii="Simplified Arabic" w:hAnsi="Simplified Arabic" w:cs="Simplified Arabic"/>
          <w:b/>
          <w:bCs/>
          <w:noProof w:val="0"/>
          <w:kern w:val="24"/>
          <w:sz w:val="28"/>
          <w:szCs w:val="28"/>
          <w:rtl/>
          <w:lang w:bidi="ar-EG"/>
        </w:rPr>
        <w:tab/>
      </w:r>
      <w:r>
        <w:rPr>
          <w:rFonts w:ascii="Simplified Arabic" w:hAnsi="Simplified Arabic" w:cs="Simplified Arabic"/>
          <w:b/>
          <w:bCs/>
          <w:noProof w:val="0"/>
          <w:kern w:val="24"/>
          <w:sz w:val="28"/>
          <w:szCs w:val="28"/>
          <w:rtl/>
          <w:lang w:bidi="ar-EG"/>
        </w:rPr>
        <w:tab/>
        <w:t>معهد التخطيط القومي</w:t>
      </w:r>
    </w:p>
    <w:p w14:paraId="647AD169" w14:textId="77777777" w:rsidR="003E7AF1" w:rsidRDefault="003E7AF1" w:rsidP="003E7AF1">
      <w:pPr>
        <w:spacing w:line="120" w:lineRule="auto"/>
        <w:ind w:left="1134" w:hanging="1134"/>
        <w:jc w:val="center"/>
        <w:rPr>
          <w:rFonts w:ascii="Simplified Arabic" w:hAnsi="Simplified Arabic" w:cs="Simplified Arabic"/>
          <w:b/>
          <w:bCs/>
          <w:noProof w:val="0"/>
          <w:kern w:val="24"/>
          <w:sz w:val="28"/>
          <w:szCs w:val="28"/>
          <w:rtl/>
          <w:lang w:bidi="ar-EG"/>
        </w:rPr>
      </w:pPr>
      <w:r>
        <w:rPr>
          <w:rFonts w:ascii="Simplified Arabic" w:hAnsi="Simplified Arabic" w:cs="Simplified Arabic"/>
          <w:b/>
          <w:bCs/>
          <w:noProof w:val="0"/>
          <w:kern w:val="24"/>
          <w:sz w:val="28"/>
          <w:szCs w:val="28"/>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56C0A680" w14:textId="77777777" w:rsidR="003E7AF1" w:rsidRDefault="003E7AF1" w:rsidP="003E7AF1">
      <w:pPr>
        <w:pStyle w:val="ListParagraph"/>
        <w:spacing w:after="0" w:line="240" w:lineRule="auto"/>
        <w:ind w:left="85" w:right="-23" w:firstLine="533"/>
        <w:jc w:val="both"/>
        <w:rPr>
          <w:rFonts w:ascii="Simplified Arabic" w:eastAsia="Times New Roman" w:hAnsi="Simplified Arabic" w:cs="Simplified Arabic"/>
          <w:noProof w:val="0"/>
          <w:sz w:val="28"/>
          <w:szCs w:val="28"/>
          <w:rtl/>
          <w:lang w:bidi="ar-EG"/>
        </w:rPr>
      </w:pPr>
      <w:r>
        <w:rPr>
          <w:rFonts w:ascii="Simplified Arabic" w:eastAsia="Times New Roman" w:hAnsi="Simplified Arabic" w:cs="Simplified Arabic"/>
          <w:sz w:val="28"/>
          <w:szCs w:val="28"/>
          <w:rtl/>
          <w:lang w:bidi="ar-EG"/>
        </w:rPr>
        <w:t>تَمثل هدف الدراسة</w:t>
      </w:r>
      <w:r>
        <w:rPr>
          <w:rFonts w:ascii="Simplified Arabic" w:eastAsia="Times New Roman" w:hAnsi="Simplified Arabic" w:cs="Simplified Arabic"/>
          <w:sz w:val="28"/>
          <w:szCs w:val="28"/>
          <w:lang w:bidi="ar-EG"/>
        </w:rPr>
        <w:t xml:space="preserve"> </w:t>
      </w:r>
      <w:r>
        <w:rPr>
          <w:rFonts w:ascii="Simplified Arabic" w:eastAsia="Times New Roman" w:hAnsi="Simplified Arabic" w:cs="Simplified Arabic"/>
          <w:sz w:val="28"/>
          <w:szCs w:val="28"/>
          <w:rtl/>
          <w:lang w:bidi="ar-EG"/>
        </w:rPr>
        <w:t>في تحليل وقياس</w:t>
      </w:r>
      <w:r>
        <w:rPr>
          <w:rFonts w:ascii="Simplified Arabic" w:eastAsia="Times New Roman" w:hAnsi="Simplified Arabic" w:cs="Simplified Arabic"/>
          <w:sz w:val="28"/>
          <w:szCs w:val="28"/>
          <w:lang w:bidi="ar-EG"/>
        </w:rPr>
        <w:t xml:space="preserve"> </w:t>
      </w:r>
      <w:r>
        <w:rPr>
          <w:rFonts w:ascii="Simplified Arabic" w:eastAsia="Times New Roman" w:hAnsi="Simplified Arabic" w:cs="Simplified Arabic"/>
          <w:sz w:val="28"/>
          <w:szCs w:val="28"/>
          <w:rtl/>
          <w:lang w:bidi="ar-EG"/>
        </w:rPr>
        <w:t>أثر الآليات المالية لتمويل عجز الموازنة العامة للدولة على التضخم في مصر خلال الفترة من العام المالي 1991/1992 وحتى العام المالي 2018/2019، لمعرفة أفضل آلية يمكن استخدامها لتمويل عجز الموازنة العامة للدولة ويكون لها أقل تأثير ممكن على ارتفاع الضغوط التضخمية في مصر.</w:t>
      </w:r>
    </w:p>
    <w:p w14:paraId="37C051EB" w14:textId="77777777" w:rsidR="003E7AF1" w:rsidRDefault="003E7AF1" w:rsidP="003E7AF1">
      <w:pPr>
        <w:pStyle w:val="ListParagraph"/>
        <w:spacing w:after="0" w:line="240" w:lineRule="auto"/>
        <w:ind w:left="85" w:right="-23" w:firstLine="533"/>
        <w:jc w:val="both"/>
        <w:rPr>
          <w:rFonts w:ascii="Simplified Arabic" w:eastAsia="Times New Roman" w:hAnsi="Simplified Arabic" w:cs="Simplified Arabic"/>
          <w:sz w:val="16"/>
          <w:szCs w:val="16"/>
          <w:rtl/>
          <w:lang w:bidi="ar-EG"/>
        </w:rPr>
      </w:pPr>
    </w:p>
    <w:p w14:paraId="681380E8" w14:textId="77777777" w:rsidR="003E7AF1" w:rsidRDefault="003E7AF1" w:rsidP="003E7AF1">
      <w:pPr>
        <w:pStyle w:val="ListParagraph"/>
        <w:spacing w:after="0" w:line="240" w:lineRule="auto"/>
        <w:ind w:left="85" w:right="-23" w:firstLine="533"/>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استخدمت الدراسة المنهج الوصفي لاستعراض وتحليل بيانات كل من عجز الموازنة العامة للدولة، والآليات المالية المستخدمة لتمويل هذا العجز، والرقم القياسي لأسعار المستهلكين، في مصر خلال فترة الدراسة، كما استخدمت الدراسة المنهج التحليلي القياسي لبناء نموذج قياسي يتضمن التضخم معبراً عنه بالرقم القياسي لأسعار المستهلكين (كمتغير تابع)، وعدد من المتغيرات المفسرة تمثلت في الآليات المالية لتمويل عجز الموازنة العامة للدولة، و</w:t>
      </w:r>
      <w:r>
        <w:rPr>
          <w:rFonts w:ascii="Arial" w:hAnsi="Arial"/>
          <w:sz w:val="28"/>
          <w:szCs w:val="28"/>
          <w:rtl/>
          <w:lang w:bidi="ar-EG"/>
        </w:rPr>
        <w:t>أسعار الواردات بالأسعار المحلية الثابتة، ونسبة نمو النقود إلى الناتج المحلي الإجمالي، وسعر صرف الجنيه مقابل الدولار، ومتغير وهمي يمثل عدم الاستقرار السياسي</w:t>
      </w:r>
      <w:r>
        <w:rPr>
          <w:rFonts w:ascii="Simplified Arabic" w:eastAsia="Times New Roman" w:hAnsi="Simplified Arabic" w:cs="Simplified Arabic"/>
          <w:sz w:val="28"/>
          <w:szCs w:val="28"/>
          <w:rtl/>
          <w:lang w:bidi="ar-EG"/>
        </w:rPr>
        <w:t>.</w:t>
      </w:r>
    </w:p>
    <w:p w14:paraId="4F452AA2" w14:textId="77777777" w:rsidR="003E7AF1" w:rsidRDefault="003E7AF1" w:rsidP="003E7AF1">
      <w:pPr>
        <w:pStyle w:val="ListParagraph"/>
        <w:spacing w:after="0" w:line="240" w:lineRule="auto"/>
        <w:ind w:left="85" w:right="-23" w:firstLine="533"/>
        <w:jc w:val="both"/>
        <w:rPr>
          <w:rFonts w:ascii="Simplified Arabic" w:eastAsia="Times New Roman" w:hAnsi="Simplified Arabic" w:cs="Simplified Arabic"/>
          <w:sz w:val="16"/>
          <w:szCs w:val="16"/>
          <w:rtl/>
          <w:lang w:bidi="ar-EG"/>
        </w:rPr>
      </w:pPr>
    </w:p>
    <w:p w14:paraId="2B816756" w14:textId="77777777" w:rsidR="003E7AF1" w:rsidRDefault="003E7AF1" w:rsidP="003E7AF1">
      <w:pPr>
        <w:pStyle w:val="ListParagraph"/>
        <w:spacing w:after="0" w:line="240" w:lineRule="auto"/>
        <w:ind w:left="85" w:right="-23" w:firstLine="533"/>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تمثلت أهم نتائج الدراسة في أن هناك علاقة طردية معنوية بين التمويل المحلي المصرفي لعجز الموازنة العامة والرقم القياسي لأسعار المستهلكين في مصر خلال فترة الدراسة، مما يعني أن استخدام التمويل المحلي المصرفي لعجز الموازنة العامة يزيد من الضغوط التضخمية في الاقتصاد المصري، كما ثبت وجود علاقة عكسية معنوية بين التمويل المحلي غير المصرفي والرقم القياسي لأسعار المستهلكين، مما يعني أنه يمكن استخدام التمويل المحلي غير المصرفي لتمويل عجز الموازنة العامة للمساهمة في تخفيض الضغوط التضخمية في الاقتصاد المصري، في حين لم يثبت وجود تأثير معنوي للتمويل الخارجي لعجز الموازنة العامة للدولة على الرقم القياسي لأسعار المستهلكين، كما ثبت أن هناك علاقة طردية معنوية بين كل من أسعار الواردات بالأسعار المحلية الثابتة، والمعروض النقدي نسبة إلى الناتج المحلي الإجمالي والرقم القياسي لأسعار المستهلكين، كما ثبت وجود علاقة عكسية معنوية بين سعر الصرف والرقم القياسي لأسعار المستهلكين في مصر خلال فترة الدراسة.</w:t>
      </w:r>
    </w:p>
    <w:p w14:paraId="202EF47C" w14:textId="77777777" w:rsidR="00270E6A" w:rsidRDefault="00270E6A" w:rsidP="003E7AF1">
      <w:pPr>
        <w:pStyle w:val="ListParagraph"/>
        <w:spacing w:after="0" w:line="240" w:lineRule="auto"/>
        <w:ind w:left="0" w:right="-23"/>
        <w:jc w:val="both"/>
        <w:rPr>
          <w:rFonts w:ascii="Simplified Arabic" w:eastAsia="Times New Roman" w:hAnsi="Simplified Arabic" w:cs="Simplified Arabic"/>
          <w:sz w:val="28"/>
          <w:szCs w:val="28"/>
          <w:u w:val="single"/>
          <w:rtl/>
          <w:lang w:bidi="ar-EG"/>
        </w:rPr>
      </w:pPr>
    </w:p>
    <w:p w14:paraId="352CDDA1" w14:textId="50246B23" w:rsidR="003E7AF1" w:rsidRDefault="003E7AF1" w:rsidP="003E7AF1">
      <w:pPr>
        <w:pStyle w:val="ListParagraph"/>
        <w:spacing w:after="0" w:line="240" w:lineRule="auto"/>
        <w:ind w:left="0" w:right="-23"/>
        <w:jc w:val="both"/>
        <w:rPr>
          <w:rFonts w:ascii="Arial" w:hAnsi="Arial"/>
          <w:sz w:val="32"/>
          <w:szCs w:val="32"/>
          <w:rtl/>
          <w:lang w:bidi="ar-EG"/>
        </w:rPr>
      </w:pPr>
      <w:r>
        <w:rPr>
          <w:rFonts w:ascii="Simplified Arabic" w:eastAsia="Times New Roman" w:hAnsi="Simplified Arabic" w:cs="Simplified Arabic"/>
          <w:sz w:val="28"/>
          <w:szCs w:val="28"/>
          <w:u w:val="single"/>
          <w:rtl/>
          <w:lang w:bidi="ar-EG"/>
        </w:rPr>
        <w:t>الكلمات الدالة</w:t>
      </w:r>
      <w:r>
        <w:rPr>
          <w:rFonts w:ascii="Simplified Arabic" w:eastAsia="Times New Roman" w:hAnsi="Simplified Arabic" w:cs="Simplified Arabic"/>
          <w:sz w:val="28"/>
          <w:szCs w:val="28"/>
          <w:rtl/>
          <w:lang w:bidi="ar-EG"/>
        </w:rPr>
        <w:t>: آليات تمويل عجز الموازنة – تحليل عجز الموازنة – محددات التضخم – نموذج قياسي.</w:t>
      </w:r>
    </w:p>
    <w:p w14:paraId="140AB7E0" w14:textId="77777777" w:rsidR="003E7AF1" w:rsidRDefault="003E7AF1" w:rsidP="003E7AF1">
      <w:pPr>
        <w:jc w:val="both"/>
        <w:rPr>
          <w:rFonts w:ascii="Simplified Arabic" w:hAnsi="Simplified Arabic" w:cs="Simplified Arabic"/>
          <w:noProof w:val="0"/>
          <w:sz w:val="28"/>
          <w:szCs w:val="28"/>
          <w:lang w:bidi="ar-EG"/>
        </w:rPr>
      </w:pPr>
    </w:p>
    <w:p w14:paraId="0D9C779E" w14:textId="111B935C" w:rsidR="003E7AF1" w:rsidRDefault="003E7AF1" w:rsidP="003E7AF1">
      <w:pPr>
        <w:bidi w:val="0"/>
        <w:jc w:val="both"/>
        <w:rPr>
          <w:rFonts w:ascii="Simplified Arabic" w:hAnsi="Simplified Arabic" w:cs="Simplified Arabic"/>
          <w:sz w:val="28"/>
          <w:szCs w:val="28"/>
          <w:rtl/>
          <w:lang w:bidi="ar-EG"/>
        </w:rPr>
      </w:pPr>
      <w:r>
        <w:rPr>
          <w:rFonts w:asciiTheme="minorHAnsi" w:hAnsiTheme="minorHAnsi" w:cstheme="minorBidi"/>
          <w:sz w:val="22"/>
          <w:szCs w:val="22"/>
          <w:rtl/>
        </w:rPr>
        <w:lastRenderedPageBreak/>
        <mc:AlternateContent>
          <mc:Choice Requires="wps">
            <w:drawing>
              <wp:anchor distT="0" distB="0" distL="114300" distR="114300" simplePos="0" relativeHeight="251660288" behindDoc="0" locked="0" layoutInCell="1" allowOverlap="1" wp14:anchorId="7D93F5E3" wp14:editId="1A5A3122">
                <wp:simplePos x="0" y="0"/>
                <wp:positionH relativeFrom="margin">
                  <wp:align>center</wp:align>
                </wp:positionH>
                <wp:positionV relativeFrom="margin">
                  <wp:align>center</wp:align>
                </wp:positionV>
                <wp:extent cx="5267325" cy="701040"/>
                <wp:effectExtent l="0" t="0" r="47625" b="60960"/>
                <wp:wrapNone/>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701040"/>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304CF975" w14:textId="77777777" w:rsidR="00270E6A" w:rsidRDefault="00270E6A" w:rsidP="003E7AF1">
                            <w:pPr>
                              <w:spacing w:before="120" w:after="120" w:line="288" w:lineRule="auto"/>
                              <w:jc w:val="center"/>
                              <w:rPr>
                                <w:rFonts w:ascii="Simplified Arabic" w:hAnsi="Simplified Arabic" w:cs="Simplified Arabic"/>
                                <w:b/>
                                <w:bCs/>
                                <w:color w:val="222A35" w:themeColor="text2" w:themeShade="80"/>
                                <w:sz w:val="36"/>
                                <w:szCs w:val="36"/>
                                <w:lang w:bidi="ar-EG"/>
                              </w:rPr>
                            </w:pPr>
                            <w:r>
                              <w:rPr>
                                <w:rFonts w:ascii="Simplified Arabic" w:hAnsi="Simplified Arabic" w:cs="Simplified Arabic"/>
                                <w:b/>
                                <w:bCs/>
                                <w:sz w:val="36"/>
                                <w:szCs w:val="36"/>
                                <w:rtl/>
                                <w:lang w:bidi="ar-EG"/>
                              </w:rPr>
                              <w:t>ملخص الدراسة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93F5E3" id="Rectangle: Rounded Corners 6" o:spid="_x0000_s1027" style="position:absolute;left:0;text-align:left;margin-left:0;margin-top:0;width:414.75pt;height:55.2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" fillcolor="white [3201]" strokecolor="#c9c9c9 [1942]" strokeweight="1pt">
                <v:fill color2="#dbdbdb [1302]" focus="100%" type="gradient"/>
                <v:shadow on="t" color="#525252 [1606]" opacity=".5" offset="1pt"/>
                <v:textbox>
                  <w:txbxContent>
                    <w:p w14:paraId="304CF975" w14:textId="77777777" w:rsidR="00270E6A" w:rsidRDefault="00270E6A" w:rsidP="003E7AF1">
                      <w:pPr>
                        <w:spacing w:before="120" w:after="120" w:line="288" w:lineRule="auto"/>
                        <w:jc w:val="center"/>
                        <w:rPr>
                          <w:rFonts w:ascii="Simplified Arabic" w:hAnsi="Simplified Arabic" w:cs="Simplified Arabic"/>
                          <w:b/>
                          <w:bCs/>
                          <w:color w:val="222A35" w:themeColor="text2" w:themeShade="80"/>
                          <w:sz w:val="36"/>
                          <w:szCs w:val="36"/>
                          <w:lang w:bidi="ar-EG"/>
                        </w:rPr>
                      </w:pPr>
                      <w:r>
                        <w:rPr>
                          <w:rFonts w:ascii="Simplified Arabic" w:hAnsi="Simplified Arabic" w:cs="Simplified Arabic"/>
                          <w:b/>
                          <w:bCs/>
                          <w:sz w:val="36"/>
                          <w:szCs w:val="36"/>
                          <w:rtl/>
                          <w:lang w:bidi="ar-EG"/>
                        </w:rPr>
                        <w:t>ملخص الدراسة</w:t>
                      </w:r>
                    </w:p>
                  </w:txbxContent>
                </v:textbox>
                <w10:wrap anchorx="margin" anchory="margin"/>
              </v:roundrect>
            </w:pict>
          </mc:Fallback>
        </mc:AlternateContent>
      </w:r>
      <w:r>
        <w:rPr>
          <w:rFonts w:ascii="Simplified Arabic" w:hAnsi="Simplified Arabic" w:cs="Simplified Arabic"/>
          <w:sz w:val="28"/>
          <w:szCs w:val="28"/>
          <w:rtl/>
          <w:lang w:bidi="ar-EG"/>
        </w:rPr>
        <w:br w:type="page"/>
      </w:r>
    </w:p>
    <w:p w14:paraId="46A5A83D" w14:textId="77777777" w:rsidR="003E7AF1" w:rsidRDefault="003E7AF1" w:rsidP="003E7AF1">
      <w:pPr>
        <w:pStyle w:val="ListParagraph"/>
        <w:spacing w:after="0" w:line="240" w:lineRule="auto"/>
        <w:ind w:left="85" w:right="-23" w:firstLine="531"/>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lastRenderedPageBreak/>
        <w:t>ترجع</w:t>
      </w:r>
      <w:r>
        <w:rPr>
          <w:rFonts w:ascii="Simplified Arabic" w:eastAsia="Times New Roman" w:hAnsi="Simplified Arabic" w:cs="Simplified Arabic"/>
          <w:sz w:val="28"/>
          <w:szCs w:val="28"/>
        </w:rPr>
        <w:t xml:space="preserve"> </w:t>
      </w:r>
      <w:r>
        <w:rPr>
          <w:rFonts w:ascii="Simplified Arabic" w:eastAsia="Times New Roman" w:hAnsi="Simplified Arabic" w:cs="Simplified Arabic"/>
          <w:sz w:val="28"/>
          <w:szCs w:val="28"/>
          <w:rtl/>
        </w:rPr>
        <w:t>أهمية</w:t>
      </w:r>
      <w:r>
        <w:rPr>
          <w:rFonts w:ascii="Simplified Arabic" w:eastAsia="Times New Roman" w:hAnsi="Simplified Arabic" w:cs="Simplified Arabic"/>
          <w:sz w:val="28"/>
          <w:szCs w:val="28"/>
        </w:rPr>
        <w:t xml:space="preserve"> </w:t>
      </w:r>
      <w:r>
        <w:rPr>
          <w:rFonts w:ascii="Simplified Arabic" w:eastAsia="Times New Roman" w:hAnsi="Simplified Arabic" w:cs="Simplified Arabic"/>
          <w:sz w:val="28"/>
          <w:szCs w:val="28"/>
          <w:rtl/>
        </w:rPr>
        <w:t>الدراسة</w:t>
      </w:r>
      <w:r>
        <w:rPr>
          <w:rFonts w:ascii="Simplified Arabic" w:eastAsia="Times New Roman" w:hAnsi="Simplified Arabic" w:cs="Simplified Arabic"/>
          <w:sz w:val="28"/>
          <w:szCs w:val="28"/>
        </w:rPr>
        <w:t xml:space="preserve"> </w:t>
      </w:r>
      <w:r>
        <w:rPr>
          <w:rFonts w:ascii="Simplified Arabic" w:eastAsia="Times New Roman" w:hAnsi="Simplified Arabic" w:cs="Simplified Arabic"/>
          <w:sz w:val="28"/>
          <w:szCs w:val="28"/>
          <w:rtl/>
        </w:rPr>
        <w:t xml:space="preserve">إلى محاولة تحليل وقياس أثر الآليات المالية المستخدمة لتمويل عجز الموازنة العامة للدولة على التضخم في مصر منذ البدء في برنامج الإصلاح الاقتصادي خلال العام المالي 1991/1992 وحتى العام المالي </w:t>
      </w:r>
      <w:r>
        <w:rPr>
          <w:rFonts w:ascii="Simplified Arabic" w:hAnsi="Simplified Arabic" w:cs="Simplified Arabic"/>
          <w:sz w:val="28"/>
          <w:szCs w:val="28"/>
          <w:rtl/>
          <w:lang w:bidi="ar-EG"/>
        </w:rPr>
        <w:t>2018/2019</w:t>
      </w:r>
      <w:r>
        <w:rPr>
          <w:rFonts w:ascii="Simplified Arabic" w:eastAsia="Times New Roman" w:hAnsi="Simplified Arabic" w:cs="Simplified Arabic"/>
          <w:sz w:val="28"/>
          <w:szCs w:val="28"/>
          <w:rtl/>
        </w:rPr>
        <w:t xml:space="preserve">، وذلك للتعرف على الآليات التي اتبعتها </w:t>
      </w:r>
      <w:r>
        <w:rPr>
          <w:rFonts w:ascii="Simplified Arabic" w:eastAsia="Times New Roman" w:hAnsi="Simplified Arabic" w:cs="Simplified Arabic"/>
          <w:sz w:val="28"/>
          <w:szCs w:val="28"/>
          <w:rtl/>
          <w:lang w:bidi="ar-EG"/>
        </w:rPr>
        <w:t>مصر</w:t>
      </w:r>
      <w:r>
        <w:rPr>
          <w:rFonts w:ascii="Simplified Arabic" w:eastAsia="Times New Roman" w:hAnsi="Simplified Arabic" w:cs="Simplified Arabic"/>
          <w:sz w:val="28"/>
          <w:szCs w:val="28"/>
          <w:rtl/>
        </w:rPr>
        <w:t xml:space="preserve"> لتمويل عجز الموازنة العامة للدولة خلال تلك الفترة وأثر كل منها على ارتفاع الضغوط التضخمية، ومن ثم تحديد أفضل البدائل لتمويل عجز الموازنة العامة للدولة والذي يكون له أقل تأثير ممكن على ارتفاع الضغوط التضخمية، ومن ثم تمكين واضعي السياسة الاقتصادية من اتخاذ إجراءات من شأنها إحداث تأثيرات إيجابية لخفض التضخم ومحاصرته، تحقيقاً لأهداف السياسة الاقتصادية، وعليه </w:t>
      </w:r>
      <w:r>
        <w:rPr>
          <w:rFonts w:ascii="Simplified Arabic" w:eastAsia="Times New Roman" w:hAnsi="Simplified Arabic" w:cs="Simplified Arabic"/>
          <w:sz w:val="28"/>
          <w:szCs w:val="28"/>
          <w:rtl/>
          <w:lang w:bidi="ar-EG"/>
        </w:rPr>
        <w:t>فإن الدراسة تهدف إلى:</w:t>
      </w:r>
    </w:p>
    <w:p w14:paraId="5C33FCB5" w14:textId="77777777" w:rsidR="003E7AF1" w:rsidRDefault="003E7AF1" w:rsidP="0041332D">
      <w:pPr>
        <w:pStyle w:val="ListParagraph"/>
        <w:numPr>
          <w:ilvl w:val="0"/>
          <w:numId w:val="5"/>
        </w:numPr>
        <w:spacing w:after="0" w:line="240" w:lineRule="auto"/>
        <w:ind w:left="425"/>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تحليل عجز الموازنة العامة ومصادر تمويله ومخاطر كل منها وتطور التضخم في مصر خلال الفترة 1991- 2019.</w:t>
      </w:r>
    </w:p>
    <w:p w14:paraId="51728FB5" w14:textId="77777777" w:rsidR="003E7AF1" w:rsidRDefault="003E7AF1" w:rsidP="0041332D">
      <w:pPr>
        <w:pStyle w:val="ListParagraph"/>
        <w:numPr>
          <w:ilvl w:val="0"/>
          <w:numId w:val="5"/>
        </w:numPr>
        <w:spacing w:after="0" w:line="240" w:lineRule="auto"/>
        <w:ind w:left="425"/>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قياس أثر الآليات المالية لتمويل عجز الموازنة العامة للدولة على التضخم في مصر خلال فترة الدراسة.</w:t>
      </w:r>
    </w:p>
    <w:p w14:paraId="32FFF86F" w14:textId="77777777" w:rsidR="003E7AF1" w:rsidRDefault="003E7AF1" w:rsidP="003E7AF1">
      <w:pPr>
        <w:ind w:right="-23"/>
        <w:jc w:val="both"/>
        <w:rPr>
          <w:rFonts w:ascii="Simplified Arabic" w:hAnsi="Simplified Arabic" w:cs="Simplified Arabic"/>
          <w:sz w:val="28"/>
          <w:szCs w:val="28"/>
          <w:lang w:bidi="ar-EG"/>
        </w:rPr>
      </w:pPr>
    </w:p>
    <w:p w14:paraId="20EA8076" w14:textId="77777777" w:rsidR="003E7AF1" w:rsidRDefault="003E7AF1" w:rsidP="003E7AF1">
      <w:pPr>
        <w:ind w:left="141"/>
        <w:jc w:val="both"/>
        <w:rPr>
          <w:rFonts w:ascii="Simplified Arabic" w:eastAsiaTheme="minorEastAsia" w:hAnsi="Simplified Arabic" w:cs="Simplified Arabic"/>
          <w:b/>
          <w:bCs/>
          <w:sz w:val="28"/>
          <w:szCs w:val="28"/>
          <w:rtl/>
        </w:rPr>
      </w:pPr>
      <w:r>
        <w:rPr>
          <w:rFonts w:ascii="Simplified Arabic" w:hAnsi="Simplified Arabic" w:cs="Simplified Arabic"/>
          <w:b/>
          <w:bCs/>
          <w:sz w:val="28"/>
          <w:szCs w:val="28"/>
          <w:rtl/>
        </w:rPr>
        <w:t>وقد حاولت الدراسة الإجابة على تساؤلين رئيسيين هما:</w:t>
      </w:r>
    </w:p>
    <w:p w14:paraId="5F4EE2F1" w14:textId="77777777" w:rsidR="003E7AF1" w:rsidRDefault="003E7AF1" w:rsidP="0041332D">
      <w:pPr>
        <w:pStyle w:val="ListParagraph"/>
        <w:numPr>
          <w:ilvl w:val="0"/>
          <w:numId w:val="5"/>
        </w:numPr>
        <w:spacing w:after="0" w:line="240" w:lineRule="auto"/>
        <w:ind w:left="425"/>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هل يوجد علاقة بين الآليات المالية المختلفة لتمويل عجز الموازنة العامة والتضخم في مصر خلال فترة الدراسة؟</w:t>
      </w:r>
    </w:p>
    <w:p w14:paraId="70651A9A" w14:textId="77777777" w:rsidR="003E7AF1" w:rsidRDefault="003E7AF1" w:rsidP="0041332D">
      <w:pPr>
        <w:pStyle w:val="ListParagraph"/>
        <w:numPr>
          <w:ilvl w:val="0"/>
          <w:numId w:val="5"/>
        </w:numPr>
        <w:spacing w:after="0" w:line="240" w:lineRule="auto"/>
        <w:ind w:left="425"/>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rPr>
        <w:t>ما هي قوة واتجاه العلاقة بين الآليات المالية المختلفة لتمويل عجز الموازنة العامة والتضخم في مصر</w:t>
      </w:r>
      <w:r>
        <w:rPr>
          <w:rFonts w:ascii="Simplified Arabic" w:eastAsia="Times New Roman" w:hAnsi="Simplified Arabic" w:cs="Simplified Arabic"/>
          <w:sz w:val="28"/>
          <w:szCs w:val="28"/>
          <w:rtl/>
          <w:lang w:bidi="ar-EG"/>
        </w:rPr>
        <w:t xml:space="preserve"> خلال فترة الدراسة؟</w:t>
      </w:r>
    </w:p>
    <w:p w14:paraId="71BA8B17" w14:textId="77777777" w:rsidR="003E7AF1" w:rsidRDefault="003E7AF1" w:rsidP="003E7AF1">
      <w:pPr>
        <w:tabs>
          <w:tab w:val="right" w:pos="1558"/>
        </w:tabs>
        <w:ind w:left="119" w:right="-23" w:firstLine="601"/>
        <w:jc w:val="both"/>
        <w:rPr>
          <w:rFonts w:ascii="Simplified Arabic" w:hAnsi="Simplified Arabic" w:cs="Simplified Arabic"/>
          <w:sz w:val="28"/>
          <w:szCs w:val="28"/>
          <w:rtl/>
        </w:rPr>
      </w:pPr>
    </w:p>
    <w:p w14:paraId="1C76E905" w14:textId="77777777" w:rsidR="003E7AF1" w:rsidRDefault="003E7AF1" w:rsidP="003E7AF1">
      <w:pPr>
        <w:tabs>
          <w:tab w:val="right" w:pos="1558"/>
        </w:tabs>
        <w:ind w:left="119" w:right="-23" w:firstLine="601"/>
        <w:jc w:val="both"/>
        <w:rPr>
          <w:rFonts w:ascii="Simplified Arabic" w:hAnsi="Simplified Arabic" w:cs="Simplified Arabic"/>
          <w:sz w:val="28"/>
          <w:szCs w:val="28"/>
          <w:rtl/>
          <w:lang w:bidi="ar-EG"/>
        </w:rPr>
      </w:pPr>
      <w:r>
        <w:rPr>
          <w:rFonts w:ascii="Simplified Arabic" w:hAnsi="Simplified Arabic" w:cs="Simplified Arabic"/>
          <w:sz w:val="28"/>
          <w:szCs w:val="28"/>
          <w:rtl/>
        </w:rPr>
        <w:t xml:space="preserve">تم استخدام </w:t>
      </w:r>
      <w:r>
        <w:rPr>
          <w:rFonts w:ascii="Simplified Arabic" w:hAnsi="Simplified Arabic" w:cs="Simplified Arabic"/>
          <w:sz w:val="28"/>
          <w:szCs w:val="28"/>
          <w:rtl/>
          <w:lang w:bidi="ar-EG"/>
        </w:rPr>
        <w:t xml:space="preserve">المنهج الوصفي لاستعراض وتحليل بيانات عجز الموازنة العامة للدولة في مصر خلال فترة الدراسة والآليات المالية المستخدمة لتمويل هذا العجز، كما يتناول بيانات التضخم معبراً عنه بالرقم القياسي لأسعار المستهلكين في مصر خلال ذات الفترة وبيانات المحددات الاقتصادية التي تؤثر في التضخم، كما تم استخدام المنهج التحليلي القياسي لبناء نموذج قياسي بالاعتماد على النظريات الاقتصادية والدراسات القياسية السابقة التي تناولت العلاقات المتبادلة بين عجز الموازنة العامة للدولة والتضخم، حيث يتضمن النموذج القياسي التضخم معبراً عنه بالرقم القياسي لأسعار المستهلكين (كمتغير تابع)، وعدد من المتغيرات المفسرة تتمثل في الآليات المالية المستخدمة لتمويل عجز الموازنة العامة للدولة، وأسعار الواردات بالأسعار المحلية الثابتة، ونسبة نمو النقود إلى الناتج المحلي الإجمالي، وسعر صرف الجنيه مقابل الدولار، بالإضافة إلى متغير وهمي يمثل عدم الاستقرار السياسي.  </w:t>
      </w:r>
    </w:p>
    <w:p w14:paraId="18D61B71" w14:textId="77777777" w:rsidR="003E7AF1" w:rsidRDefault="003E7AF1" w:rsidP="003E7AF1">
      <w:pPr>
        <w:tabs>
          <w:tab w:val="right" w:pos="1558"/>
        </w:tabs>
        <w:ind w:left="119" w:right="-23" w:firstLine="601"/>
        <w:jc w:val="both"/>
        <w:rPr>
          <w:rFonts w:ascii="Simplified Arabic" w:hAnsi="Simplified Arabic" w:cs="Simplified Arabic"/>
          <w:sz w:val="28"/>
          <w:szCs w:val="28"/>
          <w:rtl/>
          <w:lang w:bidi="ar-EG"/>
        </w:rPr>
      </w:pPr>
    </w:p>
    <w:p w14:paraId="68E7817C" w14:textId="77777777" w:rsidR="003E7AF1" w:rsidRDefault="003E7AF1" w:rsidP="003E7AF1">
      <w:pPr>
        <w:ind w:left="119" w:right="-23" w:firstLine="601"/>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وقد تم تقسيم الرسالة إلى ثلاثة فصول حيث تناول الفصل الأول الإطار النظري للعلاقة بين آليات تمويل عجز الموازنة العامة للدولة وظاهرة التضخم، حيث تضمن المبحث الأول بشيء من التفصيل ظاهرة التضخم من حيث تقديم أهم تعريفاته وأنواعه كما يتناول النظريات المفسرة لظاهرة لتضخم، ومن ثم التعرف </w:t>
      </w:r>
      <w:r>
        <w:rPr>
          <w:rFonts w:ascii="Simplified Arabic" w:hAnsi="Simplified Arabic" w:cs="Simplified Arabic"/>
          <w:sz w:val="28"/>
          <w:szCs w:val="28"/>
          <w:rtl/>
          <w:lang w:bidi="ar-EG"/>
        </w:rPr>
        <w:lastRenderedPageBreak/>
        <w:t xml:space="preserve">على آثاره والسياسات العلاجية للتضخم، بينما تناول المبحث الثاني التعرف على ماهية عجز الموازنة العامة وأهم أنواعه ونبذة عن أهم أسباب عجز الموازنة العامة في مصر، وأخيراً فإن المبحث الثالث تضمن الآليات المالية لتمويل عجز الموازنة العامة وأثر كل آلية من هذه الآليات على التضخم. </w:t>
      </w:r>
    </w:p>
    <w:p w14:paraId="145F5E2C" w14:textId="77777777" w:rsidR="003E7AF1" w:rsidRDefault="003E7AF1" w:rsidP="003E7AF1">
      <w:pPr>
        <w:ind w:left="119" w:right="-23" w:firstLine="601"/>
        <w:jc w:val="both"/>
        <w:rPr>
          <w:rFonts w:ascii="Simplified Arabic" w:hAnsi="Simplified Arabic" w:cs="Simplified Arabic"/>
          <w:sz w:val="28"/>
          <w:szCs w:val="28"/>
          <w:rtl/>
          <w:lang w:bidi="ar-EG"/>
        </w:rPr>
      </w:pPr>
    </w:p>
    <w:p w14:paraId="29AC7595" w14:textId="77777777" w:rsidR="003E7AF1" w:rsidRDefault="003E7AF1" w:rsidP="003E7AF1">
      <w:pPr>
        <w:ind w:firstLine="453"/>
        <w:jc w:val="both"/>
        <w:rPr>
          <w:rFonts w:ascii="Simplified Arabic" w:eastAsiaTheme="minorEastAsia" w:hAnsi="Simplified Arabic" w:cs="Simplified Arabic"/>
          <w:sz w:val="28"/>
          <w:szCs w:val="28"/>
          <w:rtl/>
          <w:lang w:bidi="ar-EG"/>
        </w:rPr>
      </w:pPr>
      <w:r>
        <w:rPr>
          <w:rFonts w:ascii="Simplified Arabic" w:hAnsi="Simplified Arabic" w:cs="Simplified Arabic"/>
          <w:sz w:val="28"/>
          <w:szCs w:val="28"/>
          <w:rtl/>
          <w:lang w:bidi="ar-EG"/>
        </w:rPr>
        <w:t>أما الفصل الثاني فتناول تحليل العلاقة التي تربط بين آليات تمويل عجز الموازنة العامة للدولة والتضخم من خلال بيان نوع تلك العلاقة واتجاهها، حيث تم استعراض وبيانات عجز الموازنة العامة للدولة وكذا تتبع الآليات المالية لتمويل عجز الموازنة العامة للدولة وعلاقتها بالرقم القياسي لأسعار المستهلكين في مصر خلال الفترة من العام المالي 1991/1992 وحتى العام المالي 2018/2019، وذلك باستخدام سلسلة زمنية تغطي الفترة محل الدراسة، حيث تناول المبحث الأول تحليل العلاقة بين آليات تمويل عجز الموازنة والتضخم خلال فترة الدراسة، حيث تم تقسيم هذا المبحث إلى ثلاث فترات زمنية وفقاً للسياسة المالية المتبعة وذلك نظراً لانتهاج سياسات مالية مختلفة خلال تلك الفترات، وكذا وفقاً لبعض الملابسات التي شكلت علامات فارقة في أوضاع المالية العامة مثل تطبيق برامج الإصلاح المقدمة من صندوق النقد الدولي منذ عام 1991، وكذا وفقاً لبعض الظروف السياسية التي تمخضت عن ثورة يناير 2011، والتي أثرت بشكل كبير على مجمل الأوضاع الاقتصادية وفي القلب منها أوضاع المالية العامة، وفي كل فترة من تلك الفترات الثلاث تم استعراض وتحليل بيانات عجز الموازنة العامة للدولة، وبيانات الآليات المالية المستخدمة لتمويل عجز الموازنة والوزن النسبي لكل منها، وبيانات التضخم معبراً عنه بالرقم القياسي لأسعار المستهلكين، أما المبحث الثاني فيتضمن قياس العلاقة الإحصائية بين آليات تمويل عجز الموازنة العامة للدولة والرقم القياسي لأسعار المستهلكين خلال الفترة من العام المالي 1991/1992 وحتى العام المالي 2018/2019 لبيان مدى وجود علاقة ارتباط بين آليات تمويل عجز الموازنة المختلفة والتضخم وقوة واتجاه هذه العلاقة، وأخيراً فقد تم إلقاء نظرة عامة على عجز الموازنة العامة وآليات تمويله والتضخم معبراً عنه بالرقم القياسي لأسعار المستهلكين خلال الفترة من العام المالي 1991/1992 وحتى العام المالي 2018/2019 لإيضاح التشابكات القائمة بين تلك المتغيرات خلال مجمل فترة الدراسة.</w:t>
      </w:r>
    </w:p>
    <w:p w14:paraId="5827A66D" w14:textId="77777777" w:rsidR="003E7AF1" w:rsidRDefault="003E7AF1" w:rsidP="003E7AF1">
      <w:pPr>
        <w:ind w:firstLine="453"/>
        <w:jc w:val="both"/>
        <w:rPr>
          <w:rFonts w:ascii="Simplified Arabic" w:hAnsi="Simplified Arabic" w:cs="Simplified Arabic"/>
          <w:sz w:val="28"/>
          <w:szCs w:val="28"/>
          <w:rtl/>
          <w:lang w:bidi="ar-EG"/>
        </w:rPr>
      </w:pPr>
    </w:p>
    <w:p w14:paraId="04288083" w14:textId="77777777" w:rsidR="003E7AF1" w:rsidRDefault="003E7AF1" w:rsidP="003E7AF1">
      <w:pPr>
        <w:ind w:firstLine="454"/>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وأخيراً فقد تناول الفصل الثالث استخدام المنهج القياسي لاختبار فرضية العلاقة بين آليات تمويل عجز الموازنة العامة للدولة والتضخم معبراً عنه بالرقم القياسي لأسعار المستهلكين، حيث تم تقسيم هذا الفصل إلى مبحثين تناول المبحث الأول استعراض مؤشرات أهم محددات التضخم في مصر خلال فترة الدراسة، وهي مجموعة العوامل التي يمكنها إحداث تغير ما في معدل التضخم خلال فترة زمنية معينة وذلك بالاعتماد على النظرية الاقتصادية والدراسات التطبيقية السابقة التي تناولت ظاهرة التضخم في مصر، في حين تناول المبحث الثاني الدراسة القياسية للعلاقة بين آليات تمويل عجز الموازنة العامة للدولة والتضخم، حيث تضمن النموذج القياسي التضخم معبراً عنه بالرقم القياسي لأسعار المستهلكين (كمتغير تابع) والآليات المالية المستخدمة لتمويل عجز الموازنة العامة للدولة (كمتغيرات مستقلة)، بالإضافة إلى أهم المتغيرات </w:t>
      </w:r>
      <w:r>
        <w:rPr>
          <w:rFonts w:ascii="Simplified Arabic" w:hAnsi="Simplified Arabic" w:cs="Simplified Arabic"/>
          <w:sz w:val="28"/>
          <w:szCs w:val="28"/>
          <w:rtl/>
          <w:lang w:bidi="ar-EG"/>
        </w:rPr>
        <w:lastRenderedPageBreak/>
        <w:t>المستقلة الأخرى التي تؤثر على التضخم في مصر خلال تلك الفترة وهي أسعار الواردات بالأسعار المحلية الثابتة، و سعر صرف الجنيه المصري مقابل الدولار الأمريكي، ونسبة نمو النقود إلى الناتج المحلي الإجمالي، بالإضافة إلى متغير وهمي يشير إلى عدم الاستقرار السياسي.</w:t>
      </w:r>
    </w:p>
    <w:p w14:paraId="20D6DE0F" w14:textId="77777777" w:rsidR="003E7AF1" w:rsidRDefault="003E7AF1" w:rsidP="003E7AF1">
      <w:pPr>
        <w:ind w:firstLine="454"/>
        <w:jc w:val="both"/>
        <w:rPr>
          <w:rFonts w:ascii="Simplified Arabic" w:hAnsi="Simplified Arabic" w:cs="Simplified Arabic"/>
          <w:sz w:val="28"/>
          <w:szCs w:val="28"/>
          <w:rtl/>
          <w:lang w:bidi="ar-EG"/>
        </w:rPr>
      </w:pPr>
    </w:p>
    <w:p w14:paraId="6E11AF53" w14:textId="77777777" w:rsidR="003E7AF1" w:rsidRDefault="003E7AF1" w:rsidP="003E7AF1">
      <w:pPr>
        <w:ind w:left="141"/>
        <w:jc w:val="both"/>
        <w:rPr>
          <w:rFonts w:ascii="Simplified Arabic" w:hAnsi="Simplified Arabic" w:cs="Simplified Arabic"/>
          <w:b/>
          <w:bCs/>
          <w:sz w:val="28"/>
          <w:szCs w:val="28"/>
          <w:rtl/>
        </w:rPr>
      </w:pPr>
      <w:r>
        <w:rPr>
          <w:rFonts w:ascii="Simplified Arabic" w:hAnsi="Simplified Arabic" w:cs="Simplified Arabic"/>
          <w:b/>
          <w:bCs/>
          <w:sz w:val="28"/>
          <w:szCs w:val="28"/>
          <w:rtl/>
        </w:rPr>
        <w:t>ويمكن تلخيص أهم نتائج الدراسة على النحو الآتي:</w:t>
      </w:r>
    </w:p>
    <w:p w14:paraId="3780071A" w14:textId="77777777" w:rsidR="003E7AF1" w:rsidRDefault="003E7AF1" w:rsidP="0041332D">
      <w:pPr>
        <w:pStyle w:val="ListParagraph"/>
        <w:numPr>
          <w:ilvl w:val="0"/>
          <w:numId w:val="6"/>
        </w:numPr>
        <w:spacing w:after="0" w:line="240" w:lineRule="auto"/>
        <w:ind w:left="448" w:hanging="357"/>
        <w:jc w:val="both"/>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t>أثبتت</w:t>
      </w:r>
      <w:r>
        <w:rPr>
          <w:rFonts w:ascii="Simplified Arabic" w:eastAsia="Times New Roman" w:hAnsi="Simplified Arabic" w:cs="Simplified Arabic"/>
          <w:sz w:val="28"/>
          <w:szCs w:val="28"/>
          <w:rtl/>
          <w:lang w:bidi="ar-EG"/>
        </w:rPr>
        <w:t xml:space="preserve"> الدراسة التطبيقية أن بعض الآليات المالية لتمويل عجز الموازنة العامة للدولة تُعد سبباً في توليد الضغوط التضخمية في الاقتصاد المصري:  </w:t>
      </w:r>
    </w:p>
    <w:p w14:paraId="459D4557" w14:textId="77777777" w:rsidR="003E7AF1" w:rsidRDefault="003E7AF1" w:rsidP="0041332D">
      <w:pPr>
        <w:pStyle w:val="ListParagraph"/>
        <w:numPr>
          <w:ilvl w:val="0"/>
          <w:numId w:val="7"/>
        </w:numPr>
        <w:spacing w:after="0" w:line="240" w:lineRule="auto"/>
        <w:ind w:left="850"/>
        <w:jc w:val="both"/>
        <w:rPr>
          <w:rFonts w:ascii="Simplified Arabic" w:eastAsiaTheme="minorEastAsia" w:hAnsi="Simplified Arabic" w:cs="Simplified Arabic"/>
          <w:sz w:val="28"/>
          <w:szCs w:val="28"/>
        </w:rPr>
      </w:pPr>
      <w:r>
        <w:rPr>
          <w:rFonts w:ascii="Simplified Arabic" w:hAnsi="Simplified Arabic" w:cs="Simplified Arabic"/>
          <w:sz w:val="28"/>
          <w:szCs w:val="28"/>
          <w:rtl/>
        </w:rPr>
        <w:t>هناك علاقة طردية معنوية</w:t>
      </w:r>
      <w:r>
        <w:rPr>
          <w:rFonts w:ascii="Simplified Arabic" w:hAnsi="Simplified Arabic" w:cs="Simplified Arabic"/>
          <w:sz w:val="28"/>
          <w:szCs w:val="28"/>
          <w:rtl/>
          <w:lang w:bidi="ar-EG"/>
        </w:rPr>
        <w:t xml:space="preserve"> بين التمويل المحلي المصرفي لعجز الموازنة العامة للدولة والتضخم معبراً عنه بالرقم القياسي لأسعار المستهلكين في مصر خلال فترة الدراسة، مما يعني أن استخدام التمويل المحلي المصرفي لعجز الموازنة العامة للدولة يزيد من الضغوط التضخمية في الاقتصاد المصري.</w:t>
      </w:r>
    </w:p>
    <w:p w14:paraId="3D79ECBA" w14:textId="77777777" w:rsidR="003E7AF1" w:rsidRDefault="003E7AF1" w:rsidP="003E7AF1">
      <w:pPr>
        <w:pStyle w:val="ListParagraph"/>
        <w:spacing w:after="0" w:line="240" w:lineRule="auto"/>
        <w:ind w:left="850"/>
        <w:jc w:val="both"/>
        <w:rPr>
          <w:rFonts w:ascii="Simplified Arabic" w:hAnsi="Simplified Arabic" w:cs="Simplified Arabic"/>
          <w:sz w:val="28"/>
          <w:szCs w:val="28"/>
        </w:rPr>
      </w:pPr>
      <w:r>
        <w:rPr>
          <w:rFonts w:ascii="Simplified Arabic" w:hAnsi="Simplified Arabic" w:cs="Simplified Arabic"/>
          <w:sz w:val="28"/>
          <w:szCs w:val="28"/>
          <w:rtl/>
          <w:lang w:bidi="ar-EG"/>
        </w:rPr>
        <w:t>وهو ما يتفق مع النظرية الاقتصادية والتي تعزي جزء كبير من الضغوط التضخمية إلى قيام البنك المركزي بزيادة العرض النقدي لتغطية احتياجات الحكومة لتمويل عجز الموازنة العامة، كما تتفق هذه النتيجة أيضاً مع ما تم من تحليل للعلاقة بين بيانات التضخم والتمويل المحلي المصرفي والذي تم إيضاحه بالفصل الثاني من هذ البحث.</w:t>
      </w:r>
    </w:p>
    <w:p w14:paraId="097B7869" w14:textId="77777777" w:rsidR="003E7AF1" w:rsidRDefault="003E7AF1" w:rsidP="003E7AF1">
      <w:pPr>
        <w:pStyle w:val="ListParagraph"/>
        <w:spacing w:after="0" w:line="240" w:lineRule="auto"/>
        <w:ind w:left="850"/>
        <w:jc w:val="both"/>
        <w:rPr>
          <w:rFonts w:ascii="Simplified Arabic" w:hAnsi="Simplified Arabic" w:cs="Simplified Arabic"/>
          <w:sz w:val="16"/>
          <w:szCs w:val="16"/>
          <w:rtl/>
        </w:rPr>
      </w:pPr>
    </w:p>
    <w:p w14:paraId="60C709A4" w14:textId="77777777" w:rsidR="003E7AF1" w:rsidRDefault="003E7AF1" w:rsidP="0041332D">
      <w:pPr>
        <w:pStyle w:val="ListParagraph"/>
        <w:numPr>
          <w:ilvl w:val="0"/>
          <w:numId w:val="7"/>
        </w:numPr>
        <w:spacing w:after="0" w:line="240" w:lineRule="auto"/>
        <w:ind w:left="850"/>
        <w:jc w:val="both"/>
        <w:rPr>
          <w:rFonts w:ascii="Simplified Arabic" w:hAnsi="Simplified Arabic" w:cs="Simplified Arabic"/>
          <w:sz w:val="28"/>
          <w:szCs w:val="28"/>
        </w:rPr>
      </w:pPr>
      <w:r>
        <w:rPr>
          <w:rFonts w:ascii="Simplified Arabic" w:hAnsi="Simplified Arabic" w:cs="Simplified Arabic"/>
          <w:sz w:val="28"/>
          <w:szCs w:val="28"/>
          <w:rtl/>
        </w:rPr>
        <w:t>هناك علاقة عكسية معنوية بين ا</w:t>
      </w:r>
      <w:r>
        <w:rPr>
          <w:rFonts w:ascii="Simplified Arabic" w:hAnsi="Simplified Arabic" w:cs="Simplified Arabic"/>
          <w:sz w:val="28"/>
          <w:szCs w:val="28"/>
          <w:rtl/>
          <w:lang w:bidi="ar-EG"/>
        </w:rPr>
        <w:t>لتمويل المحلي غير المصرفي لعجز الموازنة العامة للدولة والتضخم معبراً عنه بالرقم القياسي لأسعار المستهلكين في مصر خلال فترة الدراسة، مما يعني أنه يمكن استخدام التمويل المحلي غير المصرفي لعجز الموازنة العامة للدولة للمساهمة في تخفيض الضغوط التضخمية في الاقتصاد المصري.</w:t>
      </w:r>
    </w:p>
    <w:p w14:paraId="4EC9CCF1" w14:textId="77777777" w:rsidR="003E7AF1" w:rsidRDefault="003E7AF1" w:rsidP="003E7AF1">
      <w:pPr>
        <w:pStyle w:val="ListParagraph"/>
        <w:spacing w:after="0" w:line="240" w:lineRule="auto"/>
        <w:ind w:left="850"/>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وهو ما يتفق أيضاً مع النظرية الاقتصادية والتي ترى أن استخدام الفوائض المالية لدى القطاع غير المصرفي يعد وسيلة فعالة لتمويل عجز الموازنة دون حدوث موجات تضخمية، ولهذا فإن هذه الآلية التمويلية تستخدم بطريقة واسعة النطاق في الاقتصاديات الرأسمالية ذات الأسواق المالية المتطورة والتي تتمكن من خلالها من توفير الأموال اللازمة لتمويل عجز الموازنة وبأسعار فائدة منخفضة وهي وسيلة لا تستخدمها الدول النامية بالمستوى المطلوب نظراً لمحدودية أسواق المال والقصور في الأوراق المالية المطروحة بها، وكذا نظراً لعدم تمتع بعض حكومات الدول النامية بالثقة الكافية من قبل المتعاملين الأفراد لإقراض حكومات تلك الدول. وفي هذا الإطار فإنه يمكن استحداث وسائل تمويلية تكون ذات جذب للمواطنين للمشاركة في عملية تمويل التنمية في بلدانهم وتكون ذات عائد مالي، بالإضافة إلى أهمية أخذ آراء المواطنين بعين الاعتبار عند تحديد المشروعات التنموية التي تنفذها الدولة وشرح مردود تلك المشروعات على المجتمع وعلى المساهمين فيها.</w:t>
      </w:r>
    </w:p>
    <w:p w14:paraId="2EC816C3" w14:textId="77777777" w:rsidR="003E7AF1" w:rsidRDefault="003E7AF1" w:rsidP="003E7AF1">
      <w:pPr>
        <w:pStyle w:val="ListParagraph"/>
        <w:spacing w:after="0" w:line="240" w:lineRule="auto"/>
        <w:ind w:left="850"/>
        <w:jc w:val="both"/>
        <w:rPr>
          <w:rFonts w:ascii="Simplified Arabic" w:hAnsi="Simplified Arabic" w:cs="Simplified Arabic"/>
          <w:sz w:val="16"/>
          <w:szCs w:val="16"/>
          <w:rtl/>
          <w:lang w:bidi="ar-EG"/>
        </w:rPr>
      </w:pPr>
    </w:p>
    <w:p w14:paraId="4D1E0F2E" w14:textId="77777777" w:rsidR="003E7AF1" w:rsidRDefault="003E7AF1" w:rsidP="0041332D">
      <w:pPr>
        <w:pStyle w:val="ListParagraph"/>
        <w:numPr>
          <w:ilvl w:val="0"/>
          <w:numId w:val="7"/>
        </w:numPr>
        <w:spacing w:after="0" w:line="240" w:lineRule="auto"/>
        <w:ind w:left="850"/>
        <w:jc w:val="both"/>
        <w:rPr>
          <w:rFonts w:ascii="Simplified Arabic" w:hAnsi="Simplified Arabic" w:cs="Simplified Arabic"/>
          <w:sz w:val="28"/>
          <w:szCs w:val="28"/>
        </w:rPr>
      </w:pPr>
      <w:r>
        <w:rPr>
          <w:rFonts w:ascii="Simplified Arabic" w:hAnsi="Simplified Arabic" w:cs="Simplified Arabic"/>
          <w:sz w:val="28"/>
          <w:szCs w:val="28"/>
          <w:rtl/>
        </w:rPr>
        <w:lastRenderedPageBreak/>
        <w:t xml:space="preserve">لم يثبت وجود تأثير معنوي </w:t>
      </w:r>
      <w:r>
        <w:rPr>
          <w:rFonts w:ascii="Simplified Arabic" w:hAnsi="Simplified Arabic" w:cs="Simplified Arabic"/>
          <w:sz w:val="28"/>
          <w:szCs w:val="28"/>
          <w:rtl/>
          <w:lang w:bidi="ar-EG"/>
        </w:rPr>
        <w:t>للتمويل الخارجي لعجز الموازنة العامة للدولة على زيادة التضخم معبراً عنه بالرقم القياسي لأسعار المستهلكين في مصر خلال فترة الدراسة.</w:t>
      </w:r>
    </w:p>
    <w:p w14:paraId="15393779" w14:textId="77777777" w:rsidR="003E7AF1" w:rsidRDefault="003E7AF1" w:rsidP="003E7AF1">
      <w:pPr>
        <w:pStyle w:val="ListParagraph"/>
        <w:spacing w:after="0" w:line="240" w:lineRule="auto"/>
        <w:ind w:left="850"/>
        <w:jc w:val="both"/>
        <w:rPr>
          <w:rFonts w:ascii="Simplified Arabic" w:hAnsi="Simplified Arabic" w:cs="Simplified Arabic"/>
          <w:sz w:val="16"/>
          <w:szCs w:val="16"/>
        </w:rPr>
      </w:pPr>
    </w:p>
    <w:p w14:paraId="4F11D5AD" w14:textId="77777777" w:rsidR="003E7AF1" w:rsidRDefault="003E7AF1" w:rsidP="0041332D">
      <w:pPr>
        <w:pStyle w:val="ListParagraph"/>
        <w:numPr>
          <w:ilvl w:val="0"/>
          <w:numId w:val="7"/>
        </w:numPr>
        <w:spacing w:after="0" w:line="240" w:lineRule="auto"/>
        <w:ind w:left="850"/>
        <w:jc w:val="both"/>
        <w:rPr>
          <w:rFonts w:ascii="Simplified Arabic" w:hAnsi="Simplified Arabic" w:cs="Simplified Arabic"/>
          <w:sz w:val="28"/>
          <w:szCs w:val="28"/>
        </w:rPr>
      </w:pPr>
      <w:r>
        <w:rPr>
          <w:rFonts w:ascii="Simplified Arabic" w:hAnsi="Simplified Arabic" w:cs="Simplified Arabic"/>
          <w:sz w:val="28"/>
          <w:szCs w:val="28"/>
          <w:rtl/>
          <w:lang w:bidi="ar-EG"/>
        </w:rPr>
        <w:t xml:space="preserve">هناك علاقة طردية معنوية بين أسعار الواردات بالأسعار المحلية الثابتة والتضخم معبراً عنه بالرقم القياسي لأسعار </w:t>
      </w:r>
      <w:proofErr w:type="gramStart"/>
      <w:r>
        <w:rPr>
          <w:rFonts w:ascii="Simplified Arabic" w:hAnsi="Simplified Arabic" w:cs="Simplified Arabic"/>
          <w:sz w:val="28"/>
          <w:szCs w:val="28"/>
          <w:rtl/>
          <w:lang w:bidi="ar-EG"/>
        </w:rPr>
        <w:t>المستهلكين ،</w:t>
      </w:r>
      <w:proofErr w:type="gramEnd"/>
      <w:r>
        <w:rPr>
          <w:rFonts w:ascii="Simplified Arabic" w:hAnsi="Simplified Arabic" w:cs="Simplified Arabic"/>
          <w:sz w:val="28"/>
          <w:szCs w:val="28"/>
          <w:rtl/>
          <w:lang w:bidi="ar-EG"/>
        </w:rPr>
        <w:t xml:space="preserve"> كما أن هناك علاقة طردية معنوية بين المعروض النقدي نسبة إلى الناتج المحلي الإجمالي والتضخم معبراً عنه بالرقم القياسي لأسعار المستهلكين.</w:t>
      </w:r>
    </w:p>
    <w:p w14:paraId="7A3F3AF1" w14:textId="77777777" w:rsidR="003E7AF1" w:rsidRDefault="003E7AF1" w:rsidP="003E7AF1">
      <w:pPr>
        <w:pStyle w:val="ListParagraph"/>
        <w:bidi w:val="0"/>
        <w:rPr>
          <w:rFonts w:ascii="Simplified Arabic" w:hAnsi="Simplified Arabic" w:cs="Simplified Arabic"/>
          <w:sz w:val="16"/>
          <w:szCs w:val="16"/>
        </w:rPr>
      </w:pPr>
    </w:p>
    <w:p w14:paraId="66C51B5F" w14:textId="77777777" w:rsidR="003E7AF1" w:rsidRDefault="003E7AF1" w:rsidP="0041332D">
      <w:pPr>
        <w:pStyle w:val="ListParagraph"/>
        <w:numPr>
          <w:ilvl w:val="0"/>
          <w:numId w:val="7"/>
        </w:numPr>
        <w:spacing w:after="0" w:line="240" w:lineRule="auto"/>
        <w:ind w:left="850"/>
        <w:jc w:val="both"/>
        <w:rPr>
          <w:rFonts w:ascii="Simplified Arabic" w:hAnsi="Simplified Arabic" w:cs="Simplified Arabic"/>
          <w:sz w:val="28"/>
          <w:szCs w:val="28"/>
          <w:rtl/>
        </w:rPr>
      </w:pPr>
      <w:r>
        <w:rPr>
          <w:rFonts w:ascii="Simplified Arabic" w:hAnsi="Simplified Arabic" w:cs="Simplified Arabic"/>
          <w:sz w:val="28"/>
          <w:szCs w:val="28"/>
          <w:rtl/>
          <w:lang w:bidi="ar-EG"/>
        </w:rPr>
        <w:t>هناك علاقة عكسية معنوية بين سعر الصرف والتضخم معبراً عنه بالرقم القياسي لأسعار المستهلكين في مصر خلال فترة الدراسة.</w:t>
      </w:r>
    </w:p>
    <w:p w14:paraId="32B7F40A" w14:textId="77777777" w:rsidR="003E7AF1" w:rsidRDefault="003E7AF1" w:rsidP="0041332D">
      <w:pPr>
        <w:pStyle w:val="ListParagraph"/>
        <w:numPr>
          <w:ilvl w:val="0"/>
          <w:numId w:val="6"/>
        </w:numPr>
        <w:spacing w:after="0" w:line="240" w:lineRule="auto"/>
        <w:ind w:left="448" w:hanging="357"/>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يمثل عجز الموازنة العامة في مصر مشكلة كبيرة في الاقتصاد المصري نظراً لأنه عجز هيكلي ومزمن ومرتفع</w:t>
      </w:r>
      <w:r>
        <w:rPr>
          <w:rFonts w:ascii="Simplified Arabic" w:eastAsia="Times New Roman" w:hAnsi="Simplified Arabic" w:cs="Simplified Arabic"/>
          <w:sz w:val="28"/>
          <w:szCs w:val="28"/>
          <w:rtl/>
          <w:lang w:bidi="ar-EG"/>
        </w:rPr>
        <w:t>.</w:t>
      </w:r>
    </w:p>
    <w:p w14:paraId="5619E605" w14:textId="77777777" w:rsidR="003E7AF1" w:rsidRDefault="003E7AF1" w:rsidP="0041332D">
      <w:pPr>
        <w:pStyle w:val="ListParagraph"/>
        <w:numPr>
          <w:ilvl w:val="0"/>
          <w:numId w:val="6"/>
        </w:numPr>
        <w:spacing w:after="0" w:line="240" w:lineRule="auto"/>
        <w:ind w:left="448" w:hanging="357"/>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lang w:bidi="ar-EG"/>
        </w:rPr>
        <w:t xml:space="preserve"> </w:t>
      </w:r>
      <w:r>
        <w:rPr>
          <w:rFonts w:ascii="Simplified Arabic" w:eastAsia="Times New Roman" w:hAnsi="Simplified Arabic" w:cs="Simplified Arabic"/>
          <w:sz w:val="28"/>
          <w:szCs w:val="28"/>
          <w:rtl/>
        </w:rPr>
        <w:t>يوجد ارتباط طردي قوي بين كلاً من الإيرادات العامة والمصروفات العامة خلال الفترة موضع الدراسة</w:t>
      </w:r>
      <w:r>
        <w:rPr>
          <w:rFonts w:ascii="Simplified Arabic" w:eastAsia="Times New Roman" w:hAnsi="Simplified Arabic" w:cs="Simplified Arabic"/>
          <w:sz w:val="28"/>
          <w:szCs w:val="28"/>
          <w:rtl/>
          <w:lang w:bidi="ar-EG"/>
        </w:rPr>
        <w:t>.</w:t>
      </w:r>
    </w:p>
    <w:p w14:paraId="3A9A251C" w14:textId="77777777" w:rsidR="003E7AF1" w:rsidRDefault="003E7AF1" w:rsidP="0041332D">
      <w:pPr>
        <w:pStyle w:val="ListParagraph"/>
        <w:numPr>
          <w:ilvl w:val="0"/>
          <w:numId w:val="6"/>
        </w:numPr>
        <w:spacing w:after="0" w:line="240" w:lineRule="auto"/>
        <w:ind w:left="448" w:hanging="357"/>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حساسية الاقتصاد المصري للصدمات الخارجية التي تؤثر على المالية العامة سواء كانت صدمات اقتصادية أو سياسية.</w:t>
      </w:r>
    </w:p>
    <w:p w14:paraId="468E6E1A" w14:textId="77777777" w:rsidR="003E7AF1" w:rsidRDefault="003E7AF1" w:rsidP="0041332D">
      <w:pPr>
        <w:pStyle w:val="ListParagraph"/>
        <w:numPr>
          <w:ilvl w:val="0"/>
          <w:numId w:val="6"/>
        </w:numPr>
        <w:spacing w:after="0" w:line="240" w:lineRule="auto"/>
        <w:ind w:left="448" w:hanging="357"/>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ارتفاع عبء الدين العام بشكل كبير وخاصة الدين الخارجي خلال الفترة الأخيرة، وهو ما يمثل عبء إضافي على الموازنة العامة للدولة.</w:t>
      </w:r>
    </w:p>
    <w:p w14:paraId="6122A77F" w14:textId="77777777" w:rsidR="003E7AF1" w:rsidRDefault="003E7AF1" w:rsidP="0041332D">
      <w:pPr>
        <w:pStyle w:val="ListParagraph"/>
        <w:numPr>
          <w:ilvl w:val="0"/>
          <w:numId w:val="6"/>
        </w:numPr>
        <w:spacing w:after="0" w:line="240" w:lineRule="auto"/>
        <w:ind w:left="448" w:hanging="357"/>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 xml:space="preserve">اقتران عجز الموازنة العامة بمشكلة ارتفاع الدين العام يؤدي إلى مشاكل اقتصادية أخرى وفي القلب منها ارتفاع معدلات التضخم. </w:t>
      </w:r>
    </w:p>
    <w:p w14:paraId="09809AFE" w14:textId="77777777" w:rsidR="003E7AF1" w:rsidRDefault="003E7AF1" w:rsidP="0041332D">
      <w:pPr>
        <w:pStyle w:val="ListParagraph"/>
        <w:numPr>
          <w:ilvl w:val="0"/>
          <w:numId w:val="6"/>
        </w:numPr>
        <w:spacing w:after="0" w:line="240" w:lineRule="auto"/>
        <w:ind w:left="448" w:hanging="357"/>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 xml:space="preserve">اتجاه نسبة النفقات العامة إلى الناتج المحلي الإجمالي إلى الانخفاض بصورة مستمرة خلال الفترة موضع الدراسة. </w:t>
      </w:r>
    </w:p>
    <w:p w14:paraId="25C6AC4F" w14:textId="77777777" w:rsidR="003E7AF1" w:rsidRDefault="003E7AF1" w:rsidP="0041332D">
      <w:pPr>
        <w:pStyle w:val="ListParagraph"/>
        <w:numPr>
          <w:ilvl w:val="0"/>
          <w:numId w:val="6"/>
        </w:numPr>
        <w:spacing w:after="0" w:line="240" w:lineRule="auto"/>
        <w:ind w:left="448" w:hanging="357"/>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عدم الاهتمام بالدراسات الفنية السليمة للمشروعات الكبرى التي تنفذها الحكومة من خلال الموازنة العامة للدولة.</w:t>
      </w:r>
    </w:p>
    <w:p w14:paraId="51CD28B7" w14:textId="77777777" w:rsidR="003E7AF1" w:rsidRDefault="003E7AF1" w:rsidP="0041332D">
      <w:pPr>
        <w:pStyle w:val="ListParagraph"/>
        <w:numPr>
          <w:ilvl w:val="0"/>
          <w:numId w:val="6"/>
        </w:numPr>
        <w:spacing w:after="0" w:line="240" w:lineRule="auto"/>
        <w:ind w:left="448" w:hanging="357"/>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القرارات الإدارية لزيادة بعض بنود النفقات العامة (وخاصة بنود الأجور والدعم والاستثمارات الحكومية) دون الأخذ في الاعتبار وضع المالية العامة.</w:t>
      </w:r>
    </w:p>
    <w:p w14:paraId="469FE266" w14:textId="77777777" w:rsidR="003E7AF1" w:rsidRDefault="003E7AF1" w:rsidP="0041332D">
      <w:pPr>
        <w:pStyle w:val="ListParagraph"/>
        <w:numPr>
          <w:ilvl w:val="0"/>
          <w:numId w:val="6"/>
        </w:numPr>
        <w:spacing w:after="0" w:line="240" w:lineRule="auto"/>
        <w:ind w:left="448" w:hanging="357"/>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 xml:space="preserve">الانخفاض الكبير والمستمر في نسبة الإيرادات العامة إلى الناتج المحلي الإجمالي خلال الفترة موضع الدراسة يؤكد ضعف الجهاز الضريبي. </w:t>
      </w:r>
    </w:p>
    <w:p w14:paraId="7EBD4ECC" w14:textId="77777777" w:rsidR="003E7AF1" w:rsidRDefault="003E7AF1" w:rsidP="0041332D">
      <w:pPr>
        <w:pStyle w:val="ListParagraph"/>
        <w:numPr>
          <w:ilvl w:val="0"/>
          <w:numId w:val="6"/>
        </w:numPr>
        <w:spacing w:after="0" w:line="240" w:lineRule="auto"/>
        <w:ind w:left="448" w:hanging="357"/>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 xml:space="preserve">الاتجاه إلى تمويل عجز الموازنة العامة من خلال المصادر المحلية للتمويل وخاصة التمويل غير المصرفي والتوقف عن استخدام مصادر التمويل الخارجي في بعض سنوات الدراسة قد أدى إلى السيطرة على حجم الدين الخارجي المرتفع. </w:t>
      </w:r>
    </w:p>
    <w:p w14:paraId="3F84EFF4" w14:textId="77777777" w:rsidR="003E7AF1" w:rsidRDefault="003E7AF1" w:rsidP="0041332D">
      <w:pPr>
        <w:pStyle w:val="ListParagraph"/>
        <w:numPr>
          <w:ilvl w:val="0"/>
          <w:numId w:val="6"/>
        </w:numPr>
        <w:spacing w:after="0" w:line="240" w:lineRule="auto"/>
        <w:ind w:left="448" w:hanging="357"/>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استخدام التمويل المحلي المصرفي لتمويل عجز الموازنة العامة للدولة بشكل كبير خلال مجمل الفترة موضع الدراسة كان له مردود مباشر على زيادة معدلات التضخم.</w:t>
      </w:r>
    </w:p>
    <w:p w14:paraId="69F6499E" w14:textId="77777777" w:rsidR="003E7AF1" w:rsidRDefault="003E7AF1" w:rsidP="003E7AF1">
      <w:pPr>
        <w:pStyle w:val="ListParagraph"/>
        <w:spacing w:after="0" w:line="240" w:lineRule="auto"/>
        <w:ind w:left="448"/>
        <w:jc w:val="both"/>
        <w:rPr>
          <w:rFonts w:ascii="Simplified Arabic" w:eastAsia="Times New Roman" w:hAnsi="Simplified Arabic" w:cs="Simplified Arabic"/>
          <w:sz w:val="28"/>
          <w:szCs w:val="28"/>
        </w:rPr>
      </w:pPr>
    </w:p>
    <w:p w14:paraId="28731468" w14:textId="77777777" w:rsidR="003E7AF1" w:rsidRDefault="003E7AF1" w:rsidP="003E7AF1">
      <w:pPr>
        <w:ind w:left="141"/>
        <w:jc w:val="both"/>
        <w:rPr>
          <w:rFonts w:ascii="Simplified Arabic" w:eastAsiaTheme="minorEastAsia" w:hAnsi="Simplified Arabic" w:cs="Simplified Arabic"/>
          <w:b/>
          <w:bCs/>
          <w:sz w:val="28"/>
          <w:szCs w:val="28"/>
          <w:lang w:bidi="ar-EG"/>
        </w:rPr>
      </w:pPr>
      <w:r>
        <w:rPr>
          <w:rFonts w:ascii="Simplified Arabic" w:hAnsi="Simplified Arabic" w:cs="Simplified Arabic"/>
          <w:b/>
          <w:bCs/>
          <w:sz w:val="28"/>
          <w:szCs w:val="28"/>
          <w:rtl/>
        </w:rPr>
        <w:t>كما يمكن تلخيص أهم التوصيات على النحو الآتي:</w:t>
      </w:r>
    </w:p>
    <w:p w14:paraId="61E2A3BC" w14:textId="77777777" w:rsidR="003E7AF1" w:rsidRDefault="003E7AF1" w:rsidP="0041332D">
      <w:pPr>
        <w:pStyle w:val="ListParagraph"/>
        <w:numPr>
          <w:ilvl w:val="0"/>
          <w:numId w:val="6"/>
        </w:numPr>
        <w:spacing w:after="0" w:line="240" w:lineRule="auto"/>
        <w:ind w:left="448" w:hanging="357"/>
        <w:jc w:val="both"/>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lang w:bidi="ar-EG"/>
        </w:rPr>
        <w:t>التوقف عن استخدام التمويل المصرفي نظراً لتأثيره الضار على زيادة معدلات التضخم</w:t>
      </w:r>
      <w:r>
        <w:rPr>
          <w:rFonts w:ascii="Simplified Arabic" w:eastAsia="Times New Roman" w:hAnsi="Simplified Arabic" w:cs="Simplified Arabic"/>
          <w:sz w:val="28"/>
          <w:szCs w:val="28"/>
          <w:rtl/>
        </w:rPr>
        <w:t>.</w:t>
      </w:r>
    </w:p>
    <w:p w14:paraId="4EB047DA" w14:textId="77777777" w:rsidR="003E7AF1" w:rsidRDefault="003E7AF1" w:rsidP="0041332D">
      <w:pPr>
        <w:pStyle w:val="ListParagraph"/>
        <w:numPr>
          <w:ilvl w:val="0"/>
          <w:numId w:val="6"/>
        </w:numPr>
        <w:spacing w:after="0" w:line="240" w:lineRule="auto"/>
        <w:ind w:left="448" w:hanging="357"/>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lang w:bidi="ar-EG"/>
        </w:rPr>
        <w:t>التمويل المحلي غير المصرفي لعجز الموازنة العامة يعد وسيلة فعالة لتجنب التضخم والأزمات الخارجية</w:t>
      </w:r>
      <w:r>
        <w:rPr>
          <w:rFonts w:ascii="Simplified Arabic" w:eastAsia="Times New Roman" w:hAnsi="Simplified Arabic" w:cs="Simplified Arabic"/>
          <w:sz w:val="28"/>
          <w:szCs w:val="28"/>
          <w:rtl/>
        </w:rPr>
        <w:t>.</w:t>
      </w:r>
    </w:p>
    <w:p w14:paraId="5BC146E4" w14:textId="77777777" w:rsidR="003E7AF1" w:rsidRDefault="003E7AF1" w:rsidP="0041332D">
      <w:pPr>
        <w:pStyle w:val="ListParagraph"/>
        <w:numPr>
          <w:ilvl w:val="0"/>
          <w:numId w:val="6"/>
        </w:numPr>
        <w:spacing w:after="0" w:line="240" w:lineRule="auto"/>
        <w:ind w:left="448" w:hanging="357"/>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lang w:bidi="ar-EG"/>
        </w:rPr>
        <w:t>التوسع في استخدام الصيغ التمويلية المختلفة لتمويل الاستثمارات الحكومية بدلاً من التمويل من خلال الموازنة العامة للدولة مثل التمويل من خلال الشراكة مع القطاع الخاص، والصكوك</w:t>
      </w:r>
      <w:r>
        <w:rPr>
          <w:rFonts w:ascii="Simplified Arabic" w:eastAsia="Times New Roman" w:hAnsi="Simplified Arabic" w:cs="Simplified Arabic"/>
          <w:sz w:val="28"/>
          <w:szCs w:val="28"/>
          <w:rtl/>
        </w:rPr>
        <w:t>.</w:t>
      </w:r>
    </w:p>
    <w:p w14:paraId="20C98AB9" w14:textId="77777777" w:rsidR="003E7AF1" w:rsidRDefault="003E7AF1" w:rsidP="0041332D">
      <w:pPr>
        <w:pStyle w:val="ListParagraph"/>
        <w:numPr>
          <w:ilvl w:val="0"/>
          <w:numId w:val="6"/>
        </w:numPr>
        <w:spacing w:after="0" w:line="240" w:lineRule="auto"/>
        <w:ind w:left="448" w:hanging="357"/>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lang w:bidi="ar-EG"/>
        </w:rPr>
        <w:t>استحداث وسائل تمويلية – وبخاصة صيغ التمويل الإسلامية – حيث أنها سوف تكون مصدر جذب كبير للمواطنين للمشاركة في عملية تمويل التنمية</w:t>
      </w:r>
      <w:r>
        <w:rPr>
          <w:rFonts w:ascii="Simplified Arabic" w:eastAsia="Times New Roman" w:hAnsi="Simplified Arabic" w:cs="Simplified Arabic"/>
          <w:sz w:val="28"/>
          <w:szCs w:val="28"/>
          <w:rtl/>
        </w:rPr>
        <w:t>.</w:t>
      </w:r>
    </w:p>
    <w:p w14:paraId="6EDB9247" w14:textId="77777777" w:rsidR="003E7AF1" w:rsidRDefault="003E7AF1" w:rsidP="0041332D">
      <w:pPr>
        <w:pStyle w:val="ListParagraph"/>
        <w:numPr>
          <w:ilvl w:val="0"/>
          <w:numId w:val="6"/>
        </w:numPr>
        <w:spacing w:after="0" w:line="240" w:lineRule="auto"/>
        <w:ind w:left="448" w:hanging="357"/>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lang w:bidi="ar-EG"/>
        </w:rPr>
        <w:t xml:space="preserve">وضع استراتيجية متوسطة وطويلة الأجل لإدارة المالية. </w:t>
      </w:r>
    </w:p>
    <w:p w14:paraId="78879B09" w14:textId="77777777" w:rsidR="003E7AF1" w:rsidRDefault="003E7AF1" w:rsidP="0041332D">
      <w:pPr>
        <w:pStyle w:val="ListParagraph"/>
        <w:numPr>
          <w:ilvl w:val="0"/>
          <w:numId w:val="6"/>
        </w:numPr>
        <w:spacing w:after="0" w:line="240" w:lineRule="auto"/>
        <w:ind w:left="448" w:hanging="357"/>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lang w:bidi="ar-EG"/>
        </w:rPr>
        <w:t>الشفافية عند وضع السياسات المالية، والتواصل مع الأطراف ذات المصلحة.</w:t>
      </w:r>
    </w:p>
    <w:p w14:paraId="0553A22F" w14:textId="77777777" w:rsidR="003E7AF1" w:rsidRDefault="003E7AF1" w:rsidP="0041332D">
      <w:pPr>
        <w:pStyle w:val="ListParagraph"/>
        <w:numPr>
          <w:ilvl w:val="0"/>
          <w:numId w:val="6"/>
        </w:numPr>
        <w:spacing w:after="0" w:line="240" w:lineRule="auto"/>
        <w:ind w:left="448" w:hanging="357"/>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lang w:bidi="ar-EG"/>
        </w:rPr>
        <w:t>يكون الهدف المعلن للسياسة المالية هو زيادة معدلات النمو الاقتصادي والتشغيل والاستثمار</w:t>
      </w:r>
      <w:r>
        <w:rPr>
          <w:rFonts w:ascii="Simplified Arabic" w:eastAsia="Times New Roman" w:hAnsi="Simplified Arabic" w:cs="Simplified Arabic"/>
          <w:sz w:val="28"/>
          <w:szCs w:val="28"/>
          <w:rtl/>
        </w:rPr>
        <w:t>.</w:t>
      </w:r>
    </w:p>
    <w:p w14:paraId="74818690" w14:textId="77777777" w:rsidR="003E7AF1" w:rsidRDefault="003E7AF1" w:rsidP="0041332D">
      <w:pPr>
        <w:pStyle w:val="ListParagraph"/>
        <w:numPr>
          <w:ilvl w:val="0"/>
          <w:numId w:val="6"/>
        </w:numPr>
        <w:spacing w:after="0" w:line="240" w:lineRule="auto"/>
        <w:ind w:left="448" w:hanging="357"/>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lang w:bidi="ar-EG"/>
        </w:rPr>
        <w:t>اتخاذ إجراءات للتحوط ضد الصدمات الخارجية التي يمكن أن يتعرض لها الاقتصاد المصري</w:t>
      </w:r>
      <w:r>
        <w:rPr>
          <w:rFonts w:ascii="Simplified Arabic" w:eastAsia="Times New Roman" w:hAnsi="Simplified Arabic" w:cs="Simplified Arabic"/>
          <w:sz w:val="28"/>
          <w:szCs w:val="28"/>
          <w:rtl/>
        </w:rPr>
        <w:t>.</w:t>
      </w:r>
    </w:p>
    <w:p w14:paraId="281449EF" w14:textId="77777777" w:rsidR="003E7AF1" w:rsidRDefault="003E7AF1" w:rsidP="0041332D">
      <w:pPr>
        <w:pStyle w:val="ListParagraph"/>
        <w:numPr>
          <w:ilvl w:val="0"/>
          <w:numId w:val="6"/>
        </w:numPr>
        <w:spacing w:after="0" w:line="240" w:lineRule="auto"/>
        <w:ind w:left="448" w:hanging="357"/>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lang w:bidi="ar-EG"/>
        </w:rPr>
        <w:t>وضع سيناريوهات مستقبلية للتعامل مع الأزمات الطارئة التي تؤثر على أوضاع المالية العامة</w:t>
      </w:r>
      <w:r>
        <w:rPr>
          <w:rFonts w:ascii="Simplified Arabic" w:eastAsia="Times New Roman" w:hAnsi="Simplified Arabic" w:cs="Simplified Arabic"/>
          <w:sz w:val="28"/>
          <w:szCs w:val="28"/>
          <w:rtl/>
        </w:rPr>
        <w:t>.</w:t>
      </w:r>
    </w:p>
    <w:p w14:paraId="2D6526F9" w14:textId="77777777" w:rsidR="003E7AF1" w:rsidRDefault="003E7AF1" w:rsidP="0041332D">
      <w:pPr>
        <w:pStyle w:val="ListParagraph"/>
        <w:numPr>
          <w:ilvl w:val="0"/>
          <w:numId w:val="6"/>
        </w:numPr>
        <w:spacing w:after="0" w:line="240" w:lineRule="auto"/>
        <w:ind w:left="448" w:hanging="357"/>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lang w:bidi="ar-EG"/>
        </w:rPr>
        <w:t>توظيف الاستثمارات الحكومية في مكانها الصحيح وهي القطاعات المتعلقة بالأمن القومي، وتلك التي لا يستثمر فيها القطاع الخاص</w:t>
      </w:r>
      <w:r>
        <w:rPr>
          <w:rFonts w:ascii="Simplified Arabic" w:eastAsia="Times New Roman" w:hAnsi="Simplified Arabic" w:cs="Simplified Arabic"/>
          <w:sz w:val="28"/>
          <w:szCs w:val="28"/>
          <w:rtl/>
        </w:rPr>
        <w:t>.</w:t>
      </w:r>
    </w:p>
    <w:p w14:paraId="1C94ED6F" w14:textId="77777777" w:rsidR="003E7AF1" w:rsidRDefault="003E7AF1" w:rsidP="0041332D">
      <w:pPr>
        <w:pStyle w:val="ListParagraph"/>
        <w:numPr>
          <w:ilvl w:val="0"/>
          <w:numId w:val="6"/>
        </w:numPr>
        <w:spacing w:after="0" w:line="240" w:lineRule="auto"/>
        <w:ind w:left="448" w:hanging="357"/>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إجراء دراسات الجدوى للمشروعات التي تنفذها أو تساهم فيها الدولة من خلال الموازنة العامة للدولة.</w:t>
      </w:r>
    </w:p>
    <w:p w14:paraId="18658009" w14:textId="77777777" w:rsidR="003E7AF1" w:rsidRDefault="003E7AF1" w:rsidP="0041332D">
      <w:pPr>
        <w:pStyle w:val="ListParagraph"/>
        <w:numPr>
          <w:ilvl w:val="0"/>
          <w:numId w:val="6"/>
        </w:numPr>
        <w:spacing w:after="0" w:line="240" w:lineRule="auto"/>
        <w:ind w:left="448" w:hanging="357"/>
        <w:jc w:val="both"/>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lang w:bidi="ar-EG"/>
        </w:rPr>
        <w:t>التوقف عن إصدار القرارات الإدارية الخاصة بزيادة بنود الأجور أو الدعم</w:t>
      </w:r>
      <w:r>
        <w:rPr>
          <w:rFonts w:ascii="Simplified Arabic" w:eastAsia="Times New Roman" w:hAnsi="Simplified Arabic" w:cs="Simplified Arabic"/>
          <w:sz w:val="28"/>
          <w:szCs w:val="28"/>
          <w:rtl/>
        </w:rPr>
        <w:t>.</w:t>
      </w:r>
    </w:p>
    <w:p w14:paraId="08EDA267" w14:textId="77777777" w:rsidR="003E7AF1" w:rsidRDefault="003E7AF1" w:rsidP="0041332D">
      <w:pPr>
        <w:pStyle w:val="ListParagraph"/>
        <w:numPr>
          <w:ilvl w:val="0"/>
          <w:numId w:val="6"/>
        </w:numPr>
        <w:spacing w:after="0" w:line="240" w:lineRule="auto"/>
        <w:ind w:left="448" w:hanging="357"/>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lang w:bidi="ar-EG"/>
        </w:rPr>
        <w:t>زيادة الجهد الضريبي، وما يستتبعه من إصلاح منظومة الضرائب وميكنتها</w:t>
      </w:r>
      <w:r>
        <w:rPr>
          <w:rFonts w:ascii="Simplified Arabic" w:eastAsia="Times New Roman" w:hAnsi="Simplified Arabic" w:cs="Simplified Arabic"/>
          <w:sz w:val="28"/>
          <w:szCs w:val="28"/>
          <w:rtl/>
        </w:rPr>
        <w:t>.</w:t>
      </w:r>
    </w:p>
    <w:p w14:paraId="1F7C07B0" w14:textId="77777777" w:rsidR="003E7AF1" w:rsidRDefault="003E7AF1" w:rsidP="0041332D">
      <w:pPr>
        <w:pStyle w:val="ListParagraph"/>
        <w:numPr>
          <w:ilvl w:val="0"/>
          <w:numId w:val="6"/>
        </w:numPr>
        <w:spacing w:after="0" w:line="240" w:lineRule="auto"/>
        <w:ind w:left="448" w:hanging="357"/>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استحداث آلية لاستطلاع آراء المواطنين في المشروعات القومية الكبرى.</w:t>
      </w:r>
    </w:p>
    <w:p w14:paraId="0A0977B4" w14:textId="77777777" w:rsidR="003E7AF1" w:rsidRPr="003E7AF1" w:rsidRDefault="003E7AF1" w:rsidP="003E7AF1">
      <w:pPr>
        <w:rPr>
          <w:rtl/>
          <w:lang w:bidi="ar-EG"/>
        </w:rPr>
      </w:pPr>
    </w:p>
    <w:p w14:paraId="07182C85" w14:textId="69F0F820" w:rsidR="003E7AF1" w:rsidRDefault="003E7AF1">
      <w:pPr>
        <w:bidi w:val="0"/>
        <w:spacing w:after="160" w:line="259" w:lineRule="auto"/>
        <w:rPr>
          <w:rtl/>
        </w:rPr>
      </w:pPr>
      <w:r>
        <w:rPr>
          <w:rtl/>
        </w:rPr>
        <w:br w:type="page"/>
      </w:r>
    </w:p>
    <w:p w14:paraId="5F7775A9" w14:textId="77777777" w:rsidR="003E7AF1" w:rsidRDefault="003E7AF1" w:rsidP="003E7AF1">
      <w:pPr>
        <w:jc w:val="center"/>
        <w:rPr>
          <w:rFonts w:ascii="Simplified Arabic" w:hAnsi="Simplified Arabic" w:cs="Simplified Arabic"/>
          <w:b/>
          <w:bCs/>
          <w:noProof w:val="0"/>
          <w:color w:val="222A35" w:themeColor="text2" w:themeShade="80"/>
          <w:sz w:val="32"/>
          <w:szCs w:val="32"/>
          <w:lang w:bidi="ar-EG"/>
        </w:rPr>
      </w:pPr>
      <w:r>
        <w:rPr>
          <w:rFonts w:ascii="Simplified Arabic" w:hAnsi="Simplified Arabic" w:cs="Simplified Arabic"/>
          <w:b/>
          <w:bCs/>
          <w:color w:val="222A35" w:themeColor="text2" w:themeShade="80"/>
          <w:sz w:val="32"/>
          <w:szCs w:val="32"/>
          <w:rtl/>
          <w:lang w:bidi="ar-EG"/>
        </w:rPr>
        <w:lastRenderedPageBreak/>
        <w:t>فهرس المحتويات</w:t>
      </w:r>
    </w:p>
    <w:p w14:paraId="04E9CCCF" w14:textId="77777777" w:rsidR="003E7AF1" w:rsidRDefault="003E7AF1" w:rsidP="003E7AF1">
      <w:pPr>
        <w:bidi w:val="0"/>
        <w:rPr>
          <w:rFonts w:ascii="Simplified Arabic" w:hAnsi="Simplified Arabic" w:cs="Simplified Arabic"/>
          <w:sz w:val="28"/>
          <w:szCs w:val="28"/>
          <w:rtl/>
          <w:lang w:bidi="ar-EG"/>
        </w:rPr>
      </w:pPr>
    </w:p>
    <w:tbl>
      <w:tblPr>
        <w:tblStyle w:val="a0"/>
        <w:bidiVisual/>
        <w:tblW w:w="8789" w:type="dxa"/>
        <w:jc w:val="center"/>
        <w:tblInd w:w="0" w:type="dxa"/>
        <w:tblLook w:val="04A0" w:firstRow="1" w:lastRow="0" w:firstColumn="1" w:lastColumn="0" w:noHBand="0" w:noVBand="1"/>
      </w:tblPr>
      <w:tblGrid>
        <w:gridCol w:w="7371"/>
        <w:gridCol w:w="1418"/>
      </w:tblGrid>
      <w:tr w:rsidR="003E7AF1" w14:paraId="2BF05581" w14:textId="77777777" w:rsidTr="003E7AF1">
        <w:trPr>
          <w:trHeight w:val="414"/>
          <w:tblHeader/>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1862D0B5" w14:textId="77777777" w:rsidR="003E7AF1" w:rsidRDefault="003E7AF1">
            <w:pPr>
              <w:jc w:val="center"/>
              <w:rPr>
                <w:rFonts w:ascii="Simplified Arabic" w:hAnsi="Simplified Arabic" w:cs="Simplified Arabic"/>
                <w:b/>
                <w:bCs/>
                <w:color w:val="222A35" w:themeColor="text2" w:themeShade="80"/>
                <w:sz w:val="28"/>
                <w:szCs w:val="28"/>
                <w:rtl/>
                <w:lang w:bidi="ar-EG"/>
              </w:rPr>
            </w:pPr>
            <w:r>
              <w:rPr>
                <w:rFonts w:ascii="Simplified Arabic" w:hAnsi="Simplified Arabic" w:cs="Simplified Arabic"/>
                <w:b/>
                <w:bCs/>
                <w:color w:val="222A35" w:themeColor="text2" w:themeShade="80"/>
                <w:sz w:val="28"/>
                <w:szCs w:val="28"/>
                <w:rtl/>
                <w:lang w:bidi="ar-EG"/>
              </w:rPr>
              <w:t>الموضــــــوع</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1ED6960" w14:textId="77777777" w:rsidR="003E7AF1" w:rsidRDefault="003E7AF1">
            <w:pPr>
              <w:jc w:val="center"/>
              <w:rPr>
                <w:rFonts w:ascii="Simplified Arabic" w:hAnsi="Simplified Arabic" w:cs="Simplified Arabic"/>
                <w:b/>
                <w:bCs/>
                <w:color w:val="222A35" w:themeColor="text2" w:themeShade="80"/>
                <w:sz w:val="28"/>
                <w:szCs w:val="28"/>
                <w:rtl/>
                <w:lang w:bidi="ar-EG"/>
              </w:rPr>
            </w:pPr>
            <w:r>
              <w:rPr>
                <w:rFonts w:ascii="Simplified Arabic" w:hAnsi="Simplified Arabic" w:cs="Simplified Arabic"/>
                <w:b/>
                <w:bCs/>
                <w:color w:val="222A35" w:themeColor="text2" w:themeShade="80"/>
                <w:sz w:val="28"/>
                <w:szCs w:val="28"/>
                <w:rtl/>
                <w:lang w:bidi="ar-EG"/>
              </w:rPr>
              <w:t>الصفحة</w:t>
            </w:r>
          </w:p>
        </w:tc>
      </w:tr>
      <w:tr w:rsidR="003E7AF1" w14:paraId="02740B21"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E0CF03C" w14:textId="77777777" w:rsidR="003E7AF1" w:rsidRDefault="003E7AF1">
            <w:pPr>
              <w:jc w:val="center"/>
              <w:rPr>
                <w:rFonts w:ascii="Simplified Arabic" w:hAnsi="Simplified Arabic" w:cs="Simplified Arabic"/>
                <w:b/>
                <w:bCs/>
                <w:color w:val="222A35" w:themeColor="text2" w:themeShade="80"/>
                <w:sz w:val="28"/>
                <w:szCs w:val="28"/>
                <w:rtl/>
                <w:lang w:bidi="ar-EG"/>
              </w:rPr>
            </w:pPr>
            <w:r>
              <w:rPr>
                <w:rFonts w:ascii="Simplified Arabic" w:hAnsi="Simplified Arabic" w:cs="Simplified Arabic"/>
                <w:b/>
                <w:bCs/>
                <w:color w:val="222A35" w:themeColor="text2" w:themeShade="80"/>
                <w:sz w:val="28"/>
                <w:szCs w:val="28"/>
                <w:rtl/>
                <w:lang w:bidi="ar-EG"/>
              </w:rPr>
              <w:t>الإطار العام للدراسة</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168F462" w14:textId="77777777" w:rsidR="003E7AF1" w:rsidRDefault="003E7AF1">
            <w:pPr>
              <w:jc w:val="center"/>
              <w:rPr>
                <w:rFonts w:ascii="Simplified Arabic" w:hAnsi="Simplified Arabic" w:cs="Simplified Arabic"/>
                <w:color w:val="222A35" w:themeColor="text2" w:themeShade="80"/>
                <w:sz w:val="28"/>
                <w:szCs w:val="28"/>
                <w:rtl/>
                <w:lang w:bidi="ar-EG"/>
              </w:rPr>
            </w:pPr>
            <w:r>
              <w:rPr>
                <w:rFonts w:ascii="Simplified Arabic" w:hAnsi="Simplified Arabic" w:cs="Simplified Arabic"/>
                <w:color w:val="222A35" w:themeColor="text2" w:themeShade="80"/>
                <w:sz w:val="28"/>
                <w:szCs w:val="28"/>
                <w:rtl/>
                <w:lang w:bidi="ar-EG"/>
              </w:rPr>
              <w:t>ت- ط ط</w:t>
            </w:r>
          </w:p>
        </w:tc>
      </w:tr>
      <w:tr w:rsidR="003E7AF1" w14:paraId="7F8E00F1"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38DB94F4" w14:textId="77777777" w:rsidR="003E7AF1" w:rsidRDefault="003E7AF1">
            <w:pPr>
              <w:ind w:right="-23"/>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تمهيد</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AEE35AC"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ث</w:t>
            </w:r>
          </w:p>
        </w:tc>
      </w:tr>
      <w:tr w:rsidR="003E7AF1" w14:paraId="3730AFCA"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05C70841" w14:textId="77777777" w:rsidR="003E7AF1" w:rsidRDefault="003E7AF1">
            <w:pPr>
              <w:ind w:right="-23"/>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خلفيات المشكلة</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F944BE7"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ث</w:t>
            </w:r>
          </w:p>
        </w:tc>
      </w:tr>
      <w:tr w:rsidR="003E7AF1" w14:paraId="00153A89"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61D4AE2D" w14:textId="77777777" w:rsidR="003E7AF1" w:rsidRDefault="003E7AF1">
            <w:pPr>
              <w:ind w:right="-23"/>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الدراسات السابقة</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72ACD5D"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ذ</w:t>
            </w:r>
          </w:p>
        </w:tc>
      </w:tr>
      <w:tr w:rsidR="003E7AF1" w14:paraId="7852C076"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497353C4" w14:textId="77777777" w:rsidR="003E7AF1" w:rsidRDefault="003E7AF1">
            <w:pPr>
              <w:ind w:right="-23"/>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تعقيب على الدراسات السابقة</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861504E"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و و</w:t>
            </w:r>
          </w:p>
        </w:tc>
      </w:tr>
      <w:tr w:rsidR="003E7AF1" w14:paraId="7CAB5DF6"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19AE5FF0" w14:textId="77777777" w:rsidR="003E7AF1" w:rsidRDefault="003E7AF1">
            <w:pPr>
              <w:ind w:right="-23"/>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أهمية الدراسة</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1A33169"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ز ز</w:t>
            </w:r>
          </w:p>
        </w:tc>
      </w:tr>
      <w:tr w:rsidR="003E7AF1" w14:paraId="3398ECCF"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554097E2" w14:textId="77777777" w:rsidR="003E7AF1" w:rsidRDefault="003E7AF1">
            <w:pPr>
              <w:ind w:right="-23"/>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أهداف الدراسة</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A0F9A23"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ز ز</w:t>
            </w:r>
          </w:p>
        </w:tc>
      </w:tr>
      <w:tr w:rsidR="003E7AF1" w14:paraId="261AFFE1"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0CC18E9B" w14:textId="77777777" w:rsidR="003E7AF1" w:rsidRDefault="003E7AF1">
            <w:pPr>
              <w:ind w:right="-23"/>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أسئلة الدراسة</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88875C5"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ح ح</w:t>
            </w:r>
          </w:p>
        </w:tc>
      </w:tr>
      <w:tr w:rsidR="003E7AF1" w14:paraId="4136DCD6"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74D71135" w14:textId="77777777" w:rsidR="003E7AF1" w:rsidRDefault="003E7AF1">
            <w:pPr>
              <w:ind w:right="-23"/>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فرضية الدراسة</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9BC207A"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ح ح</w:t>
            </w:r>
          </w:p>
        </w:tc>
      </w:tr>
      <w:tr w:rsidR="003E7AF1" w14:paraId="5C2000A0"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70C2C299" w14:textId="77777777" w:rsidR="003E7AF1" w:rsidRDefault="003E7AF1">
            <w:pPr>
              <w:ind w:right="-23"/>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منهجية الدراسة</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AB06502"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ح ح</w:t>
            </w:r>
          </w:p>
        </w:tc>
      </w:tr>
      <w:tr w:rsidR="003E7AF1" w14:paraId="795AD270"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52C4E08D" w14:textId="77777777" w:rsidR="003E7AF1" w:rsidRDefault="003E7AF1">
            <w:pPr>
              <w:ind w:right="-23"/>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حدود الدراسة</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5E766AC"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ط ط</w:t>
            </w:r>
          </w:p>
        </w:tc>
      </w:tr>
      <w:tr w:rsidR="003E7AF1" w14:paraId="553B7CF4"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2C47F97E" w14:textId="77777777" w:rsidR="003E7AF1" w:rsidRDefault="003E7AF1">
            <w:pPr>
              <w:ind w:right="-23"/>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خطة الدراسة</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03B1257"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ط ط</w:t>
            </w:r>
          </w:p>
        </w:tc>
      </w:tr>
      <w:tr w:rsidR="003E7AF1" w14:paraId="49EC192D" w14:textId="77777777" w:rsidTr="003E7AF1">
        <w:trPr>
          <w:jc w:val="center"/>
        </w:trPr>
        <w:tc>
          <w:tcPr>
            <w:tcW w:w="737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6358550" w14:textId="77777777" w:rsidR="003E7AF1" w:rsidRDefault="003E7AF1">
            <w:pPr>
              <w:jc w:val="center"/>
              <w:rPr>
                <w:rFonts w:ascii="Simplified Arabic" w:eastAsiaTheme="minorEastAsia" w:hAnsi="Simplified Arabic" w:cs="Simplified Arabic"/>
                <w:b/>
                <w:bCs/>
                <w:color w:val="222A35" w:themeColor="text2" w:themeShade="80"/>
                <w:sz w:val="28"/>
                <w:szCs w:val="28"/>
                <w:rtl/>
                <w:lang w:bidi="ar-EG"/>
              </w:rPr>
            </w:pPr>
            <w:r>
              <w:rPr>
                <w:rFonts w:ascii="Simplified Arabic" w:hAnsi="Simplified Arabic" w:cs="Simplified Arabic"/>
                <w:b/>
                <w:bCs/>
                <w:color w:val="222A35" w:themeColor="text2" w:themeShade="80"/>
                <w:sz w:val="28"/>
                <w:szCs w:val="28"/>
                <w:rtl/>
                <w:lang w:bidi="ar-EG"/>
              </w:rPr>
              <w:t>الفصـــل الأول</w:t>
            </w:r>
          </w:p>
          <w:p w14:paraId="2E4844C0" w14:textId="77777777" w:rsidR="003E7AF1" w:rsidRDefault="003E7AF1">
            <w:pPr>
              <w:jc w:val="center"/>
              <w:rPr>
                <w:rFonts w:ascii="Simplified Arabic" w:hAnsi="Simplified Arabic" w:cs="Simplified Arabic"/>
                <w:b/>
                <w:bCs/>
                <w:color w:val="222A35" w:themeColor="text2" w:themeShade="80"/>
                <w:sz w:val="28"/>
                <w:szCs w:val="28"/>
                <w:rtl/>
                <w:lang w:bidi="ar-EG"/>
              </w:rPr>
            </w:pPr>
            <w:r>
              <w:rPr>
                <w:rFonts w:ascii="Simplified Arabic" w:hAnsi="Simplified Arabic" w:cs="Simplified Arabic"/>
                <w:b/>
                <w:bCs/>
                <w:color w:val="222A35" w:themeColor="text2" w:themeShade="80"/>
                <w:sz w:val="28"/>
                <w:szCs w:val="28"/>
                <w:rtl/>
                <w:lang w:bidi="ar-EG"/>
              </w:rPr>
              <w:t>الإطار النظري للعلاقة بين</w:t>
            </w:r>
          </w:p>
          <w:p w14:paraId="258248CD" w14:textId="77777777" w:rsidR="003E7AF1" w:rsidRDefault="003E7AF1">
            <w:pPr>
              <w:jc w:val="center"/>
              <w:rPr>
                <w:rFonts w:ascii="Simplified Arabic" w:hAnsi="Simplified Arabic" w:cs="Simplified Arabic"/>
                <w:color w:val="222A35" w:themeColor="text2" w:themeShade="80"/>
                <w:sz w:val="28"/>
                <w:szCs w:val="28"/>
                <w:rtl/>
                <w:lang w:bidi="ar-EG"/>
              </w:rPr>
            </w:pPr>
            <w:r>
              <w:rPr>
                <w:rFonts w:ascii="Simplified Arabic" w:hAnsi="Simplified Arabic" w:cs="Simplified Arabic"/>
                <w:b/>
                <w:bCs/>
                <w:color w:val="222A35" w:themeColor="text2" w:themeShade="80"/>
                <w:sz w:val="28"/>
                <w:szCs w:val="28"/>
                <w:rtl/>
                <w:lang w:bidi="ar-EG"/>
              </w:rPr>
              <w:t>آليات تمويل عجز الموازنة العامة للدولة والتضخم</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22FAC27" w14:textId="77777777" w:rsidR="003E7AF1" w:rsidRDefault="003E7AF1">
            <w:pPr>
              <w:ind w:right="-23"/>
              <w:jc w:val="center"/>
              <w:rPr>
                <w:rFonts w:ascii="Simplified Arabic" w:hAnsi="Simplified Arabic" w:cs="Simplified Arabic"/>
                <w:color w:val="222A35" w:themeColor="text2" w:themeShade="80"/>
                <w:sz w:val="28"/>
                <w:szCs w:val="28"/>
                <w:rtl/>
                <w:lang w:bidi="ar-EG"/>
              </w:rPr>
            </w:pPr>
            <w:r>
              <w:rPr>
                <w:rFonts w:ascii="Simplified Arabic" w:hAnsi="Simplified Arabic" w:cs="Simplified Arabic"/>
                <w:color w:val="222A35" w:themeColor="text2" w:themeShade="80"/>
                <w:sz w:val="28"/>
                <w:szCs w:val="28"/>
                <w:rtl/>
                <w:lang w:bidi="ar-EG"/>
              </w:rPr>
              <w:t>1 - 29</w:t>
            </w:r>
          </w:p>
        </w:tc>
      </w:tr>
      <w:tr w:rsidR="003E7AF1" w14:paraId="3A829946"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018EB85B" w14:textId="77777777" w:rsidR="003E7AF1" w:rsidRDefault="003E7AF1">
            <w:pPr>
              <w:ind w:right="-23"/>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تمهيد</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B4328D7"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w:t>
            </w:r>
          </w:p>
        </w:tc>
      </w:tr>
      <w:tr w:rsidR="003E7AF1" w14:paraId="07DBC4C7"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3F3ED737" w14:textId="77777777" w:rsidR="003E7AF1" w:rsidRDefault="003E7AF1">
            <w:pPr>
              <w:ind w:right="-23"/>
              <w:jc w:val="both"/>
              <w:rPr>
                <w:rFonts w:ascii="Simplified Arabic" w:eastAsiaTheme="minorEastAsia" w:hAnsi="Simplified Arabic" w:cs="Simplified Arabic"/>
                <w:sz w:val="28"/>
                <w:szCs w:val="28"/>
                <w:rtl/>
                <w:lang w:bidi="ar-EG"/>
              </w:rPr>
            </w:pPr>
            <w:r>
              <w:rPr>
                <w:rFonts w:ascii="Simplified Arabic" w:hAnsi="Simplified Arabic" w:cs="Simplified Arabic"/>
                <w:sz w:val="28"/>
                <w:szCs w:val="28"/>
                <w:rtl/>
                <w:lang w:bidi="ar-EG"/>
              </w:rPr>
              <w:t>المبحث الأول: ظاهرة التضخم</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8D32914"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4</w:t>
            </w:r>
          </w:p>
        </w:tc>
      </w:tr>
      <w:tr w:rsidR="003E7AF1" w14:paraId="43C5EC2C"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1518B7F9" w14:textId="77777777" w:rsidR="003E7AF1" w:rsidRDefault="003E7AF1" w:rsidP="0041332D">
            <w:pPr>
              <w:pStyle w:val="ListParagraph"/>
              <w:numPr>
                <w:ilvl w:val="0"/>
                <w:numId w:val="8"/>
              </w:numPr>
              <w:spacing w:after="0" w:line="240" w:lineRule="auto"/>
              <w:ind w:left="941" w:right="-23" w:hanging="425"/>
              <w:jc w:val="both"/>
              <w:rPr>
                <w:rFonts w:ascii="Simplified Arabic" w:eastAsiaTheme="minorEastAsia" w:hAnsi="Simplified Arabic" w:cs="Simplified Arabic"/>
                <w:sz w:val="28"/>
                <w:szCs w:val="28"/>
                <w:rtl/>
                <w:lang w:bidi="ar-EG"/>
              </w:rPr>
            </w:pPr>
            <w:r>
              <w:rPr>
                <w:rFonts w:ascii="Simplified Arabic" w:hAnsi="Simplified Arabic" w:cs="Simplified Arabic"/>
                <w:sz w:val="28"/>
                <w:szCs w:val="28"/>
                <w:rtl/>
                <w:lang w:bidi="ar-EG"/>
              </w:rPr>
              <w:t>تعريف التضخم</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0568F57"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4</w:t>
            </w:r>
          </w:p>
        </w:tc>
      </w:tr>
      <w:tr w:rsidR="003E7AF1" w14:paraId="7B42C084"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1B023FA9" w14:textId="77777777" w:rsidR="003E7AF1" w:rsidRDefault="003E7AF1" w:rsidP="0041332D">
            <w:pPr>
              <w:pStyle w:val="ListParagraph"/>
              <w:numPr>
                <w:ilvl w:val="0"/>
                <w:numId w:val="8"/>
              </w:numPr>
              <w:spacing w:after="0" w:line="240" w:lineRule="auto"/>
              <w:ind w:left="941" w:right="-23" w:hanging="425"/>
              <w:jc w:val="both"/>
              <w:rPr>
                <w:rFonts w:ascii="Simplified Arabic" w:eastAsiaTheme="minorEastAsia" w:hAnsi="Simplified Arabic" w:cs="Simplified Arabic"/>
                <w:sz w:val="28"/>
                <w:szCs w:val="28"/>
                <w:rtl/>
                <w:lang w:bidi="ar-EG"/>
              </w:rPr>
            </w:pPr>
            <w:r>
              <w:rPr>
                <w:rFonts w:ascii="Simplified Arabic" w:hAnsi="Simplified Arabic" w:cs="Simplified Arabic"/>
                <w:sz w:val="28"/>
                <w:szCs w:val="28"/>
                <w:rtl/>
                <w:lang w:bidi="ar-EG"/>
              </w:rPr>
              <w:t>أنواع التضخم</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050EA8C"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5</w:t>
            </w:r>
          </w:p>
        </w:tc>
      </w:tr>
      <w:tr w:rsidR="003E7AF1" w14:paraId="7F8948D1"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4AE088FB" w14:textId="77777777" w:rsidR="003E7AF1" w:rsidRDefault="003E7AF1" w:rsidP="0041332D">
            <w:pPr>
              <w:pStyle w:val="ListParagraph"/>
              <w:numPr>
                <w:ilvl w:val="0"/>
                <w:numId w:val="8"/>
              </w:numPr>
              <w:spacing w:after="0" w:line="240" w:lineRule="auto"/>
              <w:ind w:left="941" w:right="-23" w:hanging="425"/>
              <w:jc w:val="both"/>
              <w:rPr>
                <w:rFonts w:ascii="Simplified Arabic" w:eastAsiaTheme="minorEastAsia" w:hAnsi="Simplified Arabic" w:cs="Simplified Arabic"/>
                <w:sz w:val="28"/>
                <w:szCs w:val="28"/>
                <w:rtl/>
                <w:lang w:bidi="ar-EG"/>
              </w:rPr>
            </w:pPr>
            <w:r>
              <w:rPr>
                <w:rFonts w:ascii="Simplified Arabic" w:hAnsi="Simplified Arabic" w:cs="Simplified Arabic"/>
                <w:sz w:val="28"/>
                <w:szCs w:val="28"/>
                <w:rtl/>
                <w:lang w:bidi="ar-EG"/>
              </w:rPr>
              <w:t>النظريات المفسرة للتضخم</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2F3D6EF"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7</w:t>
            </w:r>
          </w:p>
        </w:tc>
      </w:tr>
      <w:tr w:rsidR="003E7AF1" w14:paraId="7010D09D"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50BB6A64" w14:textId="77777777" w:rsidR="003E7AF1" w:rsidRDefault="003E7AF1" w:rsidP="0041332D">
            <w:pPr>
              <w:pStyle w:val="ListParagraph"/>
              <w:numPr>
                <w:ilvl w:val="0"/>
                <w:numId w:val="8"/>
              </w:numPr>
              <w:spacing w:after="0" w:line="240" w:lineRule="auto"/>
              <w:ind w:left="941" w:right="-23" w:hanging="425"/>
              <w:jc w:val="both"/>
              <w:rPr>
                <w:rFonts w:ascii="Simplified Arabic" w:eastAsiaTheme="minorEastAsia" w:hAnsi="Simplified Arabic" w:cs="Simplified Arabic"/>
                <w:sz w:val="28"/>
                <w:szCs w:val="28"/>
                <w:rtl/>
                <w:lang w:bidi="ar-EG"/>
              </w:rPr>
            </w:pPr>
            <w:r>
              <w:rPr>
                <w:rFonts w:ascii="Simplified Arabic" w:hAnsi="Simplified Arabic" w:cs="Simplified Arabic"/>
                <w:sz w:val="28"/>
                <w:szCs w:val="28"/>
                <w:rtl/>
                <w:lang w:bidi="ar-EG"/>
              </w:rPr>
              <w:t>آثار التضخم</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0ED70E5"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12</w:t>
            </w:r>
          </w:p>
        </w:tc>
      </w:tr>
      <w:tr w:rsidR="003E7AF1" w14:paraId="4ECB1671"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5020058E" w14:textId="77777777" w:rsidR="003E7AF1" w:rsidRDefault="003E7AF1" w:rsidP="0041332D">
            <w:pPr>
              <w:pStyle w:val="ListParagraph"/>
              <w:numPr>
                <w:ilvl w:val="0"/>
                <w:numId w:val="8"/>
              </w:numPr>
              <w:spacing w:after="0" w:line="240" w:lineRule="auto"/>
              <w:ind w:left="941" w:right="-23" w:hanging="425"/>
              <w:jc w:val="both"/>
              <w:rPr>
                <w:rFonts w:ascii="Simplified Arabic" w:eastAsiaTheme="minorEastAsia" w:hAnsi="Simplified Arabic" w:cs="Simplified Arabic"/>
                <w:sz w:val="28"/>
                <w:szCs w:val="28"/>
                <w:rtl/>
                <w:lang w:bidi="ar-EG"/>
              </w:rPr>
            </w:pPr>
            <w:r>
              <w:rPr>
                <w:rFonts w:ascii="Simplified Arabic" w:hAnsi="Simplified Arabic" w:cs="Simplified Arabic"/>
                <w:sz w:val="28"/>
                <w:szCs w:val="28"/>
                <w:rtl/>
                <w:lang w:bidi="ar-EG"/>
              </w:rPr>
              <w:lastRenderedPageBreak/>
              <w:t>السياسات العلاجية للتضخم</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781EF6D"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12</w:t>
            </w:r>
          </w:p>
        </w:tc>
      </w:tr>
      <w:tr w:rsidR="003E7AF1" w14:paraId="098041B6"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6028D1FA" w14:textId="77777777" w:rsidR="003E7AF1" w:rsidRDefault="003E7AF1">
            <w:pPr>
              <w:ind w:right="-23"/>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المبحث الثاني: عجز الموازنة العامة للدولة</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90C575D"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14</w:t>
            </w:r>
          </w:p>
        </w:tc>
      </w:tr>
      <w:tr w:rsidR="003E7AF1" w14:paraId="4342343C"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18659C11" w14:textId="77777777" w:rsidR="003E7AF1" w:rsidRDefault="003E7AF1" w:rsidP="0041332D">
            <w:pPr>
              <w:pStyle w:val="ListParagraph"/>
              <w:numPr>
                <w:ilvl w:val="0"/>
                <w:numId w:val="9"/>
              </w:numPr>
              <w:spacing w:after="0" w:line="240" w:lineRule="auto"/>
              <w:ind w:left="941" w:hanging="392"/>
              <w:jc w:val="both"/>
              <w:rPr>
                <w:rFonts w:ascii="Simplified Arabic" w:eastAsiaTheme="minorEastAsia" w:hAnsi="Simplified Arabic" w:cs="Simplified Arabic"/>
                <w:sz w:val="28"/>
                <w:szCs w:val="28"/>
                <w:rtl/>
                <w:lang w:bidi="ar-EG"/>
              </w:rPr>
            </w:pPr>
            <w:r>
              <w:rPr>
                <w:rFonts w:ascii="Simplified Arabic" w:hAnsi="Simplified Arabic" w:cs="Simplified Arabic"/>
                <w:sz w:val="28"/>
                <w:szCs w:val="28"/>
                <w:rtl/>
                <w:lang w:bidi="ar-EG"/>
              </w:rPr>
              <w:t>تعريف عجز الموازنة العامة للدولة</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D20ED74"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14</w:t>
            </w:r>
          </w:p>
        </w:tc>
      </w:tr>
      <w:tr w:rsidR="003E7AF1" w14:paraId="267913E5"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5DDACB5F" w14:textId="77777777" w:rsidR="003E7AF1" w:rsidRDefault="003E7AF1" w:rsidP="0041332D">
            <w:pPr>
              <w:pStyle w:val="ListParagraph"/>
              <w:numPr>
                <w:ilvl w:val="0"/>
                <w:numId w:val="9"/>
              </w:numPr>
              <w:spacing w:after="0" w:line="240" w:lineRule="auto"/>
              <w:ind w:left="941" w:hanging="392"/>
              <w:jc w:val="both"/>
              <w:rPr>
                <w:rFonts w:ascii="Simplified Arabic" w:eastAsiaTheme="minorEastAsia" w:hAnsi="Simplified Arabic" w:cs="Simplified Arabic"/>
                <w:sz w:val="28"/>
                <w:szCs w:val="28"/>
                <w:rtl/>
                <w:lang w:bidi="ar-EG"/>
              </w:rPr>
            </w:pPr>
            <w:r>
              <w:rPr>
                <w:rFonts w:ascii="Simplified Arabic" w:hAnsi="Simplified Arabic" w:cs="Simplified Arabic"/>
                <w:sz w:val="28"/>
                <w:szCs w:val="28"/>
                <w:rtl/>
                <w:lang w:bidi="ar-EG"/>
              </w:rPr>
              <w:t>أنواع عجز الموازنة العامة للدولة</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DB8D2BB"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15</w:t>
            </w:r>
          </w:p>
        </w:tc>
      </w:tr>
      <w:tr w:rsidR="003E7AF1" w14:paraId="32544143"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0DFD085E" w14:textId="77777777" w:rsidR="003E7AF1" w:rsidRDefault="003E7AF1" w:rsidP="0041332D">
            <w:pPr>
              <w:pStyle w:val="ListParagraph"/>
              <w:numPr>
                <w:ilvl w:val="0"/>
                <w:numId w:val="9"/>
              </w:numPr>
              <w:spacing w:after="0" w:line="240" w:lineRule="auto"/>
              <w:ind w:left="941" w:hanging="392"/>
              <w:jc w:val="both"/>
              <w:rPr>
                <w:rFonts w:ascii="Simplified Arabic" w:eastAsiaTheme="minorEastAsia" w:hAnsi="Simplified Arabic" w:cs="Simplified Arabic"/>
                <w:sz w:val="28"/>
                <w:szCs w:val="28"/>
                <w:rtl/>
                <w:lang w:bidi="ar-EG"/>
              </w:rPr>
            </w:pPr>
            <w:r>
              <w:rPr>
                <w:rFonts w:ascii="Simplified Arabic" w:hAnsi="Simplified Arabic" w:cs="Simplified Arabic"/>
                <w:sz w:val="28"/>
                <w:szCs w:val="28"/>
                <w:rtl/>
                <w:lang w:bidi="ar-EG"/>
              </w:rPr>
              <w:t>أسباب عجز الموازنة العامة للدولة</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F36BF43"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18</w:t>
            </w:r>
          </w:p>
        </w:tc>
      </w:tr>
      <w:tr w:rsidR="003E7AF1" w14:paraId="77CBCF7A"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65586B99" w14:textId="77777777" w:rsidR="003E7AF1" w:rsidRDefault="003E7AF1">
            <w:pPr>
              <w:ind w:right="-23"/>
              <w:jc w:val="both"/>
              <w:rPr>
                <w:rFonts w:ascii="Simplified Arabic" w:eastAsiaTheme="minorEastAsia" w:hAnsi="Simplified Arabic" w:cs="Simplified Arabic"/>
                <w:sz w:val="28"/>
                <w:szCs w:val="28"/>
                <w:rtl/>
                <w:lang w:bidi="ar-EG"/>
              </w:rPr>
            </w:pPr>
            <w:r>
              <w:rPr>
                <w:rFonts w:ascii="Simplified Arabic" w:hAnsi="Simplified Arabic" w:cs="Simplified Arabic"/>
                <w:sz w:val="28"/>
                <w:szCs w:val="28"/>
                <w:rtl/>
                <w:lang w:bidi="ar-EG"/>
              </w:rPr>
              <w:t>المبحث الثالث: آليات تمويل عجز الموازنة العامة للدولة وأثرها على التضخم</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C24B8A2"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21</w:t>
            </w:r>
          </w:p>
        </w:tc>
      </w:tr>
      <w:tr w:rsidR="003E7AF1" w14:paraId="37620F89"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60E3771A" w14:textId="77777777" w:rsidR="003E7AF1" w:rsidRDefault="003E7AF1" w:rsidP="0041332D">
            <w:pPr>
              <w:pStyle w:val="ListParagraph"/>
              <w:numPr>
                <w:ilvl w:val="0"/>
                <w:numId w:val="10"/>
              </w:numPr>
              <w:spacing w:after="0" w:line="240" w:lineRule="auto"/>
              <w:ind w:left="941"/>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التمويل التضخمي (الإصدار النقدي الجديد)</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15CFCFC"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21</w:t>
            </w:r>
          </w:p>
        </w:tc>
      </w:tr>
      <w:tr w:rsidR="003E7AF1" w14:paraId="6A2E4C94"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47FAD941" w14:textId="77777777" w:rsidR="003E7AF1" w:rsidRDefault="003E7AF1" w:rsidP="0041332D">
            <w:pPr>
              <w:pStyle w:val="ListParagraph"/>
              <w:numPr>
                <w:ilvl w:val="0"/>
                <w:numId w:val="10"/>
              </w:numPr>
              <w:spacing w:after="0" w:line="240" w:lineRule="auto"/>
              <w:ind w:left="941"/>
              <w:jc w:val="both"/>
              <w:rPr>
                <w:rFonts w:ascii="Simplified Arabic" w:eastAsia="Times New Roman" w:hAnsi="Simplified Arabic" w:cs="Simplified Arabic"/>
                <w:sz w:val="28"/>
                <w:szCs w:val="28"/>
                <w:rtl/>
                <w:lang w:bidi="ar-EG"/>
              </w:rPr>
            </w:pPr>
            <w:r>
              <w:rPr>
                <w:rFonts w:ascii="Simplified Arabic" w:hAnsi="Simplified Arabic" w:cs="Simplified Arabic"/>
                <w:sz w:val="28"/>
                <w:szCs w:val="28"/>
                <w:rtl/>
                <w:lang w:bidi="ar-EG"/>
              </w:rPr>
              <w:t>آليات التمويل غير التضخمي</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D6D6E52"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23</w:t>
            </w:r>
          </w:p>
        </w:tc>
      </w:tr>
      <w:tr w:rsidR="003E7AF1" w14:paraId="49C7F784" w14:textId="77777777" w:rsidTr="003E7AF1">
        <w:trPr>
          <w:trHeight w:val="62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0D3CAF4C" w14:textId="77777777" w:rsidR="003E7AF1" w:rsidRDefault="003E7AF1" w:rsidP="0041332D">
            <w:pPr>
              <w:pStyle w:val="ListParagraph"/>
              <w:numPr>
                <w:ilvl w:val="0"/>
                <w:numId w:val="10"/>
              </w:numPr>
              <w:spacing w:after="0" w:line="240" w:lineRule="auto"/>
              <w:ind w:left="941"/>
              <w:jc w:val="both"/>
              <w:rPr>
                <w:rFonts w:ascii="Simplified Arabic" w:eastAsiaTheme="minorEastAsia" w:hAnsi="Simplified Arabic" w:cs="Simplified Arabic"/>
                <w:sz w:val="28"/>
                <w:szCs w:val="28"/>
                <w:rtl/>
                <w:lang w:bidi="ar-EG"/>
              </w:rPr>
            </w:pPr>
            <w:r>
              <w:rPr>
                <w:rFonts w:ascii="Simplified Arabic" w:hAnsi="Simplified Arabic" w:cs="Simplified Arabic"/>
                <w:sz w:val="28"/>
                <w:szCs w:val="28"/>
                <w:rtl/>
                <w:lang w:bidi="ar-EG"/>
              </w:rPr>
              <w:t>مصادر التمويل الأخرى</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C1DAECE"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28</w:t>
            </w:r>
          </w:p>
        </w:tc>
      </w:tr>
      <w:tr w:rsidR="003E7AF1" w14:paraId="0B14A57F" w14:textId="77777777" w:rsidTr="003E7AF1">
        <w:trPr>
          <w:trHeight w:val="1607"/>
          <w:jc w:val="center"/>
        </w:trPr>
        <w:tc>
          <w:tcPr>
            <w:tcW w:w="737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76F6556" w14:textId="77777777" w:rsidR="003E7AF1" w:rsidRDefault="003E7AF1">
            <w:pPr>
              <w:jc w:val="center"/>
              <w:rPr>
                <w:rFonts w:ascii="Simplified Arabic" w:eastAsiaTheme="minorEastAsia" w:hAnsi="Simplified Arabic" w:cs="Simplified Arabic"/>
                <w:b/>
                <w:bCs/>
                <w:color w:val="222A35" w:themeColor="text2" w:themeShade="80"/>
                <w:sz w:val="28"/>
                <w:szCs w:val="28"/>
                <w:rtl/>
                <w:lang w:bidi="ar-EG"/>
              </w:rPr>
            </w:pPr>
            <w:r>
              <w:rPr>
                <w:rFonts w:ascii="Simplified Arabic" w:hAnsi="Simplified Arabic" w:cs="Simplified Arabic"/>
                <w:b/>
                <w:bCs/>
                <w:color w:val="222A35" w:themeColor="text2" w:themeShade="80"/>
                <w:sz w:val="28"/>
                <w:szCs w:val="28"/>
                <w:rtl/>
                <w:lang w:bidi="ar-EG"/>
              </w:rPr>
              <w:t>الفصل الثاني:</w:t>
            </w:r>
          </w:p>
          <w:p w14:paraId="278F5AAD" w14:textId="77777777" w:rsidR="003E7AF1" w:rsidRDefault="003E7AF1">
            <w:pPr>
              <w:jc w:val="center"/>
              <w:rPr>
                <w:rFonts w:ascii="Simplified Arabic" w:hAnsi="Simplified Arabic" w:cs="Simplified Arabic"/>
                <w:b/>
                <w:bCs/>
                <w:color w:val="222A35" w:themeColor="text2" w:themeShade="80"/>
                <w:sz w:val="28"/>
                <w:szCs w:val="28"/>
                <w:rtl/>
                <w:lang w:bidi="ar-EG"/>
              </w:rPr>
            </w:pPr>
            <w:r>
              <w:rPr>
                <w:rFonts w:ascii="Simplified Arabic" w:hAnsi="Simplified Arabic" w:cs="Simplified Arabic"/>
                <w:b/>
                <w:bCs/>
                <w:color w:val="222A35" w:themeColor="text2" w:themeShade="80"/>
                <w:sz w:val="28"/>
                <w:szCs w:val="28"/>
                <w:rtl/>
                <w:lang w:bidi="ar-EG"/>
              </w:rPr>
              <w:t>تحليل العلاقة بين آليات تمويل عجز الموازنة العامة</w:t>
            </w:r>
          </w:p>
          <w:p w14:paraId="41966ECC" w14:textId="77777777" w:rsidR="003E7AF1" w:rsidRDefault="003E7AF1">
            <w:pPr>
              <w:jc w:val="center"/>
              <w:rPr>
                <w:rFonts w:ascii="Simplified Arabic" w:hAnsi="Simplified Arabic" w:cs="Simplified Arabic"/>
                <w:color w:val="222A35" w:themeColor="text2" w:themeShade="80"/>
                <w:sz w:val="28"/>
                <w:szCs w:val="28"/>
                <w:rtl/>
                <w:lang w:bidi="ar-EG"/>
              </w:rPr>
            </w:pPr>
            <w:r>
              <w:rPr>
                <w:rFonts w:ascii="Simplified Arabic" w:hAnsi="Simplified Arabic" w:cs="Simplified Arabic"/>
                <w:b/>
                <w:bCs/>
                <w:color w:val="222A35" w:themeColor="text2" w:themeShade="80"/>
                <w:sz w:val="28"/>
                <w:szCs w:val="28"/>
                <w:rtl/>
                <w:lang w:bidi="ar-EG"/>
              </w:rPr>
              <w:t>والتضخم في مصر خلال الفترة 1991- 2019</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3255AAE" w14:textId="77777777" w:rsidR="003E7AF1" w:rsidRDefault="003E7AF1">
            <w:pPr>
              <w:ind w:right="-23"/>
              <w:jc w:val="center"/>
              <w:rPr>
                <w:rFonts w:ascii="Simplified Arabic" w:hAnsi="Simplified Arabic" w:cs="Simplified Arabic"/>
                <w:color w:val="222A35" w:themeColor="text2" w:themeShade="80"/>
                <w:sz w:val="28"/>
                <w:szCs w:val="28"/>
                <w:rtl/>
                <w:lang w:bidi="ar-EG"/>
              </w:rPr>
            </w:pPr>
            <w:r>
              <w:rPr>
                <w:rFonts w:ascii="Simplified Arabic" w:hAnsi="Simplified Arabic" w:cs="Simplified Arabic"/>
                <w:color w:val="222A35" w:themeColor="text2" w:themeShade="80"/>
                <w:sz w:val="28"/>
                <w:szCs w:val="28"/>
                <w:rtl/>
                <w:lang w:bidi="ar-EG"/>
              </w:rPr>
              <w:t>30 – 75</w:t>
            </w:r>
          </w:p>
        </w:tc>
      </w:tr>
      <w:tr w:rsidR="003E7AF1" w14:paraId="7930704A" w14:textId="77777777" w:rsidTr="003E7AF1">
        <w:trPr>
          <w:trHeight w:val="551"/>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321DBC46" w14:textId="77777777" w:rsidR="003E7AF1" w:rsidRDefault="003E7AF1">
            <w:pPr>
              <w:ind w:right="-23"/>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تمهيد</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9CC99AE"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31</w:t>
            </w:r>
          </w:p>
        </w:tc>
      </w:tr>
      <w:tr w:rsidR="003E7AF1" w14:paraId="58CD8DAB" w14:textId="77777777" w:rsidTr="003E7AF1">
        <w:trPr>
          <w:trHeight w:val="680"/>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5250BD0B" w14:textId="77777777" w:rsidR="003E7AF1" w:rsidRDefault="003E7AF1">
            <w:pPr>
              <w:ind w:right="-23"/>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المبحث الأول: تحليل</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العلاقة</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بين</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آليات</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تمويل</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عجز</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الموازنة</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والتضخم</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في</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مصر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E713A11"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34</w:t>
            </w:r>
          </w:p>
        </w:tc>
      </w:tr>
      <w:tr w:rsidR="003E7AF1" w14:paraId="6C663E46" w14:textId="77777777" w:rsidTr="003E7AF1">
        <w:trPr>
          <w:trHeight w:val="680"/>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60C0BDC0" w14:textId="77777777" w:rsidR="003E7AF1" w:rsidRDefault="003E7AF1">
            <w:pPr>
              <w:ind w:left="549"/>
              <w:jc w:val="both"/>
              <w:rPr>
                <w:rFonts w:ascii="Simplified Arabic" w:hAnsi="Simplified Arabic" w:cs="Simplified Arabic"/>
                <w:sz w:val="28"/>
                <w:szCs w:val="28"/>
                <w:rtl/>
                <w:lang w:bidi="ar-EG"/>
              </w:rPr>
            </w:pPr>
            <w:bookmarkStart w:id="0" w:name="_Hlk49154513"/>
            <w:r>
              <w:rPr>
                <w:rFonts w:ascii="Simplified Arabic" w:hAnsi="Simplified Arabic" w:cs="Simplified Arabic"/>
                <w:sz w:val="28"/>
                <w:szCs w:val="28"/>
                <w:rtl/>
                <w:lang w:bidi="ar-EG"/>
              </w:rPr>
              <w:t>أولاً: تحليل للفترة من 1991/1992 إلى 1997/1998</w:t>
            </w:r>
            <w:bookmarkEnd w:id="0"/>
          </w:p>
        </w:tc>
        <w:tc>
          <w:tcPr>
            <w:tcW w:w="1418" w:type="dxa"/>
            <w:tcBorders>
              <w:top w:val="single" w:sz="4" w:space="0" w:color="auto"/>
              <w:left w:val="single" w:sz="4" w:space="0" w:color="auto"/>
              <w:bottom w:val="single" w:sz="4" w:space="0" w:color="auto"/>
              <w:right w:val="single" w:sz="4" w:space="0" w:color="auto"/>
            </w:tcBorders>
            <w:vAlign w:val="center"/>
            <w:hideMark/>
          </w:tcPr>
          <w:p w14:paraId="5D3C466A"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34</w:t>
            </w:r>
          </w:p>
        </w:tc>
      </w:tr>
      <w:tr w:rsidR="003E7AF1" w14:paraId="45E7ED46" w14:textId="77777777" w:rsidTr="003E7AF1">
        <w:trPr>
          <w:trHeight w:val="680"/>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2970079B" w14:textId="77777777" w:rsidR="003E7AF1" w:rsidRDefault="003E7AF1">
            <w:pPr>
              <w:ind w:left="549"/>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ثانياً: تحليل للفترة من 1998/1999 إلى 2010/2011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9E088AB"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45</w:t>
            </w:r>
          </w:p>
        </w:tc>
      </w:tr>
      <w:tr w:rsidR="003E7AF1" w14:paraId="14022407" w14:textId="77777777" w:rsidTr="003E7AF1">
        <w:trPr>
          <w:trHeight w:val="903"/>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6D867882" w14:textId="77777777" w:rsidR="003E7AF1" w:rsidRDefault="003E7AF1">
            <w:pPr>
              <w:ind w:left="549"/>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ثالثاً: تحليل للفترة من 2011/2012إلى 2018/2019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ACA0A83"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60</w:t>
            </w:r>
          </w:p>
        </w:tc>
      </w:tr>
      <w:tr w:rsidR="003E7AF1" w14:paraId="6D1B5097" w14:textId="77777777" w:rsidTr="003E7AF1">
        <w:trPr>
          <w:trHeight w:val="629"/>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312CCB41" w14:textId="77777777" w:rsidR="003E7AF1" w:rsidRDefault="003E7AF1">
            <w:pPr>
              <w:ind w:right="-23"/>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المبحث الثاني: خاتمة (نظرة عامة)</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E7E449F"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70</w:t>
            </w:r>
          </w:p>
        </w:tc>
      </w:tr>
      <w:tr w:rsidR="003E7AF1" w14:paraId="193C3574" w14:textId="77777777" w:rsidTr="003E7AF1">
        <w:trPr>
          <w:trHeight w:val="1260"/>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4BEF9FF9" w14:textId="77777777" w:rsidR="003E7AF1" w:rsidRDefault="003E7AF1">
            <w:pPr>
              <w:ind w:left="1083" w:hanging="567"/>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أولاً: قياس العلاقة بين مصادر تمويل عجز الموازنة العامة والتضخم</w:t>
            </w:r>
            <w:r>
              <w:rPr>
                <w:rFonts w:ascii="Simplified Arabic" w:hAnsi="Simplified Arabic" w:cs="Simplified Arabic"/>
                <w:sz w:val="28"/>
                <w:szCs w:val="28"/>
                <w:rtl/>
                <w:lang w:bidi="ar-EG"/>
              </w:rPr>
              <w:br/>
              <w:t>1991 - 2019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2D8FBAF"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70</w:t>
            </w:r>
          </w:p>
        </w:tc>
      </w:tr>
      <w:tr w:rsidR="003E7AF1" w14:paraId="63092497" w14:textId="77777777" w:rsidTr="003E7AF1">
        <w:trPr>
          <w:trHeight w:val="680"/>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35DB648E" w14:textId="77777777" w:rsidR="003E7AF1" w:rsidRDefault="003E7AF1">
            <w:pPr>
              <w:ind w:left="1083" w:hanging="567"/>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ثانياً: نظرة عامة على العلاقة بين مصادر تمويل عجز الموازنة العامة والتضخم 1991 - 2019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CAD6504"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72</w:t>
            </w:r>
          </w:p>
        </w:tc>
      </w:tr>
      <w:tr w:rsidR="003E7AF1" w14:paraId="095317F5" w14:textId="77777777" w:rsidTr="003E7AF1">
        <w:trPr>
          <w:jc w:val="center"/>
        </w:trPr>
        <w:tc>
          <w:tcPr>
            <w:tcW w:w="737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0CDA266" w14:textId="77777777" w:rsidR="003E7AF1" w:rsidRDefault="003E7AF1">
            <w:pPr>
              <w:jc w:val="center"/>
              <w:rPr>
                <w:rFonts w:ascii="Simplified Arabic" w:hAnsi="Simplified Arabic" w:cs="Simplified Arabic"/>
                <w:b/>
                <w:bCs/>
                <w:color w:val="222A35" w:themeColor="text2" w:themeShade="80"/>
                <w:sz w:val="28"/>
                <w:szCs w:val="28"/>
                <w:rtl/>
                <w:lang w:bidi="ar-EG"/>
              </w:rPr>
            </w:pPr>
            <w:r>
              <w:rPr>
                <w:rFonts w:ascii="Simplified Arabic" w:hAnsi="Simplified Arabic" w:cs="Simplified Arabic"/>
                <w:b/>
                <w:bCs/>
                <w:color w:val="222A35" w:themeColor="text2" w:themeShade="80"/>
                <w:sz w:val="28"/>
                <w:szCs w:val="28"/>
                <w:rtl/>
                <w:lang w:bidi="ar-EG"/>
              </w:rPr>
              <w:lastRenderedPageBreak/>
              <w:t>الفصـــل الثالث:</w:t>
            </w:r>
          </w:p>
          <w:p w14:paraId="1BDC1253" w14:textId="77777777" w:rsidR="003E7AF1" w:rsidRDefault="003E7AF1">
            <w:pPr>
              <w:jc w:val="center"/>
              <w:rPr>
                <w:rFonts w:ascii="Simplified Arabic" w:hAnsi="Simplified Arabic" w:cs="Simplified Arabic"/>
                <w:b/>
                <w:bCs/>
                <w:color w:val="222A35" w:themeColor="text2" w:themeShade="80"/>
                <w:sz w:val="28"/>
                <w:szCs w:val="28"/>
                <w:rtl/>
                <w:lang w:bidi="ar-EG"/>
              </w:rPr>
            </w:pPr>
            <w:r>
              <w:rPr>
                <w:rFonts w:ascii="Simplified Arabic" w:hAnsi="Simplified Arabic" w:cs="Simplified Arabic"/>
                <w:b/>
                <w:bCs/>
                <w:color w:val="222A35" w:themeColor="text2" w:themeShade="80"/>
                <w:sz w:val="28"/>
                <w:szCs w:val="28"/>
                <w:rtl/>
                <w:lang w:bidi="ar-EG"/>
              </w:rPr>
              <w:t>الدراسة التطبيقية للعلاقة بين</w:t>
            </w:r>
          </w:p>
          <w:p w14:paraId="64B7C9F3" w14:textId="77777777" w:rsidR="003E7AF1" w:rsidRDefault="003E7AF1">
            <w:pPr>
              <w:jc w:val="center"/>
              <w:rPr>
                <w:rFonts w:ascii="Simplified Arabic" w:hAnsi="Simplified Arabic" w:cs="Simplified Arabic"/>
                <w:color w:val="222A35" w:themeColor="text2" w:themeShade="80"/>
                <w:sz w:val="28"/>
                <w:szCs w:val="28"/>
                <w:rtl/>
                <w:lang w:bidi="ar-EG"/>
              </w:rPr>
            </w:pPr>
            <w:r>
              <w:rPr>
                <w:rFonts w:ascii="Simplified Arabic" w:hAnsi="Simplified Arabic" w:cs="Simplified Arabic"/>
                <w:b/>
                <w:bCs/>
                <w:color w:val="222A35" w:themeColor="text2" w:themeShade="80"/>
                <w:sz w:val="28"/>
                <w:szCs w:val="28"/>
                <w:rtl/>
                <w:lang w:bidi="ar-EG"/>
              </w:rPr>
              <w:t>آليات تمويل عجز الموازنة العامة والتضخم في مصر</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9CB5A46" w14:textId="77777777" w:rsidR="003E7AF1" w:rsidRDefault="003E7AF1">
            <w:pPr>
              <w:ind w:right="-23"/>
              <w:jc w:val="center"/>
              <w:rPr>
                <w:rFonts w:ascii="Simplified Arabic" w:hAnsi="Simplified Arabic" w:cs="Simplified Arabic"/>
                <w:color w:val="222A35" w:themeColor="text2" w:themeShade="80"/>
                <w:sz w:val="28"/>
                <w:szCs w:val="28"/>
                <w:rtl/>
                <w:lang w:bidi="ar-EG"/>
              </w:rPr>
            </w:pPr>
            <w:r>
              <w:rPr>
                <w:rFonts w:ascii="Simplified Arabic" w:hAnsi="Simplified Arabic" w:cs="Simplified Arabic"/>
                <w:color w:val="222A35" w:themeColor="text2" w:themeShade="80"/>
                <w:sz w:val="28"/>
                <w:szCs w:val="28"/>
                <w:rtl/>
                <w:lang w:bidi="ar-EG"/>
              </w:rPr>
              <w:t xml:space="preserve">76 - 94 </w:t>
            </w:r>
          </w:p>
        </w:tc>
      </w:tr>
      <w:tr w:rsidR="003E7AF1" w14:paraId="389D2395" w14:textId="77777777" w:rsidTr="003E7AF1">
        <w:trPr>
          <w:trHeight w:val="79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53CAD477" w14:textId="77777777" w:rsidR="003E7AF1" w:rsidRDefault="003E7AF1">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تمهيد</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745B77E"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77</w:t>
            </w:r>
          </w:p>
        </w:tc>
      </w:tr>
      <w:tr w:rsidR="003E7AF1" w14:paraId="5D99613D" w14:textId="77777777" w:rsidTr="003E7AF1">
        <w:trPr>
          <w:trHeight w:val="79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7F6AD78D" w14:textId="77777777" w:rsidR="003E7AF1" w:rsidRDefault="003E7AF1">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المبحث الأول: العوامل الأساسية المؤثرة على التضخم في مصر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0DC46EA"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78</w:t>
            </w:r>
          </w:p>
        </w:tc>
      </w:tr>
      <w:tr w:rsidR="003E7AF1" w14:paraId="4FD3968C" w14:textId="77777777" w:rsidTr="003E7AF1">
        <w:trPr>
          <w:trHeight w:val="794"/>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14:paraId="60344005" w14:textId="77777777" w:rsidR="003E7AF1" w:rsidRDefault="003E7AF1">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المبحث الثاني: القياسية</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للعلاقة</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بين</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آليات</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تمويل</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عجز</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الموازنة</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العامة</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والتضخم</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F88D802"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84</w:t>
            </w:r>
          </w:p>
        </w:tc>
      </w:tr>
      <w:tr w:rsidR="003E7AF1" w14:paraId="55CE16BD" w14:textId="77777777" w:rsidTr="003E7AF1">
        <w:trPr>
          <w:trHeight w:val="794"/>
          <w:jc w:val="center"/>
        </w:trPr>
        <w:tc>
          <w:tcPr>
            <w:tcW w:w="737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3436031" w14:textId="77777777" w:rsidR="003E7AF1" w:rsidRDefault="003E7AF1" w:rsidP="0041332D">
            <w:pPr>
              <w:pStyle w:val="ListParagraph"/>
              <w:numPr>
                <w:ilvl w:val="0"/>
                <w:numId w:val="11"/>
              </w:numPr>
              <w:spacing w:after="0" w:line="240" w:lineRule="auto"/>
              <w:ind w:left="374"/>
              <w:jc w:val="both"/>
              <w:rPr>
                <w:rFonts w:ascii="Simplified Arabic" w:hAnsi="Simplified Arabic" w:cs="Simplified Arabic"/>
                <w:color w:val="222A35" w:themeColor="text2" w:themeShade="80"/>
                <w:sz w:val="28"/>
                <w:szCs w:val="28"/>
                <w:rtl/>
                <w:lang w:bidi="ar-EG"/>
              </w:rPr>
            </w:pPr>
            <w:r>
              <w:rPr>
                <w:rFonts w:ascii="Simplified Arabic" w:hAnsi="Simplified Arabic" w:cs="Simplified Arabic"/>
                <w:color w:val="222A35" w:themeColor="text2" w:themeShade="80"/>
                <w:sz w:val="28"/>
                <w:szCs w:val="28"/>
                <w:rtl/>
                <w:lang w:bidi="ar-EG"/>
              </w:rPr>
              <w:t>نتائج الدراسة</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ACDD76C" w14:textId="77777777" w:rsidR="003E7AF1" w:rsidRDefault="003E7AF1">
            <w:pPr>
              <w:ind w:right="-23"/>
              <w:jc w:val="center"/>
              <w:rPr>
                <w:rFonts w:ascii="Simplified Arabic" w:hAnsi="Simplified Arabic" w:cs="Simplified Arabic"/>
                <w:color w:val="222A35" w:themeColor="text2" w:themeShade="80"/>
                <w:sz w:val="28"/>
                <w:szCs w:val="28"/>
                <w:rtl/>
                <w:lang w:bidi="ar-EG"/>
              </w:rPr>
            </w:pPr>
            <w:r>
              <w:rPr>
                <w:rFonts w:ascii="Simplified Arabic" w:hAnsi="Simplified Arabic" w:cs="Simplified Arabic"/>
                <w:color w:val="222A35" w:themeColor="text2" w:themeShade="80"/>
                <w:sz w:val="28"/>
                <w:szCs w:val="28"/>
                <w:rtl/>
                <w:lang w:bidi="ar-EG"/>
              </w:rPr>
              <w:t>95</w:t>
            </w:r>
          </w:p>
        </w:tc>
      </w:tr>
      <w:tr w:rsidR="003E7AF1" w14:paraId="226D0051" w14:textId="77777777" w:rsidTr="003E7AF1">
        <w:trPr>
          <w:trHeight w:val="745"/>
          <w:jc w:val="center"/>
        </w:trPr>
        <w:tc>
          <w:tcPr>
            <w:tcW w:w="737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E4B2C98" w14:textId="77777777" w:rsidR="003E7AF1" w:rsidRDefault="003E7AF1" w:rsidP="0041332D">
            <w:pPr>
              <w:pStyle w:val="ListParagraph"/>
              <w:numPr>
                <w:ilvl w:val="0"/>
                <w:numId w:val="11"/>
              </w:numPr>
              <w:spacing w:after="0" w:line="240" w:lineRule="auto"/>
              <w:ind w:left="374"/>
              <w:jc w:val="both"/>
              <w:rPr>
                <w:rFonts w:ascii="Simplified Arabic" w:hAnsi="Simplified Arabic" w:cs="Simplified Arabic"/>
                <w:color w:val="222A35" w:themeColor="text2" w:themeShade="80"/>
                <w:sz w:val="28"/>
                <w:szCs w:val="28"/>
                <w:rtl/>
                <w:lang w:bidi="ar-EG"/>
              </w:rPr>
            </w:pPr>
            <w:r>
              <w:rPr>
                <w:rFonts w:ascii="Simplified Arabic" w:hAnsi="Simplified Arabic" w:cs="Simplified Arabic"/>
                <w:color w:val="222A35" w:themeColor="text2" w:themeShade="80"/>
                <w:sz w:val="28"/>
                <w:szCs w:val="28"/>
                <w:rtl/>
                <w:lang w:bidi="ar-EG"/>
              </w:rPr>
              <w:t>توصيات الدراسة</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4FABE8E" w14:textId="77777777" w:rsidR="003E7AF1" w:rsidRDefault="003E7AF1">
            <w:pPr>
              <w:ind w:right="-23"/>
              <w:jc w:val="center"/>
              <w:rPr>
                <w:rFonts w:ascii="Simplified Arabic" w:hAnsi="Simplified Arabic" w:cs="Simplified Arabic"/>
                <w:color w:val="222A35" w:themeColor="text2" w:themeShade="80"/>
                <w:sz w:val="28"/>
                <w:szCs w:val="28"/>
                <w:rtl/>
                <w:lang w:bidi="ar-EG"/>
              </w:rPr>
            </w:pPr>
            <w:r>
              <w:rPr>
                <w:rFonts w:ascii="Simplified Arabic" w:hAnsi="Simplified Arabic" w:cs="Simplified Arabic"/>
                <w:color w:val="222A35" w:themeColor="text2" w:themeShade="80"/>
                <w:sz w:val="28"/>
                <w:szCs w:val="28"/>
                <w:rtl/>
                <w:lang w:bidi="ar-EG"/>
              </w:rPr>
              <w:t>99</w:t>
            </w:r>
          </w:p>
        </w:tc>
      </w:tr>
      <w:tr w:rsidR="003E7AF1" w14:paraId="2A579EE3" w14:textId="77777777" w:rsidTr="003E7AF1">
        <w:trPr>
          <w:trHeight w:val="745"/>
          <w:jc w:val="center"/>
        </w:trPr>
        <w:tc>
          <w:tcPr>
            <w:tcW w:w="737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AB1D5C7" w14:textId="77777777" w:rsidR="003E7AF1" w:rsidRDefault="003E7AF1" w:rsidP="0041332D">
            <w:pPr>
              <w:pStyle w:val="ListParagraph"/>
              <w:numPr>
                <w:ilvl w:val="0"/>
                <w:numId w:val="11"/>
              </w:numPr>
              <w:spacing w:after="0" w:line="240" w:lineRule="auto"/>
              <w:ind w:left="374" w:right="-23"/>
              <w:jc w:val="both"/>
              <w:rPr>
                <w:rFonts w:ascii="Simplified Arabic" w:eastAsia="Times New Roman" w:hAnsi="Simplified Arabic" w:cs="Simplified Arabic"/>
                <w:sz w:val="28"/>
                <w:szCs w:val="28"/>
                <w:rtl/>
                <w:lang w:bidi="ar-EG"/>
              </w:rPr>
            </w:pPr>
            <w:r>
              <w:rPr>
                <w:rFonts w:ascii="Simplified Arabic" w:hAnsi="Simplified Arabic" w:cs="Simplified Arabic"/>
                <w:color w:val="222A35" w:themeColor="text2" w:themeShade="80"/>
                <w:sz w:val="28"/>
                <w:szCs w:val="28"/>
                <w:rtl/>
                <w:lang w:bidi="ar-EG"/>
              </w:rPr>
              <w:t>قائمة المراجع</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3630F88" w14:textId="77777777" w:rsidR="003E7AF1" w:rsidRDefault="003E7AF1">
            <w:pPr>
              <w:ind w:right="-23"/>
              <w:jc w:val="center"/>
              <w:rPr>
                <w:rFonts w:ascii="Simplified Arabic" w:eastAsiaTheme="minorEastAsia" w:hAnsi="Simplified Arabic" w:cs="Simplified Arabic"/>
                <w:color w:val="222A35" w:themeColor="text2" w:themeShade="80"/>
                <w:sz w:val="28"/>
                <w:szCs w:val="28"/>
                <w:rtl/>
                <w:lang w:bidi="ar-EG"/>
              </w:rPr>
            </w:pPr>
            <w:r>
              <w:rPr>
                <w:rFonts w:ascii="Simplified Arabic" w:hAnsi="Simplified Arabic" w:cs="Simplified Arabic"/>
                <w:color w:val="222A35" w:themeColor="text2" w:themeShade="80"/>
                <w:sz w:val="28"/>
                <w:szCs w:val="28"/>
                <w:rtl/>
                <w:lang w:bidi="ar-EG"/>
              </w:rPr>
              <w:t>102</w:t>
            </w:r>
          </w:p>
        </w:tc>
      </w:tr>
      <w:tr w:rsidR="003E7AF1" w14:paraId="17D5A144" w14:textId="77777777" w:rsidTr="003E7AF1">
        <w:trPr>
          <w:trHeight w:val="745"/>
          <w:jc w:val="center"/>
        </w:trPr>
        <w:tc>
          <w:tcPr>
            <w:tcW w:w="737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E773311" w14:textId="77777777" w:rsidR="003E7AF1" w:rsidRDefault="003E7AF1" w:rsidP="0041332D">
            <w:pPr>
              <w:pStyle w:val="ListParagraph"/>
              <w:numPr>
                <w:ilvl w:val="0"/>
                <w:numId w:val="11"/>
              </w:numPr>
              <w:spacing w:after="0" w:line="240" w:lineRule="auto"/>
              <w:ind w:left="374" w:right="-23"/>
              <w:jc w:val="both"/>
              <w:rPr>
                <w:rFonts w:ascii="Simplified Arabic" w:hAnsi="Simplified Arabic" w:cs="Simplified Arabic"/>
                <w:color w:val="222A35" w:themeColor="text2" w:themeShade="80"/>
                <w:sz w:val="28"/>
                <w:szCs w:val="28"/>
                <w:rtl/>
                <w:lang w:bidi="ar-EG"/>
              </w:rPr>
            </w:pPr>
            <w:r>
              <w:rPr>
                <w:rFonts w:ascii="Simplified Arabic" w:hAnsi="Simplified Arabic" w:cs="Simplified Arabic"/>
                <w:color w:val="222A35" w:themeColor="text2" w:themeShade="80"/>
                <w:sz w:val="28"/>
                <w:szCs w:val="28"/>
                <w:rtl/>
                <w:lang w:bidi="ar-EG"/>
              </w:rPr>
              <w:t xml:space="preserve">الملاحق </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DEF13C1" w14:textId="77777777" w:rsidR="003E7AF1" w:rsidRDefault="003E7AF1">
            <w:pPr>
              <w:ind w:right="-23"/>
              <w:jc w:val="center"/>
              <w:rPr>
                <w:rFonts w:ascii="Simplified Arabic" w:hAnsi="Simplified Arabic" w:cs="Simplified Arabic"/>
                <w:color w:val="222A35" w:themeColor="text2" w:themeShade="80"/>
                <w:sz w:val="28"/>
                <w:szCs w:val="28"/>
                <w:rtl/>
                <w:lang w:bidi="ar-EG"/>
              </w:rPr>
            </w:pPr>
            <w:r>
              <w:rPr>
                <w:rFonts w:ascii="Simplified Arabic" w:hAnsi="Simplified Arabic" w:cs="Simplified Arabic"/>
                <w:color w:val="222A35" w:themeColor="text2" w:themeShade="80"/>
                <w:sz w:val="28"/>
                <w:szCs w:val="28"/>
                <w:rtl/>
                <w:lang w:bidi="ar-EG"/>
              </w:rPr>
              <w:t>110</w:t>
            </w:r>
          </w:p>
        </w:tc>
      </w:tr>
      <w:tr w:rsidR="003E7AF1" w14:paraId="37135CCF" w14:textId="77777777" w:rsidTr="003E7AF1">
        <w:trPr>
          <w:trHeight w:val="745"/>
          <w:jc w:val="center"/>
        </w:trPr>
        <w:tc>
          <w:tcPr>
            <w:tcW w:w="737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998727C" w14:textId="77777777" w:rsidR="003E7AF1" w:rsidRDefault="003E7AF1" w:rsidP="0041332D">
            <w:pPr>
              <w:pStyle w:val="ListParagraph"/>
              <w:numPr>
                <w:ilvl w:val="0"/>
                <w:numId w:val="11"/>
              </w:numPr>
              <w:spacing w:after="0" w:line="240" w:lineRule="auto"/>
              <w:ind w:left="374" w:right="-23"/>
              <w:jc w:val="both"/>
              <w:rPr>
                <w:rFonts w:ascii="Simplified Arabic" w:hAnsi="Simplified Arabic" w:cs="Simplified Arabic"/>
                <w:color w:val="222A35" w:themeColor="text2" w:themeShade="80"/>
                <w:sz w:val="28"/>
                <w:szCs w:val="28"/>
                <w:rtl/>
                <w:lang w:bidi="ar-EG"/>
              </w:rPr>
            </w:pPr>
            <w:r>
              <w:rPr>
                <w:rFonts w:ascii="Simplified Arabic" w:hAnsi="Simplified Arabic" w:cs="Simplified Arabic"/>
                <w:color w:val="222A35" w:themeColor="text2" w:themeShade="80"/>
                <w:sz w:val="28"/>
                <w:szCs w:val="28"/>
                <w:rtl/>
                <w:lang w:bidi="ar-EG"/>
              </w:rPr>
              <w:t>ملخص الدراسة باللغة الإنجليزية</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86CF582" w14:textId="77777777" w:rsidR="003E7AF1" w:rsidRDefault="003E7AF1">
            <w:pPr>
              <w:pStyle w:val="Header"/>
              <w:bidi w:val="0"/>
              <w:jc w:val="center"/>
              <w:rPr>
                <w:rFonts w:asciiTheme="majorHAnsi" w:hAnsiTheme="majorHAnsi" w:cs="Simplified Arabic"/>
                <w:i/>
                <w:iCs/>
                <w:color w:val="222A35" w:themeColor="text2" w:themeShade="80"/>
                <w:sz w:val="28"/>
                <w:szCs w:val="28"/>
                <w:rtl/>
                <w:lang w:bidi="ar-EG"/>
              </w:rPr>
            </w:pPr>
            <w:r>
              <w:rPr>
                <w:rFonts w:asciiTheme="majorHAnsi" w:hAnsiTheme="majorHAnsi" w:cs="Simplified Arabic"/>
                <w:color w:val="222A35" w:themeColor="text2" w:themeShade="80"/>
                <w:sz w:val="28"/>
                <w:szCs w:val="28"/>
                <w:lang w:bidi="ar-EG"/>
              </w:rPr>
              <w:t>III</w:t>
            </w:r>
            <w:r>
              <w:rPr>
                <w:rFonts w:asciiTheme="majorHAnsi" w:hAnsiTheme="majorHAnsi" w:cs="Simplified Arabic"/>
                <w:color w:val="222A35" w:themeColor="text2" w:themeShade="80"/>
                <w:sz w:val="28"/>
                <w:szCs w:val="28"/>
                <w:rtl/>
                <w:lang w:bidi="ar-EG"/>
              </w:rPr>
              <w:t xml:space="preserve"> - </w:t>
            </w:r>
            <w:r>
              <w:rPr>
                <w:rFonts w:asciiTheme="majorHAnsi" w:hAnsiTheme="majorHAnsi" w:cs="Simplified Arabic"/>
                <w:color w:val="222A35" w:themeColor="text2" w:themeShade="80"/>
                <w:sz w:val="28"/>
                <w:szCs w:val="28"/>
                <w:lang w:bidi="ar-EG"/>
              </w:rPr>
              <w:t>VIII</w:t>
            </w:r>
          </w:p>
        </w:tc>
      </w:tr>
      <w:tr w:rsidR="003E7AF1" w14:paraId="69A26441" w14:textId="77777777" w:rsidTr="003E7AF1">
        <w:trPr>
          <w:trHeight w:val="745"/>
          <w:jc w:val="center"/>
        </w:trPr>
        <w:tc>
          <w:tcPr>
            <w:tcW w:w="737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CDC5034" w14:textId="77777777" w:rsidR="003E7AF1" w:rsidRDefault="003E7AF1" w:rsidP="0041332D">
            <w:pPr>
              <w:pStyle w:val="ListParagraph"/>
              <w:numPr>
                <w:ilvl w:val="0"/>
                <w:numId w:val="11"/>
              </w:numPr>
              <w:spacing w:after="0" w:line="240" w:lineRule="auto"/>
              <w:ind w:left="374" w:right="-23"/>
              <w:jc w:val="both"/>
              <w:rPr>
                <w:rFonts w:ascii="Simplified Arabic" w:hAnsi="Simplified Arabic" w:cs="Simplified Arabic"/>
                <w:color w:val="222A35" w:themeColor="text2" w:themeShade="80"/>
                <w:sz w:val="28"/>
                <w:szCs w:val="28"/>
                <w:rtl/>
                <w:lang w:bidi="ar-EG"/>
              </w:rPr>
            </w:pPr>
            <w:r>
              <w:rPr>
                <w:rFonts w:ascii="Simplified Arabic" w:hAnsi="Simplified Arabic" w:cs="Simplified Arabic"/>
                <w:color w:val="222A35" w:themeColor="text2" w:themeShade="80"/>
                <w:sz w:val="28"/>
                <w:szCs w:val="28"/>
                <w:rtl/>
                <w:lang w:bidi="ar-EG"/>
              </w:rPr>
              <w:t>مستخلص الدراسة باللغة الإنجليزية</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AFDE762" w14:textId="77777777" w:rsidR="003E7AF1" w:rsidRDefault="003E7AF1">
            <w:pPr>
              <w:pStyle w:val="Header"/>
              <w:bidi w:val="0"/>
              <w:jc w:val="center"/>
              <w:rPr>
                <w:rFonts w:asciiTheme="majorHAnsi" w:hAnsiTheme="majorHAnsi" w:cs="Simplified Arabic"/>
                <w:color w:val="222A35" w:themeColor="text2" w:themeShade="80"/>
                <w:sz w:val="28"/>
                <w:szCs w:val="28"/>
                <w:rtl/>
                <w:lang w:bidi="ar-EG"/>
              </w:rPr>
            </w:pPr>
            <w:r>
              <w:rPr>
                <w:rFonts w:asciiTheme="majorHAnsi" w:hAnsiTheme="majorHAnsi" w:cs="Simplified Arabic"/>
                <w:color w:val="222A35" w:themeColor="text2" w:themeShade="80"/>
                <w:sz w:val="28"/>
                <w:szCs w:val="28"/>
                <w:lang w:bidi="ar-EG"/>
              </w:rPr>
              <w:t>II</w:t>
            </w:r>
          </w:p>
        </w:tc>
      </w:tr>
    </w:tbl>
    <w:p w14:paraId="15ED00A9" w14:textId="77777777" w:rsidR="003E7AF1" w:rsidRDefault="003E7AF1" w:rsidP="003E7AF1">
      <w:pPr>
        <w:bidi w:val="0"/>
        <w:rPr>
          <w:rFonts w:ascii="Simplified Arabic" w:hAnsi="Simplified Arabic" w:cs="Simplified Arabic"/>
          <w:sz w:val="28"/>
          <w:szCs w:val="28"/>
          <w:lang w:bidi="ar-EG"/>
        </w:rPr>
      </w:pPr>
      <w:r>
        <w:rPr>
          <w:rFonts w:ascii="Simplified Arabic" w:hAnsi="Simplified Arabic" w:cs="Simplified Arabic"/>
          <w:sz w:val="28"/>
          <w:szCs w:val="28"/>
          <w:rtl/>
          <w:lang w:bidi="ar-EG"/>
        </w:rPr>
        <w:br w:type="page"/>
      </w:r>
    </w:p>
    <w:p w14:paraId="403F0E37" w14:textId="77777777" w:rsidR="003E7AF1" w:rsidRDefault="003E7AF1" w:rsidP="003E7AF1">
      <w:pPr>
        <w:jc w:val="center"/>
        <w:rPr>
          <w:rFonts w:ascii="Simplified Arabic" w:eastAsiaTheme="minorEastAsia" w:hAnsi="Simplified Arabic" w:cs="Simplified Arabic"/>
          <w:b/>
          <w:bCs/>
          <w:color w:val="222A35" w:themeColor="text2" w:themeShade="80"/>
          <w:sz w:val="32"/>
          <w:szCs w:val="32"/>
          <w:rtl/>
          <w:lang w:bidi="ar-EG"/>
        </w:rPr>
      </w:pPr>
      <w:r>
        <w:rPr>
          <w:rFonts w:ascii="Simplified Arabic" w:hAnsi="Simplified Arabic" w:cs="Simplified Arabic"/>
          <w:b/>
          <w:bCs/>
          <w:color w:val="222A35" w:themeColor="text2" w:themeShade="80"/>
          <w:sz w:val="32"/>
          <w:szCs w:val="32"/>
          <w:rtl/>
          <w:lang w:bidi="ar-EG"/>
        </w:rPr>
        <w:lastRenderedPageBreak/>
        <w:t>فهرس الجداول</w:t>
      </w:r>
    </w:p>
    <w:p w14:paraId="4E111E02" w14:textId="77777777" w:rsidR="003E7AF1" w:rsidRDefault="003E7AF1" w:rsidP="003E7AF1">
      <w:pPr>
        <w:bidi w:val="0"/>
        <w:rPr>
          <w:rFonts w:ascii="Simplified Arabic" w:hAnsi="Simplified Arabic" w:cs="Simplified Arabic"/>
          <w:sz w:val="28"/>
          <w:szCs w:val="28"/>
          <w:rtl/>
          <w:lang w:bidi="ar-EG"/>
        </w:rPr>
      </w:pPr>
    </w:p>
    <w:tbl>
      <w:tblPr>
        <w:tblStyle w:val="a0"/>
        <w:bidiVisual/>
        <w:tblW w:w="8731" w:type="dxa"/>
        <w:jc w:val="center"/>
        <w:tblInd w:w="0" w:type="dxa"/>
        <w:tblLook w:val="04A0" w:firstRow="1" w:lastRow="0" w:firstColumn="1" w:lastColumn="0" w:noHBand="0" w:noVBand="1"/>
      </w:tblPr>
      <w:tblGrid>
        <w:gridCol w:w="1786"/>
        <w:gridCol w:w="5528"/>
        <w:gridCol w:w="1417"/>
      </w:tblGrid>
      <w:tr w:rsidR="003E7AF1" w14:paraId="2278C94A" w14:textId="77777777" w:rsidTr="003E7AF1">
        <w:trPr>
          <w:tblHeader/>
          <w:jc w:val="center"/>
        </w:trPr>
        <w:tc>
          <w:tcPr>
            <w:tcW w:w="17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1B91E41" w14:textId="77777777" w:rsidR="003E7AF1" w:rsidRDefault="003E7AF1">
            <w:pPr>
              <w:jc w:val="center"/>
              <w:rPr>
                <w:rFonts w:ascii="Simplified Arabic" w:hAnsi="Simplified Arabic" w:cs="Simplified Arabic"/>
                <w:b/>
                <w:bCs/>
                <w:color w:val="222A35" w:themeColor="text2" w:themeShade="80"/>
                <w:sz w:val="28"/>
                <w:szCs w:val="28"/>
                <w:rtl/>
                <w:lang w:bidi="ar-EG"/>
              </w:rPr>
            </w:pPr>
            <w:r>
              <w:rPr>
                <w:rFonts w:ascii="Simplified Arabic" w:hAnsi="Simplified Arabic" w:cs="Simplified Arabic"/>
                <w:b/>
                <w:bCs/>
                <w:color w:val="222A35" w:themeColor="text2" w:themeShade="80"/>
                <w:sz w:val="28"/>
                <w:szCs w:val="28"/>
                <w:rtl/>
                <w:lang w:bidi="ar-EG"/>
              </w:rPr>
              <w:t>رقم الجدول</w:t>
            </w:r>
          </w:p>
        </w:tc>
        <w:tc>
          <w:tcPr>
            <w:tcW w:w="552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5CA49D4" w14:textId="77777777" w:rsidR="003E7AF1" w:rsidRDefault="003E7AF1">
            <w:pPr>
              <w:jc w:val="center"/>
              <w:rPr>
                <w:rFonts w:ascii="Simplified Arabic" w:hAnsi="Simplified Arabic" w:cs="Simplified Arabic"/>
                <w:b/>
                <w:bCs/>
                <w:color w:val="222A35" w:themeColor="text2" w:themeShade="80"/>
                <w:sz w:val="28"/>
                <w:szCs w:val="28"/>
                <w:rtl/>
                <w:lang w:bidi="ar-EG"/>
              </w:rPr>
            </w:pPr>
            <w:r>
              <w:rPr>
                <w:rFonts w:ascii="Simplified Arabic" w:hAnsi="Simplified Arabic" w:cs="Simplified Arabic"/>
                <w:b/>
                <w:bCs/>
                <w:color w:val="222A35" w:themeColor="text2" w:themeShade="80"/>
                <w:sz w:val="28"/>
                <w:szCs w:val="28"/>
                <w:rtl/>
                <w:lang w:bidi="ar-EG"/>
              </w:rPr>
              <w:t>الجــــدول</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C7F15EC" w14:textId="77777777" w:rsidR="003E7AF1" w:rsidRDefault="003E7AF1">
            <w:pPr>
              <w:jc w:val="center"/>
              <w:rPr>
                <w:rFonts w:ascii="Simplified Arabic" w:hAnsi="Simplified Arabic" w:cs="Simplified Arabic"/>
                <w:b/>
                <w:bCs/>
                <w:color w:val="222A35" w:themeColor="text2" w:themeShade="80"/>
                <w:sz w:val="28"/>
                <w:szCs w:val="28"/>
                <w:rtl/>
                <w:lang w:bidi="ar-EG"/>
              </w:rPr>
            </w:pPr>
            <w:r>
              <w:rPr>
                <w:rFonts w:ascii="Simplified Arabic" w:hAnsi="Simplified Arabic" w:cs="Simplified Arabic"/>
                <w:b/>
                <w:bCs/>
                <w:color w:val="222A35" w:themeColor="text2" w:themeShade="80"/>
                <w:sz w:val="28"/>
                <w:szCs w:val="28"/>
                <w:rtl/>
                <w:lang w:bidi="ar-EG"/>
              </w:rPr>
              <w:t>الصفحة</w:t>
            </w:r>
          </w:p>
        </w:tc>
      </w:tr>
      <w:tr w:rsidR="003E7AF1" w14:paraId="5BB5182E"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0ECEEB76" w14:textId="77777777" w:rsidR="003E7AF1" w:rsidRDefault="003E7AF1">
            <w:pPr>
              <w:spacing w:line="232" w:lineRule="auto"/>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(1-1)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332BBD99" w14:textId="77777777" w:rsidR="003E7AF1" w:rsidRDefault="003E7AF1">
            <w:pPr>
              <w:spacing w:line="232" w:lineRule="auto"/>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النماذج القياسية المستخدمة في الدراسات السابقة </w:t>
            </w:r>
          </w:p>
          <w:p w14:paraId="3015651C" w14:textId="77777777" w:rsidR="003E7AF1" w:rsidRDefault="003E7AF1">
            <w:pPr>
              <w:spacing w:line="232" w:lineRule="auto"/>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والنتائج التي تم التوصل إليها</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FD4A46F" w14:textId="77777777" w:rsidR="003E7AF1" w:rsidRDefault="003E7AF1">
            <w:pPr>
              <w:spacing w:line="232" w:lineRule="auto"/>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ب ب </w:t>
            </w:r>
          </w:p>
        </w:tc>
      </w:tr>
      <w:tr w:rsidR="003E7AF1" w14:paraId="25279AC0"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4D6D7F17" w14:textId="77777777" w:rsidR="003E7AF1" w:rsidRDefault="003E7AF1">
            <w:pPr>
              <w:spacing w:line="232" w:lineRule="auto"/>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(1-2)</w:t>
            </w:r>
          </w:p>
        </w:tc>
        <w:tc>
          <w:tcPr>
            <w:tcW w:w="5528" w:type="dxa"/>
            <w:tcBorders>
              <w:top w:val="single" w:sz="4" w:space="0" w:color="auto"/>
              <w:left w:val="single" w:sz="4" w:space="0" w:color="auto"/>
              <w:bottom w:val="single" w:sz="4" w:space="0" w:color="auto"/>
              <w:right w:val="single" w:sz="4" w:space="0" w:color="auto"/>
            </w:tcBorders>
            <w:vAlign w:val="center"/>
            <w:hideMark/>
          </w:tcPr>
          <w:p w14:paraId="7CB18226" w14:textId="77777777" w:rsidR="003E7AF1" w:rsidRDefault="003E7AF1">
            <w:pPr>
              <w:spacing w:line="232" w:lineRule="auto"/>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أبواب الموازنة العامة للدولة </w:t>
            </w:r>
          </w:p>
          <w:p w14:paraId="40DAE21E" w14:textId="77777777" w:rsidR="003E7AF1" w:rsidRDefault="003E7AF1">
            <w:pPr>
              <w:spacing w:line="232" w:lineRule="auto"/>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وطرق حساب عجز الموازنة العامة للدولة</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8216B8C" w14:textId="77777777" w:rsidR="003E7AF1" w:rsidRDefault="003E7AF1">
            <w:pPr>
              <w:spacing w:line="232" w:lineRule="auto"/>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17</w:t>
            </w:r>
          </w:p>
        </w:tc>
      </w:tr>
      <w:tr w:rsidR="003E7AF1" w14:paraId="62FC7B2E"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tcPr>
          <w:p w14:paraId="7B6876C3" w14:textId="77777777" w:rsidR="003E7AF1" w:rsidRDefault="003E7AF1">
            <w:pPr>
              <w:spacing w:line="232" w:lineRule="auto"/>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(2-1)</w:t>
            </w:r>
          </w:p>
          <w:p w14:paraId="71A10DD3" w14:textId="77777777" w:rsidR="003E7AF1" w:rsidRDefault="003E7AF1">
            <w:pPr>
              <w:spacing w:line="232" w:lineRule="auto"/>
              <w:ind w:right="-23"/>
              <w:jc w:val="center"/>
              <w:rPr>
                <w:rFonts w:ascii="Simplified Arabic" w:hAnsi="Simplified Arabic" w:cs="Simplified Arabic"/>
                <w:sz w:val="28"/>
                <w:szCs w:val="28"/>
                <w:rtl/>
                <w:lang w:bidi="ar-EG"/>
              </w:rPr>
            </w:pPr>
          </w:p>
        </w:tc>
        <w:tc>
          <w:tcPr>
            <w:tcW w:w="5528" w:type="dxa"/>
            <w:tcBorders>
              <w:top w:val="single" w:sz="4" w:space="0" w:color="auto"/>
              <w:left w:val="single" w:sz="4" w:space="0" w:color="auto"/>
              <w:bottom w:val="single" w:sz="4" w:space="0" w:color="auto"/>
              <w:right w:val="single" w:sz="4" w:space="0" w:color="auto"/>
            </w:tcBorders>
            <w:vAlign w:val="center"/>
            <w:hideMark/>
          </w:tcPr>
          <w:p w14:paraId="4A9C4293" w14:textId="77777777" w:rsidR="003E7AF1" w:rsidRDefault="003E7AF1">
            <w:pPr>
              <w:spacing w:line="232" w:lineRule="auto"/>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معامل الارتباط  بين إجمالي تمويل عجز الموازنة العامة </w:t>
            </w:r>
          </w:p>
          <w:p w14:paraId="67B2E308" w14:textId="77777777" w:rsidR="003E7AF1" w:rsidRDefault="003E7AF1">
            <w:pPr>
              <w:spacing w:line="232" w:lineRule="auto"/>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والرقم القياسي لأسعار المستهلكين</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4BC9DBF" w14:textId="77777777" w:rsidR="003E7AF1" w:rsidRDefault="003E7AF1">
            <w:pPr>
              <w:spacing w:line="232" w:lineRule="auto"/>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71</w:t>
            </w:r>
          </w:p>
        </w:tc>
      </w:tr>
      <w:tr w:rsidR="003E7AF1" w14:paraId="6E10E15C"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0B0E88E7" w14:textId="77777777" w:rsidR="003E7AF1" w:rsidRDefault="003E7AF1">
            <w:pPr>
              <w:spacing w:line="232" w:lineRule="auto"/>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(2-2)</w:t>
            </w:r>
          </w:p>
        </w:tc>
        <w:tc>
          <w:tcPr>
            <w:tcW w:w="5528" w:type="dxa"/>
            <w:tcBorders>
              <w:top w:val="single" w:sz="4" w:space="0" w:color="auto"/>
              <w:left w:val="single" w:sz="4" w:space="0" w:color="auto"/>
              <w:bottom w:val="single" w:sz="4" w:space="0" w:color="auto"/>
              <w:right w:val="single" w:sz="4" w:space="0" w:color="auto"/>
            </w:tcBorders>
            <w:vAlign w:val="center"/>
            <w:hideMark/>
          </w:tcPr>
          <w:p w14:paraId="47A6BCB1" w14:textId="77777777" w:rsidR="003E7AF1" w:rsidRDefault="003E7AF1">
            <w:pPr>
              <w:spacing w:line="232" w:lineRule="auto"/>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معاملات الارتباط بين آليات تمويل عجز الموازنة العامة والرقم القياسي لأسعار المستهلكين</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2A1A3AC" w14:textId="77777777" w:rsidR="003E7AF1" w:rsidRDefault="003E7AF1">
            <w:pPr>
              <w:spacing w:line="232" w:lineRule="auto"/>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71</w:t>
            </w:r>
          </w:p>
        </w:tc>
      </w:tr>
      <w:tr w:rsidR="003E7AF1" w14:paraId="16C739E8" w14:textId="77777777" w:rsidTr="003E7AF1">
        <w:trPr>
          <w:trHeight w:val="337"/>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18A28B7F" w14:textId="77777777" w:rsidR="003E7AF1" w:rsidRDefault="003E7AF1">
            <w:pPr>
              <w:spacing w:line="232" w:lineRule="auto"/>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(3-1)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2ECE5164" w14:textId="77777777" w:rsidR="003E7AF1" w:rsidRDefault="003E7AF1">
            <w:pPr>
              <w:spacing w:line="232" w:lineRule="auto"/>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مصفوفة معاملات الارتباط بين متغيرات النموذج القياسي</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C154364" w14:textId="77777777" w:rsidR="003E7AF1" w:rsidRDefault="003E7AF1">
            <w:pPr>
              <w:spacing w:line="232" w:lineRule="auto"/>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87</w:t>
            </w:r>
          </w:p>
        </w:tc>
      </w:tr>
      <w:tr w:rsidR="003E7AF1" w14:paraId="05CE6068" w14:textId="77777777" w:rsidTr="003E7AF1">
        <w:trPr>
          <w:trHeight w:val="48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7405464E" w14:textId="77777777" w:rsidR="003E7AF1" w:rsidRDefault="003E7AF1">
            <w:pPr>
              <w:spacing w:line="232" w:lineRule="auto"/>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(3-2)</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967140D" w14:textId="77777777" w:rsidR="003E7AF1" w:rsidRDefault="003E7AF1">
            <w:pPr>
              <w:spacing w:line="232" w:lineRule="auto"/>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اختبار ديكي فولر الموسع </w:t>
            </w:r>
            <w:r>
              <w:rPr>
                <w:rFonts w:ascii="Simplified Arabic" w:hAnsi="Simplified Arabic" w:cs="Simplified Arabic"/>
                <w:sz w:val="28"/>
                <w:szCs w:val="28"/>
                <w:lang w:bidi="ar-EG"/>
              </w:rPr>
              <w:t>ADF</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278F7FC" w14:textId="77777777" w:rsidR="003E7AF1" w:rsidRDefault="003E7AF1">
            <w:pPr>
              <w:spacing w:line="232" w:lineRule="auto"/>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89</w:t>
            </w:r>
          </w:p>
        </w:tc>
      </w:tr>
      <w:tr w:rsidR="003E7AF1" w14:paraId="2E745102" w14:textId="77777777" w:rsidTr="003E7AF1">
        <w:trPr>
          <w:trHeight w:val="419"/>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595531CC" w14:textId="77777777" w:rsidR="003E7AF1" w:rsidRDefault="003E7AF1">
            <w:pPr>
              <w:spacing w:line="232" w:lineRule="auto"/>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(3-3)</w:t>
            </w:r>
          </w:p>
        </w:tc>
        <w:tc>
          <w:tcPr>
            <w:tcW w:w="5528" w:type="dxa"/>
            <w:tcBorders>
              <w:top w:val="single" w:sz="4" w:space="0" w:color="auto"/>
              <w:left w:val="single" w:sz="4" w:space="0" w:color="auto"/>
              <w:bottom w:val="single" w:sz="4" w:space="0" w:color="auto"/>
              <w:right w:val="single" w:sz="4" w:space="0" w:color="auto"/>
            </w:tcBorders>
            <w:vAlign w:val="center"/>
            <w:hideMark/>
          </w:tcPr>
          <w:p w14:paraId="34644BE8" w14:textId="77777777" w:rsidR="003E7AF1" w:rsidRDefault="003E7AF1">
            <w:pPr>
              <w:spacing w:line="232" w:lineRule="auto"/>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اختبار فيليبس بيرون </w:t>
            </w:r>
            <w:r>
              <w:rPr>
                <w:rFonts w:ascii="Simplified Arabic" w:hAnsi="Simplified Arabic" w:cs="Simplified Arabic"/>
                <w:sz w:val="28"/>
                <w:szCs w:val="28"/>
                <w:lang w:bidi="ar-EG"/>
              </w:rPr>
              <w:t>PP</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C0D33C" w14:textId="77777777" w:rsidR="003E7AF1" w:rsidRDefault="003E7AF1">
            <w:pPr>
              <w:spacing w:line="232" w:lineRule="auto"/>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90</w:t>
            </w:r>
          </w:p>
        </w:tc>
      </w:tr>
      <w:tr w:rsidR="003E7AF1" w14:paraId="15A2EF0E" w14:textId="77777777" w:rsidTr="003E7AF1">
        <w:trPr>
          <w:trHeight w:val="411"/>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3F5473A6" w14:textId="77777777" w:rsidR="003E7AF1" w:rsidRDefault="003E7AF1">
            <w:pPr>
              <w:spacing w:line="232" w:lineRule="auto"/>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(3-4)</w:t>
            </w:r>
          </w:p>
        </w:tc>
        <w:tc>
          <w:tcPr>
            <w:tcW w:w="5528" w:type="dxa"/>
            <w:tcBorders>
              <w:top w:val="single" w:sz="4" w:space="0" w:color="auto"/>
              <w:left w:val="single" w:sz="4" w:space="0" w:color="auto"/>
              <w:bottom w:val="single" w:sz="4" w:space="0" w:color="auto"/>
              <w:right w:val="single" w:sz="4" w:space="0" w:color="auto"/>
            </w:tcBorders>
            <w:vAlign w:val="center"/>
            <w:hideMark/>
          </w:tcPr>
          <w:p w14:paraId="25E56A71" w14:textId="77777777" w:rsidR="003E7AF1" w:rsidRDefault="003E7AF1">
            <w:pPr>
              <w:spacing w:line="232" w:lineRule="auto"/>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النموذج المقدر وفقاً لنموذج </w:t>
            </w:r>
            <w:r>
              <w:rPr>
                <w:rFonts w:ascii="Simplified Arabic" w:hAnsi="Simplified Arabic" w:cs="Simplified Arabic"/>
                <w:sz w:val="28"/>
                <w:szCs w:val="28"/>
                <w:lang w:bidi="ar-EG"/>
              </w:rPr>
              <w:t>VAR</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D31414C" w14:textId="77777777" w:rsidR="003E7AF1" w:rsidRDefault="003E7AF1">
            <w:pPr>
              <w:spacing w:line="232" w:lineRule="auto"/>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92</w:t>
            </w:r>
          </w:p>
        </w:tc>
      </w:tr>
    </w:tbl>
    <w:p w14:paraId="26B9BC09" w14:textId="77777777" w:rsidR="003E7AF1" w:rsidRDefault="003E7AF1" w:rsidP="003E7AF1">
      <w:pPr>
        <w:bidi w:val="0"/>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3E6F77D7" w14:textId="77777777" w:rsidR="003E7AF1" w:rsidRDefault="003E7AF1" w:rsidP="003E7AF1">
      <w:pPr>
        <w:jc w:val="center"/>
        <w:rPr>
          <w:rFonts w:ascii="Simplified Arabic" w:eastAsiaTheme="minorEastAsia" w:hAnsi="Simplified Arabic" w:cs="Simplified Arabic"/>
          <w:b/>
          <w:bCs/>
          <w:color w:val="222A35" w:themeColor="text2" w:themeShade="80"/>
          <w:sz w:val="32"/>
          <w:szCs w:val="32"/>
          <w:rtl/>
          <w:lang w:bidi="ar-EG"/>
        </w:rPr>
      </w:pPr>
      <w:r>
        <w:rPr>
          <w:rFonts w:ascii="Simplified Arabic" w:hAnsi="Simplified Arabic" w:cs="Simplified Arabic"/>
          <w:b/>
          <w:bCs/>
          <w:color w:val="222A35" w:themeColor="text2" w:themeShade="80"/>
          <w:sz w:val="32"/>
          <w:szCs w:val="32"/>
          <w:rtl/>
          <w:lang w:bidi="ar-EG"/>
        </w:rPr>
        <w:lastRenderedPageBreak/>
        <w:t>فهرس الأشكال</w:t>
      </w:r>
    </w:p>
    <w:p w14:paraId="55555363" w14:textId="77777777" w:rsidR="003E7AF1" w:rsidRDefault="003E7AF1" w:rsidP="003E7AF1">
      <w:pPr>
        <w:bidi w:val="0"/>
        <w:rPr>
          <w:rFonts w:ascii="Simplified Arabic" w:hAnsi="Simplified Arabic" w:cs="Simplified Arabic"/>
          <w:sz w:val="28"/>
          <w:szCs w:val="28"/>
          <w:rtl/>
          <w:lang w:bidi="ar-EG"/>
        </w:rPr>
      </w:pPr>
    </w:p>
    <w:tbl>
      <w:tblPr>
        <w:tblStyle w:val="a0"/>
        <w:bidiVisual/>
        <w:tblW w:w="8731" w:type="dxa"/>
        <w:jc w:val="center"/>
        <w:tblInd w:w="0" w:type="dxa"/>
        <w:tblLook w:val="04A0" w:firstRow="1" w:lastRow="0" w:firstColumn="1" w:lastColumn="0" w:noHBand="0" w:noVBand="1"/>
      </w:tblPr>
      <w:tblGrid>
        <w:gridCol w:w="1786"/>
        <w:gridCol w:w="5528"/>
        <w:gridCol w:w="1417"/>
      </w:tblGrid>
      <w:tr w:rsidR="003E7AF1" w14:paraId="1E35D827" w14:textId="77777777" w:rsidTr="003E7AF1">
        <w:trPr>
          <w:tblHeader/>
          <w:jc w:val="center"/>
        </w:trPr>
        <w:tc>
          <w:tcPr>
            <w:tcW w:w="17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56CE677" w14:textId="77777777" w:rsidR="003E7AF1" w:rsidRDefault="003E7AF1">
            <w:pPr>
              <w:jc w:val="center"/>
              <w:rPr>
                <w:rFonts w:ascii="Simplified Arabic" w:hAnsi="Simplified Arabic" w:cs="Simplified Arabic"/>
                <w:b/>
                <w:bCs/>
                <w:color w:val="222A35" w:themeColor="text2" w:themeShade="80"/>
                <w:sz w:val="28"/>
                <w:szCs w:val="28"/>
                <w:rtl/>
                <w:lang w:bidi="ar-EG"/>
              </w:rPr>
            </w:pPr>
            <w:r>
              <w:rPr>
                <w:rFonts w:ascii="Simplified Arabic" w:hAnsi="Simplified Arabic" w:cs="Simplified Arabic"/>
                <w:b/>
                <w:bCs/>
                <w:color w:val="222A35" w:themeColor="text2" w:themeShade="80"/>
                <w:sz w:val="28"/>
                <w:szCs w:val="28"/>
                <w:rtl/>
                <w:lang w:bidi="ar-EG"/>
              </w:rPr>
              <w:t>رقم الشكل</w:t>
            </w:r>
          </w:p>
        </w:tc>
        <w:tc>
          <w:tcPr>
            <w:tcW w:w="552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DD2337A" w14:textId="77777777" w:rsidR="003E7AF1" w:rsidRDefault="003E7AF1">
            <w:pPr>
              <w:jc w:val="center"/>
              <w:rPr>
                <w:rFonts w:ascii="Simplified Arabic" w:hAnsi="Simplified Arabic" w:cs="Simplified Arabic"/>
                <w:b/>
                <w:bCs/>
                <w:color w:val="222A35" w:themeColor="text2" w:themeShade="80"/>
                <w:sz w:val="28"/>
                <w:szCs w:val="28"/>
                <w:rtl/>
                <w:lang w:bidi="ar-EG"/>
              </w:rPr>
            </w:pPr>
            <w:r>
              <w:rPr>
                <w:rFonts w:ascii="Simplified Arabic" w:hAnsi="Simplified Arabic" w:cs="Simplified Arabic"/>
                <w:b/>
                <w:bCs/>
                <w:color w:val="222A35" w:themeColor="text2" w:themeShade="80"/>
                <w:sz w:val="28"/>
                <w:szCs w:val="28"/>
                <w:rtl/>
                <w:lang w:bidi="ar-EG"/>
              </w:rPr>
              <w:t>الشكـــل</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40DBDC5" w14:textId="77777777" w:rsidR="003E7AF1" w:rsidRDefault="003E7AF1">
            <w:pPr>
              <w:jc w:val="center"/>
              <w:rPr>
                <w:rFonts w:ascii="Simplified Arabic" w:hAnsi="Simplified Arabic" w:cs="Simplified Arabic"/>
                <w:b/>
                <w:bCs/>
                <w:color w:val="222A35" w:themeColor="text2" w:themeShade="80"/>
                <w:sz w:val="28"/>
                <w:szCs w:val="28"/>
                <w:rtl/>
                <w:lang w:bidi="ar-EG"/>
              </w:rPr>
            </w:pPr>
            <w:r>
              <w:rPr>
                <w:rFonts w:ascii="Simplified Arabic" w:hAnsi="Simplified Arabic" w:cs="Simplified Arabic"/>
                <w:b/>
                <w:bCs/>
                <w:color w:val="222A35" w:themeColor="text2" w:themeShade="80"/>
                <w:sz w:val="28"/>
                <w:szCs w:val="28"/>
                <w:rtl/>
                <w:lang w:bidi="ar-EG"/>
              </w:rPr>
              <w:t>الصفحة</w:t>
            </w:r>
          </w:p>
        </w:tc>
      </w:tr>
      <w:tr w:rsidR="003E7AF1" w14:paraId="5C3539F8" w14:textId="77777777" w:rsidTr="003E7AF1">
        <w:trPr>
          <w:trHeight w:val="647"/>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12B222BE"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(1-1)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6EB8CF1"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أثر زيادة كمية النقود على ارتفاع المستوى العام للأسعار</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58AE30D"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8</w:t>
            </w:r>
          </w:p>
        </w:tc>
      </w:tr>
      <w:tr w:rsidR="003E7AF1" w14:paraId="3F93C388" w14:textId="77777777" w:rsidTr="003E7AF1">
        <w:trPr>
          <w:trHeight w:val="417"/>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00FDCD8B"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(1-2)</w:t>
            </w:r>
          </w:p>
        </w:tc>
        <w:tc>
          <w:tcPr>
            <w:tcW w:w="5528" w:type="dxa"/>
            <w:tcBorders>
              <w:top w:val="single" w:sz="4" w:space="0" w:color="auto"/>
              <w:left w:val="single" w:sz="4" w:space="0" w:color="auto"/>
              <w:bottom w:val="single" w:sz="4" w:space="0" w:color="auto"/>
              <w:right w:val="single" w:sz="4" w:space="0" w:color="auto"/>
            </w:tcBorders>
            <w:vAlign w:val="center"/>
            <w:hideMark/>
          </w:tcPr>
          <w:p w14:paraId="23C2F6EF"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أثر زيادة الطلب الكلي على ارتفاع المستوى العام للأسعار</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987F377"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9</w:t>
            </w:r>
          </w:p>
        </w:tc>
      </w:tr>
      <w:tr w:rsidR="003E7AF1" w14:paraId="31328B2D"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22C10971"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62940BB7"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تطور الإيرادات والمصروفات والعجز الكلي للموازنة العامة</w:t>
            </w:r>
          </w:p>
          <w:p w14:paraId="64925940" w14:textId="77777777" w:rsidR="003E7AF1" w:rsidRDefault="003E7AF1">
            <w:pPr>
              <w:ind w:right="-23"/>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خلال الفترة (1991/1992 إلى 1997/1998)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D76CA0F"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35</w:t>
            </w:r>
          </w:p>
        </w:tc>
      </w:tr>
      <w:tr w:rsidR="003E7AF1" w14:paraId="74E72270"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7B11FC22"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(2-2)</w:t>
            </w:r>
          </w:p>
        </w:tc>
        <w:tc>
          <w:tcPr>
            <w:tcW w:w="5528" w:type="dxa"/>
            <w:tcBorders>
              <w:top w:val="single" w:sz="4" w:space="0" w:color="auto"/>
              <w:left w:val="single" w:sz="4" w:space="0" w:color="auto"/>
              <w:bottom w:val="single" w:sz="4" w:space="0" w:color="auto"/>
              <w:right w:val="single" w:sz="4" w:space="0" w:color="auto"/>
            </w:tcBorders>
            <w:vAlign w:val="center"/>
            <w:hideMark/>
          </w:tcPr>
          <w:p w14:paraId="7C02ACCB"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التغير النسبي في الإيرادات والمصروفات </w:t>
            </w:r>
          </w:p>
          <w:p w14:paraId="0DABDF1C" w14:textId="77777777" w:rsidR="003E7AF1" w:rsidRDefault="003E7AF1">
            <w:pPr>
              <w:ind w:right="-23"/>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خلال الفترة (1991/1992 إلى 1997/1998)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9AF64A"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36</w:t>
            </w:r>
          </w:p>
        </w:tc>
      </w:tr>
      <w:tr w:rsidR="003E7AF1" w14:paraId="4E6D398C"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62210D4F"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(2-3)</w:t>
            </w:r>
          </w:p>
        </w:tc>
        <w:tc>
          <w:tcPr>
            <w:tcW w:w="5528" w:type="dxa"/>
            <w:tcBorders>
              <w:top w:val="single" w:sz="4" w:space="0" w:color="auto"/>
              <w:left w:val="single" w:sz="4" w:space="0" w:color="auto"/>
              <w:bottom w:val="single" w:sz="4" w:space="0" w:color="auto"/>
              <w:right w:val="single" w:sz="4" w:space="0" w:color="auto"/>
            </w:tcBorders>
            <w:vAlign w:val="center"/>
            <w:hideMark/>
          </w:tcPr>
          <w:p w14:paraId="29087BD3"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تطور نسب الإيرادات والمصروفات والعجز الكلي للموازنة العامة إلى الناتج المحلي الإجمالي خلال الفترة (1991/1992 إلى 1997/1998)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5830540"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37</w:t>
            </w:r>
          </w:p>
        </w:tc>
      </w:tr>
      <w:tr w:rsidR="003E7AF1" w14:paraId="3A233CF7"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4F458CC5"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(2-4)</w:t>
            </w:r>
          </w:p>
        </w:tc>
        <w:tc>
          <w:tcPr>
            <w:tcW w:w="5528" w:type="dxa"/>
            <w:tcBorders>
              <w:top w:val="single" w:sz="4" w:space="0" w:color="auto"/>
              <w:left w:val="single" w:sz="4" w:space="0" w:color="auto"/>
              <w:bottom w:val="single" w:sz="4" w:space="0" w:color="auto"/>
              <w:right w:val="single" w:sz="4" w:space="0" w:color="auto"/>
            </w:tcBorders>
            <w:vAlign w:val="center"/>
            <w:hideMark/>
          </w:tcPr>
          <w:p w14:paraId="3A364466"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تطور التمويل الخارجي لعجز الموازنة العامة للدولة</w:t>
            </w:r>
          </w:p>
          <w:p w14:paraId="4EEAC6EF" w14:textId="77777777" w:rsidR="003E7AF1" w:rsidRDefault="003E7AF1">
            <w:pPr>
              <w:ind w:right="-23"/>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خلال الفترة (1991/1992 إلى 1997/1998)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DE9C69"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38</w:t>
            </w:r>
          </w:p>
        </w:tc>
      </w:tr>
      <w:tr w:rsidR="003E7AF1" w14:paraId="66F78FE9"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74E69AE1"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(2-5)</w:t>
            </w:r>
          </w:p>
        </w:tc>
        <w:tc>
          <w:tcPr>
            <w:tcW w:w="5528" w:type="dxa"/>
            <w:tcBorders>
              <w:top w:val="single" w:sz="4" w:space="0" w:color="auto"/>
              <w:left w:val="single" w:sz="4" w:space="0" w:color="auto"/>
              <w:bottom w:val="single" w:sz="4" w:space="0" w:color="auto"/>
              <w:right w:val="single" w:sz="4" w:space="0" w:color="auto"/>
            </w:tcBorders>
            <w:vAlign w:val="center"/>
            <w:hideMark/>
          </w:tcPr>
          <w:p w14:paraId="4DD0B10F"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تطور التمويل المحلي (المصرفي وغير المصرفي) </w:t>
            </w:r>
          </w:p>
          <w:p w14:paraId="5A256816"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لعجز الموازنة العامة للدولة </w:t>
            </w:r>
          </w:p>
          <w:p w14:paraId="6816F373"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خلال الفترة (1991/1992 إلى 1997/1998)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3866C5A"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39</w:t>
            </w:r>
          </w:p>
        </w:tc>
      </w:tr>
      <w:tr w:rsidR="003E7AF1" w14:paraId="5A667938"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4258C7F8"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(2-6)</w:t>
            </w:r>
          </w:p>
        </w:tc>
        <w:tc>
          <w:tcPr>
            <w:tcW w:w="5528" w:type="dxa"/>
            <w:tcBorders>
              <w:top w:val="single" w:sz="4" w:space="0" w:color="auto"/>
              <w:left w:val="single" w:sz="4" w:space="0" w:color="auto"/>
              <w:bottom w:val="single" w:sz="4" w:space="0" w:color="auto"/>
              <w:right w:val="single" w:sz="4" w:space="0" w:color="auto"/>
            </w:tcBorders>
            <w:vAlign w:val="center"/>
            <w:hideMark/>
          </w:tcPr>
          <w:p w14:paraId="62FC4544"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تطور التمويل الخارجي والتمويل المحلي </w:t>
            </w:r>
          </w:p>
          <w:p w14:paraId="02FA292F"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لعجز الموازنة العامة للدولة</w:t>
            </w:r>
          </w:p>
          <w:p w14:paraId="520A9DA1" w14:textId="77777777" w:rsidR="003E7AF1" w:rsidRDefault="003E7AF1">
            <w:pPr>
              <w:ind w:right="-23"/>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خلال الفترة (1991/1992 إلى 1997/1998)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C4E141C"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41</w:t>
            </w:r>
          </w:p>
        </w:tc>
      </w:tr>
      <w:tr w:rsidR="003E7AF1" w14:paraId="6834D1B1"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28454DB6"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(2-7)</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5C2F5F8"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تطور</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معدل</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التضخم</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ونسبة</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العجز</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الكلي</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للموازنة</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العامة</w:t>
            </w:r>
          </w:p>
          <w:p w14:paraId="2362DD13" w14:textId="77777777" w:rsidR="003E7AF1" w:rsidRDefault="003E7AF1">
            <w:pPr>
              <w:ind w:right="-23"/>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خلال الفترة (1991/1992 إلى 1997/1998)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2C7DB4D"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42</w:t>
            </w:r>
          </w:p>
        </w:tc>
      </w:tr>
      <w:tr w:rsidR="003E7AF1" w14:paraId="1181FB00" w14:textId="77777777" w:rsidTr="003E7AF1">
        <w:trPr>
          <w:trHeight w:val="1527"/>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4D5D6065"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(2-8)</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247EE84"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تطور الرقم القياسي لأسعار المستهلكين والتمويل الخارجي والمحلي المصرفي والمحلي غير المصرفي</w:t>
            </w:r>
          </w:p>
          <w:p w14:paraId="6C96000A" w14:textId="77777777" w:rsidR="003E7AF1" w:rsidRDefault="003E7AF1">
            <w:pPr>
              <w:ind w:right="-23"/>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خلال الفترة (1991/1992 إلى 1997/1998)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C616A"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43</w:t>
            </w:r>
          </w:p>
        </w:tc>
      </w:tr>
      <w:tr w:rsidR="003E7AF1" w14:paraId="5214E857" w14:textId="77777777" w:rsidTr="003E7AF1">
        <w:trPr>
          <w:trHeight w:val="1138"/>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4286DA29"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(2-9)</w:t>
            </w:r>
          </w:p>
        </w:tc>
        <w:tc>
          <w:tcPr>
            <w:tcW w:w="5528" w:type="dxa"/>
            <w:tcBorders>
              <w:top w:val="single" w:sz="4" w:space="0" w:color="auto"/>
              <w:left w:val="single" w:sz="4" w:space="0" w:color="auto"/>
              <w:bottom w:val="single" w:sz="4" w:space="0" w:color="auto"/>
              <w:right w:val="single" w:sz="4" w:space="0" w:color="auto"/>
            </w:tcBorders>
            <w:vAlign w:val="center"/>
            <w:hideMark/>
          </w:tcPr>
          <w:p w14:paraId="4A6C2259"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تطور الإيرادات والمصروفات والعجز الكلي للموازنة العامة</w:t>
            </w:r>
          </w:p>
          <w:p w14:paraId="316E86CD" w14:textId="77777777" w:rsidR="003E7AF1" w:rsidRDefault="003E7AF1">
            <w:pPr>
              <w:ind w:right="-23"/>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خلال الفترة (1998/1999 إلى 2004/2005)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8363179"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46</w:t>
            </w:r>
          </w:p>
        </w:tc>
      </w:tr>
      <w:tr w:rsidR="003E7AF1" w14:paraId="74E3B179"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07223557"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(2-10)</w:t>
            </w:r>
          </w:p>
        </w:tc>
        <w:tc>
          <w:tcPr>
            <w:tcW w:w="5528" w:type="dxa"/>
            <w:tcBorders>
              <w:top w:val="single" w:sz="4" w:space="0" w:color="auto"/>
              <w:left w:val="single" w:sz="4" w:space="0" w:color="auto"/>
              <w:bottom w:val="single" w:sz="4" w:space="0" w:color="auto"/>
              <w:right w:val="single" w:sz="4" w:space="0" w:color="auto"/>
            </w:tcBorders>
            <w:vAlign w:val="center"/>
            <w:hideMark/>
          </w:tcPr>
          <w:p w14:paraId="4664F504"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التغير النسبي في الإيرادات والمصروفات </w:t>
            </w:r>
          </w:p>
          <w:p w14:paraId="2A186CF3"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خلال الفترة (1998/1999 إلى 2004/2005)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187F99"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47</w:t>
            </w:r>
          </w:p>
        </w:tc>
      </w:tr>
      <w:tr w:rsidR="003E7AF1" w14:paraId="49C25E71" w14:textId="77777777" w:rsidTr="003E7AF1">
        <w:trPr>
          <w:trHeight w:val="479"/>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5E1C6531"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(2-11)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262FAEC"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تطور نسب الإيرادات والمصروفات </w:t>
            </w:r>
          </w:p>
          <w:p w14:paraId="2A40D55A"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والعجز الكلي للموازنة العامة إلى الناتج المحلي الإجمالي </w:t>
            </w:r>
          </w:p>
          <w:p w14:paraId="14459838"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خلال الفترة (1998/1999 إلى 2004/2005)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CED6181"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48</w:t>
            </w:r>
          </w:p>
        </w:tc>
      </w:tr>
      <w:tr w:rsidR="003E7AF1" w14:paraId="47159835"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40ADE0F4"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(2-12)</w:t>
            </w:r>
          </w:p>
        </w:tc>
        <w:tc>
          <w:tcPr>
            <w:tcW w:w="5528" w:type="dxa"/>
            <w:tcBorders>
              <w:top w:val="single" w:sz="4" w:space="0" w:color="auto"/>
              <w:left w:val="single" w:sz="4" w:space="0" w:color="auto"/>
              <w:bottom w:val="single" w:sz="4" w:space="0" w:color="auto"/>
              <w:right w:val="single" w:sz="4" w:space="0" w:color="auto"/>
            </w:tcBorders>
            <w:vAlign w:val="center"/>
            <w:hideMark/>
          </w:tcPr>
          <w:p w14:paraId="699BCA8D"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تطور الإيرادات والمصروفات والعجز الكلي للموازنة العامة</w:t>
            </w:r>
          </w:p>
          <w:p w14:paraId="18B6823B" w14:textId="77777777" w:rsidR="003E7AF1" w:rsidRDefault="003E7AF1">
            <w:pPr>
              <w:ind w:right="-23"/>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خلال الفترة (2005/2006 إلى 2010/2011)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CAEC057"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50</w:t>
            </w:r>
          </w:p>
        </w:tc>
      </w:tr>
      <w:tr w:rsidR="003E7AF1" w14:paraId="2DFCC994"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227CF17D"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(2-13)</w:t>
            </w:r>
          </w:p>
        </w:tc>
        <w:tc>
          <w:tcPr>
            <w:tcW w:w="5528" w:type="dxa"/>
            <w:tcBorders>
              <w:top w:val="single" w:sz="4" w:space="0" w:color="auto"/>
              <w:left w:val="single" w:sz="4" w:space="0" w:color="auto"/>
              <w:bottom w:val="single" w:sz="4" w:space="0" w:color="auto"/>
              <w:right w:val="single" w:sz="4" w:space="0" w:color="auto"/>
            </w:tcBorders>
            <w:vAlign w:val="center"/>
            <w:hideMark/>
          </w:tcPr>
          <w:p w14:paraId="2E48FFC9"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التغير النسبي في الإيرادات والمصروفات </w:t>
            </w:r>
          </w:p>
          <w:p w14:paraId="41897E69"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خلال الفترة (2005/2006 إلى 2010/2011)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2C36B6B"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51</w:t>
            </w:r>
          </w:p>
        </w:tc>
      </w:tr>
      <w:tr w:rsidR="003E7AF1" w14:paraId="2DF6A33D"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55CE0735"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(2-14)</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BF7714A"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تطور نسب الإيرادات والمصروفات </w:t>
            </w:r>
          </w:p>
          <w:p w14:paraId="3EC21972"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والعجز الكلي للموازنة العامة إلى الناتج المحلي الإجمالي </w:t>
            </w:r>
          </w:p>
          <w:p w14:paraId="37570407"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خلال الفترة (2005/2006 إلى 2010/2011)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04263AD"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52</w:t>
            </w:r>
          </w:p>
        </w:tc>
      </w:tr>
      <w:tr w:rsidR="003E7AF1" w14:paraId="66B76ED6"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69E12842"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(2-15)</w:t>
            </w:r>
          </w:p>
        </w:tc>
        <w:tc>
          <w:tcPr>
            <w:tcW w:w="5528" w:type="dxa"/>
            <w:tcBorders>
              <w:top w:val="single" w:sz="4" w:space="0" w:color="auto"/>
              <w:left w:val="single" w:sz="4" w:space="0" w:color="auto"/>
              <w:bottom w:val="single" w:sz="4" w:space="0" w:color="auto"/>
              <w:right w:val="single" w:sz="4" w:space="0" w:color="auto"/>
            </w:tcBorders>
            <w:vAlign w:val="center"/>
            <w:hideMark/>
          </w:tcPr>
          <w:p w14:paraId="7DD268A7"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تطور التمويل الخارجي لعجز الموازنة العامة للدولة</w:t>
            </w:r>
          </w:p>
          <w:p w14:paraId="0C05D877" w14:textId="77777777" w:rsidR="003E7AF1" w:rsidRDefault="003E7AF1">
            <w:pPr>
              <w:ind w:right="-23"/>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خلال الفترة (1998/1999 إلى 2010/2011)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74E0234"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53</w:t>
            </w:r>
          </w:p>
        </w:tc>
      </w:tr>
      <w:tr w:rsidR="003E7AF1" w14:paraId="4A4799B7"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262401CD"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(2-16)</w:t>
            </w:r>
          </w:p>
        </w:tc>
        <w:tc>
          <w:tcPr>
            <w:tcW w:w="5528" w:type="dxa"/>
            <w:tcBorders>
              <w:top w:val="single" w:sz="4" w:space="0" w:color="auto"/>
              <w:left w:val="single" w:sz="4" w:space="0" w:color="auto"/>
              <w:bottom w:val="single" w:sz="4" w:space="0" w:color="auto"/>
              <w:right w:val="single" w:sz="4" w:space="0" w:color="auto"/>
            </w:tcBorders>
            <w:vAlign w:val="center"/>
            <w:hideMark/>
          </w:tcPr>
          <w:p w14:paraId="4E65EB31"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تطور التمويل المحلي (المصرفي وغير المصرفي) </w:t>
            </w:r>
          </w:p>
          <w:p w14:paraId="36FC88D9"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لعجز الموازنة العامة للدولة</w:t>
            </w:r>
          </w:p>
          <w:p w14:paraId="111AC2B4" w14:textId="77777777" w:rsidR="003E7AF1" w:rsidRDefault="003E7AF1">
            <w:pPr>
              <w:ind w:right="-23"/>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خلال الفترة (1998/1999 إلى 2010/2011)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AC2D03"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54</w:t>
            </w:r>
          </w:p>
        </w:tc>
      </w:tr>
      <w:tr w:rsidR="003E7AF1" w14:paraId="22134350"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37E0E237"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(2-17)</w:t>
            </w:r>
          </w:p>
        </w:tc>
        <w:tc>
          <w:tcPr>
            <w:tcW w:w="5528" w:type="dxa"/>
            <w:tcBorders>
              <w:top w:val="single" w:sz="4" w:space="0" w:color="auto"/>
              <w:left w:val="single" w:sz="4" w:space="0" w:color="auto"/>
              <w:bottom w:val="single" w:sz="4" w:space="0" w:color="auto"/>
              <w:right w:val="single" w:sz="4" w:space="0" w:color="auto"/>
            </w:tcBorders>
            <w:vAlign w:val="center"/>
            <w:hideMark/>
          </w:tcPr>
          <w:p w14:paraId="49531E90"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تطور التمويل الخارجي والتمويل المحلي</w:t>
            </w:r>
          </w:p>
          <w:p w14:paraId="14C85833"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لعجز الموازنة العامة للدولة</w:t>
            </w:r>
          </w:p>
          <w:p w14:paraId="64EC66DB" w14:textId="77777777" w:rsidR="003E7AF1" w:rsidRDefault="003E7AF1">
            <w:pPr>
              <w:ind w:right="-23"/>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خلال الفترة (1998/1999 إلى 2010/2011)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C32C097"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55</w:t>
            </w:r>
          </w:p>
        </w:tc>
      </w:tr>
      <w:tr w:rsidR="003E7AF1" w14:paraId="4030B564"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580A2176"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(2-18)</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7B29E10"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تطور الرقم القياسي لأسعار المستهلكين</w:t>
            </w:r>
          </w:p>
          <w:p w14:paraId="3A667865"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ونسبة العجز الكلي للموازنة العامة </w:t>
            </w:r>
          </w:p>
          <w:p w14:paraId="08259775"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خلال الفترة (1998/1999 إلى 2010/2011)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5301209"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57</w:t>
            </w:r>
          </w:p>
        </w:tc>
      </w:tr>
      <w:tr w:rsidR="003E7AF1" w14:paraId="19418C70" w14:textId="77777777" w:rsidTr="003E7AF1">
        <w:trPr>
          <w:trHeight w:val="1533"/>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27AB9A2B"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(2-19)</w:t>
            </w:r>
          </w:p>
        </w:tc>
        <w:tc>
          <w:tcPr>
            <w:tcW w:w="5528" w:type="dxa"/>
            <w:tcBorders>
              <w:top w:val="single" w:sz="4" w:space="0" w:color="auto"/>
              <w:left w:val="single" w:sz="4" w:space="0" w:color="auto"/>
              <w:bottom w:val="single" w:sz="4" w:space="0" w:color="auto"/>
              <w:right w:val="single" w:sz="4" w:space="0" w:color="auto"/>
            </w:tcBorders>
            <w:vAlign w:val="center"/>
            <w:hideMark/>
          </w:tcPr>
          <w:p w14:paraId="7D46191E"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تطور الرقم القياسي لأسعار المستهلكين والتمويل الخارجي والمحلي المصرفي والمحلي غير المصرفي</w:t>
            </w:r>
          </w:p>
          <w:p w14:paraId="053E8844"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خلال الفترة (1998/1999 إلى 2010/2011)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FE4FA0"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58</w:t>
            </w:r>
          </w:p>
        </w:tc>
      </w:tr>
      <w:tr w:rsidR="003E7AF1" w14:paraId="79A0AA21" w14:textId="77777777" w:rsidTr="003E7AF1">
        <w:trPr>
          <w:trHeight w:val="111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02B559F7"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(2-20)</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24911D4"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تطور الإيرادات والمصروفات والعجز الكلي للموازنة العامة </w:t>
            </w:r>
          </w:p>
          <w:p w14:paraId="483DB53A"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خلال الفترة (2011/2012 إلى 2018/2019)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25E604A"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61</w:t>
            </w:r>
          </w:p>
        </w:tc>
      </w:tr>
      <w:tr w:rsidR="003E7AF1" w14:paraId="360EA1C8" w14:textId="77777777" w:rsidTr="003E7AF1">
        <w:trPr>
          <w:trHeight w:val="1028"/>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23ABBD7C"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(2-21)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E911471"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التغير النسبي في الإيرادات والمصروفات</w:t>
            </w:r>
          </w:p>
          <w:p w14:paraId="6EC9F715"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خلال الفترة (2011/2012 إلى 2018/2019)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518DE22"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62</w:t>
            </w:r>
          </w:p>
        </w:tc>
      </w:tr>
      <w:tr w:rsidR="003E7AF1" w14:paraId="76BCC8CC"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6A6150EB"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(2-22)</w:t>
            </w:r>
          </w:p>
        </w:tc>
        <w:tc>
          <w:tcPr>
            <w:tcW w:w="5528" w:type="dxa"/>
            <w:tcBorders>
              <w:top w:val="single" w:sz="4" w:space="0" w:color="auto"/>
              <w:left w:val="single" w:sz="4" w:space="0" w:color="auto"/>
              <w:bottom w:val="single" w:sz="4" w:space="0" w:color="auto"/>
              <w:right w:val="single" w:sz="4" w:space="0" w:color="auto"/>
            </w:tcBorders>
            <w:vAlign w:val="center"/>
            <w:hideMark/>
          </w:tcPr>
          <w:p w14:paraId="326A2A5A"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تطور نسب الإيرادات والمصروفات </w:t>
            </w:r>
          </w:p>
          <w:p w14:paraId="2DE79683"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والعجز الكلي للموازنة العامة إلى الناتج المحلي الإجمالي</w:t>
            </w:r>
          </w:p>
          <w:p w14:paraId="2885F4EF"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خلال الفترة (2011/2012 إلى 2018/2019)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6124A65"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63</w:t>
            </w:r>
          </w:p>
        </w:tc>
      </w:tr>
      <w:tr w:rsidR="003E7AF1" w14:paraId="423A0E0B"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43703E95"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(2-23)</w:t>
            </w:r>
          </w:p>
        </w:tc>
        <w:tc>
          <w:tcPr>
            <w:tcW w:w="5528" w:type="dxa"/>
            <w:tcBorders>
              <w:top w:val="single" w:sz="4" w:space="0" w:color="auto"/>
              <w:left w:val="single" w:sz="4" w:space="0" w:color="auto"/>
              <w:bottom w:val="single" w:sz="4" w:space="0" w:color="auto"/>
              <w:right w:val="single" w:sz="4" w:space="0" w:color="auto"/>
            </w:tcBorders>
            <w:vAlign w:val="center"/>
            <w:hideMark/>
          </w:tcPr>
          <w:p w14:paraId="441DB95D"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تطور التمويل الخارجي لعجز الموازنة العامة للدولة</w:t>
            </w:r>
          </w:p>
          <w:p w14:paraId="435CF974"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خلال الفترة (2011/2012 إلى 2018/2019)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0DABAB8"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65</w:t>
            </w:r>
          </w:p>
        </w:tc>
      </w:tr>
      <w:tr w:rsidR="003E7AF1" w14:paraId="16F3F714" w14:textId="77777777" w:rsidTr="003E7AF1">
        <w:trPr>
          <w:trHeight w:val="1226"/>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483996BC"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(2-24)</w:t>
            </w:r>
          </w:p>
        </w:tc>
        <w:tc>
          <w:tcPr>
            <w:tcW w:w="5528" w:type="dxa"/>
            <w:tcBorders>
              <w:top w:val="single" w:sz="4" w:space="0" w:color="auto"/>
              <w:left w:val="single" w:sz="4" w:space="0" w:color="auto"/>
              <w:bottom w:val="single" w:sz="4" w:space="0" w:color="auto"/>
              <w:right w:val="single" w:sz="4" w:space="0" w:color="auto"/>
            </w:tcBorders>
            <w:vAlign w:val="center"/>
            <w:hideMark/>
          </w:tcPr>
          <w:p w14:paraId="645882DC"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تطور التمويل المحلي (المصرفي وغير المصرفي)</w:t>
            </w:r>
          </w:p>
          <w:p w14:paraId="32A12696"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لعجز الموازنة العامة للدولة </w:t>
            </w:r>
          </w:p>
          <w:p w14:paraId="6B521B36"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خلال الفترة (2011/2012 إلى 2018/2019)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7EAD4D6"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66</w:t>
            </w:r>
          </w:p>
        </w:tc>
      </w:tr>
      <w:tr w:rsidR="003E7AF1" w14:paraId="64D28D3D" w14:textId="77777777" w:rsidTr="003E7AF1">
        <w:trPr>
          <w:trHeight w:val="1242"/>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285A6BDF"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(2-25)</w:t>
            </w:r>
          </w:p>
        </w:tc>
        <w:tc>
          <w:tcPr>
            <w:tcW w:w="5528" w:type="dxa"/>
            <w:tcBorders>
              <w:top w:val="single" w:sz="4" w:space="0" w:color="auto"/>
              <w:left w:val="single" w:sz="4" w:space="0" w:color="auto"/>
              <w:bottom w:val="single" w:sz="4" w:space="0" w:color="auto"/>
              <w:right w:val="single" w:sz="4" w:space="0" w:color="auto"/>
            </w:tcBorders>
            <w:vAlign w:val="center"/>
            <w:hideMark/>
          </w:tcPr>
          <w:p w14:paraId="2FE906EE"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تطور التمويل الخارجي والتمويل المحلي </w:t>
            </w:r>
          </w:p>
          <w:p w14:paraId="19BBA5CA"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لعجز الموازنة العامة للدولة</w:t>
            </w:r>
          </w:p>
          <w:p w14:paraId="4ED3FB3E"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خلال الفترة (2011/2012 إلى 2018/2019)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55A5097"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67</w:t>
            </w:r>
          </w:p>
        </w:tc>
      </w:tr>
      <w:tr w:rsidR="003E7AF1" w14:paraId="54F86081" w14:textId="77777777" w:rsidTr="003E7AF1">
        <w:trPr>
          <w:trHeight w:val="1290"/>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7C815BEF"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(2-26)</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9B0ECEB"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تطور معدل التضخم ونسبة العجز الكلي للموازنة العامة </w:t>
            </w:r>
          </w:p>
          <w:p w14:paraId="637DA80B"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خلال الفترة (2011/2012 إلى 2018/2019)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6A4A26F"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68</w:t>
            </w:r>
          </w:p>
        </w:tc>
      </w:tr>
      <w:tr w:rsidR="003E7AF1" w14:paraId="283C62B8"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579B0915"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(2-27)</w:t>
            </w:r>
          </w:p>
        </w:tc>
        <w:tc>
          <w:tcPr>
            <w:tcW w:w="5528" w:type="dxa"/>
            <w:tcBorders>
              <w:top w:val="single" w:sz="4" w:space="0" w:color="auto"/>
              <w:left w:val="single" w:sz="4" w:space="0" w:color="auto"/>
              <w:bottom w:val="single" w:sz="4" w:space="0" w:color="auto"/>
              <w:right w:val="single" w:sz="4" w:space="0" w:color="auto"/>
            </w:tcBorders>
            <w:vAlign w:val="center"/>
            <w:hideMark/>
          </w:tcPr>
          <w:p w14:paraId="71B84AC2"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تطور الرقم القياسي لأسعار المستهلكين والتمويل الخارجي والمحلي المصرفي والمحلي غير المصرفي</w:t>
            </w:r>
          </w:p>
          <w:p w14:paraId="4618F667"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خلال الفترة (2011/2012 إلى 2018/2019)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6B1A60F"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69</w:t>
            </w:r>
          </w:p>
        </w:tc>
      </w:tr>
      <w:tr w:rsidR="003E7AF1" w14:paraId="7B25750C" w14:textId="77777777" w:rsidTr="003E7AF1">
        <w:trPr>
          <w:trHeight w:val="1478"/>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2FA3FB72"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(2-28)</w:t>
            </w:r>
          </w:p>
        </w:tc>
        <w:tc>
          <w:tcPr>
            <w:tcW w:w="5528" w:type="dxa"/>
            <w:tcBorders>
              <w:top w:val="single" w:sz="4" w:space="0" w:color="auto"/>
              <w:left w:val="single" w:sz="4" w:space="0" w:color="auto"/>
              <w:bottom w:val="single" w:sz="4" w:space="0" w:color="auto"/>
              <w:right w:val="single" w:sz="4" w:space="0" w:color="auto"/>
            </w:tcBorders>
            <w:vAlign w:val="center"/>
            <w:hideMark/>
          </w:tcPr>
          <w:p w14:paraId="40F20CA5"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تطور نسبة العجز الكلي للموازنة </w:t>
            </w:r>
          </w:p>
          <w:p w14:paraId="20DBF3AE"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ونسبة المصروفات والإيرادات إلى الناتج</w:t>
            </w:r>
          </w:p>
          <w:p w14:paraId="3120169B"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خلال الفترة (1991/1992 إلى 2017/2018)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70FFB38"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72</w:t>
            </w:r>
          </w:p>
        </w:tc>
      </w:tr>
      <w:tr w:rsidR="003E7AF1" w14:paraId="4ABF896C" w14:textId="77777777" w:rsidTr="003E7AF1">
        <w:trPr>
          <w:trHeight w:val="1497"/>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6708482A"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(2-29)</w:t>
            </w:r>
          </w:p>
        </w:tc>
        <w:tc>
          <w:tcPr>
            <w:tcW w:w="5528" w:type="dxa"/>
            <w:tcBorders>
              <w:top w:val="single" w:sz="4" w:space="0" w:color="auto"/>
              <w:left w:val="single" w:sz="4" w:space="0" w:color="auto"/>
              <w:bottom w:val="single" w:sz="4" w:space="0" w:color="auto"/>
              <w:right w:val="single" w:sz="4" w:space="0" w:color="auto"/>
            </w:tcBorders>
            <w:vAlign w:val="center"/>
            <w:hideMark/>
          </w:tcPr>
          <w:p w14:paraId="43C5685F"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تطور الرقم القياسي لأسعار المستهلكين</w:t>
            </w:r>
          </w:p>
          <w:p w14:paraId="0741DAAF"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وآليات تمويل عجز الموازنة العامة </w:t>
            </w:r>
          </w:p>
          <w:p w14:paraId="046F1AB5"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خلال الفترة (1991/1992 إلى 2018/2019)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5604EE5"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74</w:t>
            </w:r>
          </w:p>
        </w:tc>
      </w:tr>
      <w:tr w:rsidR="003E7AF1" w14:paraId="1B958EEF"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3107D318"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(3-1)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43A17EA"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rPr>
              <w:t>تطور الرقم القياسي لأسعار المستهلكين في مصر</w:t>
            </w:r>
          </w:p>
          <w:p w14:paraId="13B41778"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خلال الفترة (1991/1992 إلى 2018/2019)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F5178E"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78</w:t>
            </w:r>
          </w:p>
        </w:tc>
      </w:tr>
      <w:tr w:rsidR="003E7AF1" w14:paraId="55226E8B"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5399337A"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(3-2)</w:t>
            </w:r>
          </w:p>
        </w:tc>
        <w:tc>
          <w:tcPr>
            <w:tcW w:w="5528" w:type="dxa"/>
            <w:tcBorders>
              <w:top w:val="single" w:sz="4" w:space="0" w:color="auto"/>
              <w:left w:val="single" w:sz="4" w:space="0" w:color="auto"/>
              <w:bottom w:val="single" w:sz="4" w:space="0" w:color="auto"/>
              <w:right w:val="single" w:sz="4" w:space="0" w:color="auto"/>
            </w:tcBorders>
            <w:vAlign w:val="center"/>
            <w:hideMark/>
          </w:tcPr>
          <w:p w14:paraId="3758A231"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تطور آليات تمويل عجز الموازنة العامة للدولة والتضخم</w:t>
            </w:r>
          </w:p>
          <w:p w14:paraId="5E530798" w14:textId="77777777" w:rsidR="003E7AF1" w:rsidRDefault="003E7AF1">
            <w:pPr>
              <w:ind w:right="-23"/>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خلال الفترة (1991/1992 إلى 2018/2019)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2572B3C"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79</w:t>
            </w:r>
          </w:p>
        </w:tc>
      </w:tr>
      <w:tr w:rsidR="003E7AF1" w14:paraId="78094415"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24F7AADB"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(3-3)</w:t>
            </w:r>
          </w:p>
        </w:tc>
        <w:tc>
          <w:tcPr>
            <w:tcW w:w="5528" w:type="dxa"/>
            <w:tcBorders>
              <w:top w:val="single" w:sz="4" w:space="0" w:color="auto"/>
              <w:left w:val="single" w:sz="4" w:space="0" w:color="auto"/>
              <w:bottom w:val="single" w:sz="4" w:space="0" w:color="auto"/>
              <w:right w:val="single" w:sz="4" w:space="0" w:color="auto"/>
            </w:tcBorders>
            <w:vAlign w:val="center"/>
            <w:hideMark/>
          </w:tcPr>
          <w:p w14:paraId="4C625DAA"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تطور أسعار الواردات بالأسعار المحلية الثابتة والتضخم</w:t>
            </w:r>
          </w:p>
          <w:p w14:paraId="74B00EE2"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خلال الفترة (1991/1992 إلى 2018/2019)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137E2EC"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80</w:t>
            </w:r>
          </w:p>
        </w:tc>
      </w:tr>
      <w:tr w:rsidR="003E7AF1" w14:paraId="39800357"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1685DD5B"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(3-4)</w:t>
            </w:r>
          </w:p>
        </w:tc>
        <w:tc>
          <w:tcPr>
            <w:tcW w:w="5528" w:type="dxa"/>
            <w:tcBorders>
              <w:top w:val="single" w:sz="4" w:space="0" w:color="auto"/>
              <w:left w:val="single" w:sz="4" w:space="0" w:color="auto"/>
              <w:bottom w:val="single" w:sz="4" w:space="0" w:color="auto"/>
              <w:right w:val="single" w:sz="4" w:space="0" w:color="auto"/>
            </w:tcBorders>
            <w:vAlign w:val="center"/>
            <w:hideMark/>
          </w:tcPr>
          <w:p w14:paraId="2889AC20"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تطور سعر صرف الجنيه مقابل الدولار الأمريكي</w:t>
            </w:r>
          </w:p>
          <w:p w14:paraId="449D06B7"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خلال الفترة (1991/1992 إلى 2018/2019)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7177212"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81</w:t>
            </w:r>
          </w:p>
        </w:tc>
      </w:tr>
      <w:tr w:rsidR="003E7AF1" w14:paraId="72585366" w14:textId="77777777" w:rsidTr="003E7AF1">
        <w:trPr>
          <w:trHeight w:val="624"/>
          <w:jc w:val="center"/>
        </w:trPr>
        <w:tc>
          <w:tcPr>
            <w:tcW w:w="1786" w:type="dxa"/>
            <w:tcBorders>
              <w:top w:val="single" w:sz="4" w:space="0" w:color="auto"/>
              <w:left w:val="single" w:sz="4" w:space="0" w:color="auto"/>
              <w:bottom w:val="single" w:sz="4" w:space="0" w:color="auto"/>
              <w:right w:val="single" w:sz="4" w:space="0" w:color="auto"/>
            </w:tcBorders>
            <w:vAlign w:val="center"/>
            <w:hideMark/>
          </w:tcPr>
          <w:p w14:paraId="7F0D0289"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(3-5)</w:t>
            </w:r>
          </w:p>
        </w:tc>
        <w:tc>
          <w:tcPr>
            <w:tcW w:w="5528" w:type="dxa"/>
            <w:tcBorders>
              <w:top w:val="single" w:sz="4" w:space="0" w:color="auto"/>
              <w:left w:val="single" w:sz="4" w:space="0" w:color="auto"/>
              <w:bottom w:val="single" w:sz="4" w:space="0" w:color="auto"/>
              <w:right w:val="single" w:sz="4" w:space="0" w:color="auto"/>
            </w:tcBorders>
            <w:vAlign w:val="center"/>
            <w:hideMark/>
          </w:tcPr>
          <w:p w14:paraId="31272B1F"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تطور نمو النقود إلى الناتج المحلي الإجمالي والتضخم</w:t>
            </w:r>
          </w:p>
          <w:p w14:paraId="46AE06B9"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خلال الفترة (1991/1992 إلى 2018/2019)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D44C578"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83</w:t>
            </w:r>
          </w:p>
        </w:tc>
      </w:tr>
    </w:tbl>
    <w:p w14:paraId="418462D8" w14:textId="77777777" w:rsidR="003E7AF1" w:rsidRDefault="003E7AF1" w:rsidP="003E7AF1">
      <w:pPr>
        <w:ind w:left="119" w:right="-23" w:firstLine="601"/>
        <w:jc w:val="mediumKashida"/>
        <w:rPr>
          <w:rFonts w:ascii="Simplified Arabic" w:hAnsi="Simplified Arabic" w:cs="Simplified Arabic"/>
          <w:sz w:val="28"/>
          <w:szCs w:val="28"/>
          <w:rtl/>
          <w:lang w:bidi="ar-EG"/>
        </w:rPr>
      </w:pPr>
    </w:p>
    <w:p w14:paraId="0ED0DCCD" w14:textId="77777777" w:rsidR="003E7AF1" w:rsidRDefault="003E7AF1" w:rsidP="003E7AF1">
      <w:pPr>
        <w:bidi w:val="0"/>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7DB36043" w14:textId="77777777" w:rsidR="003E7AF1" w:rsidRDefault="003E7AF1" w:rsidP="003E7AF1">
      <w:pPr>
        <w:jc w:val="center"/>
        <w:rPr>
          <w:rFonts w:ascii="Simplified Arabic" w:eastAsiaTheme="minorEastAsia" w:hAnsi="Simplified Arabic" w:cs="Simplified Arabic"/>
          <w:b/>
          <w:bCs/>
          <w:color w:val="222A35" w:themeColor="text2" w:themeShade="80"/>
          <w:sz w:val="28"/>
          <w:szCs w:val="28"/>
          <w:rtl/>
          <w:lang w:bidi="ar-EG"/>
        </w:rPr>
      </w:pPr>
      <w:r>
        <w:rPr>
          <w:rFonts w:ascii="Simplified Arabic" w:hAnsi="Simplified Arabic" w:cs="Simplified Arabic"/>
          <w:b/>
          <w:bCs/>
          <w:color w:val="222A35" w:themeColor="text2" w:themeShade="80"/>
          <w:sz w:val="28"/>
          <w:szCs w:val="28"/>
          <w:rtl/>
          <w:lang w:bidi="ar-EG"/>
        </w:rPr>
        <w:lastRenderedPageBreak/>
        <w:t>فهرس الملاحق</w:t>
      </w:r>
    </w:p>
    <w:p w14:paraId="6580E898" w14:textId="77777777" w:rsidR="003E7AF1" w:rsidRDefault="003E7AF1" w:rsidP="003E7AF1">
      <w:pPr>
        <w:bidi w:val="0"/>
        <w:rPr>
          <w:rFonts w:ascii="Simplified Arabic" w:hAnsi="Simplified Arabic" w:cs="Simplified Arabic"/>
          <w:sz w:val="28"/>
          <w:szCs w:val="28"/>
          <w:rtl/>
          <w:lang w:bidi="ar-EG"/>
        </w:rPr>
      </w:pPr>
      <w:r>
        <w:rPr>
          <w:rFonts w:ascii="Simplified Arabic" w:hAnsi="Simplified Arabic" w:cs="Simplified Arabic"/>
          <w:sz w:val="28"/>
          <w:szCs w:val="28"/>
          <w:lang w:bidi="ar-EG"/>
        </w:rPr>
        <w:tab/>
      </w:r>
    </w:p>
    <w:tbl>
      <w:tblPr>
        <w:tblStyle w:val="a0"/>
        <w:bidiVisual/>
        <w:tblW w:w="8731" w:type="dxa"/>
        <w:jc w:val="center"/>
        <w:tblInd w:w="0" w:type="dxa"/>
        <w:tblLook w:val="04A0" w:firstRow="1" w:lastRow="0" w:firstColumn="1" w:lastColumn="0" w:noHBand="0" w:noVBand="1"/>
      </w:tblPr>
      <w:tblGrid>
        <w:gridCol w:w="1389"/>
        <w:gridCol w:w="6237"/>
        <w:gridCol w:w="1105"/>
      </w:tblGrid>
      <w:tr w:rsidR="003E7AF1" w14:paraId="52C827C9" w14:textId="77777777" w:rsidTr="003E7AF1">
        <w:trPr>
          <w:tblHeader/>
          <w:jc w:val="center"/>
        </w:trPr>
        <w:tc>
          <w:tcPr>
            <w:tcW w:w="138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D67EB9C" w14:textId="77777777" w:rsidR="003E7AF1" w:rsidRDefault="003E7AF1">
            <w:pPr>
              <w:jc w:val="center"/>
              <w:rPr>
                <w:rFonts w:ascii="Simplified Arabic" w:hAnsi="Simplified Arabic" w:cs="Simplified Arabic"/>
                <w:b/>
                <w:bCs/>
                <w:color w:val="222A35" w:themeColor="text2" w:themeShade="80"/>
                <w:sz w:val="28"/>
                <w:szCs w:val="28"/>
                <w:lang w:bidi="ar-EG"/>
              </w:rPr>
            </w:pPr>
            <w:r>
              <w:rPr>
                <w:rFonts w:ascii="Simplified Arabic" w:hAnsi="Simplified Arabic" w:cs="Simplified Arabic"/>
                <w:b/>
                <w:bCs/>
                <w:color w:val="222A35" w:themeColor="text2" w:themeShade="80"/>
                <w:sz w:val="28"/>
                <w:szCs w:val="28"/>
                <w:rtl/>
                <w:lang w:bidi="ar-EG"/>
              </w:rPr>
              <w:t>رقم الملحق</w:t>
            </w:r>
          </w:p>
        </w:tc>
        <w:tc>
          <w:tcPr>
            <w:tcW w:w="623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6C671BA" w14:textId="77777777" w:rsidR="003E7AF1" w:rsidRDefault="003E7AF1">
            <w:pPr>
              <w:jc w:val="center"/>
              <w:rPr>
                <w:rFonts w:ascii="Simplified Arabic" w:hAnsi="Simplified Arabic" w:cs="Simplified Arabic"/>
                <w:b/>
                <w:bCs/>
                <w:color w:val="222A35" w:themeColor="text2" w:themeShade="80"/>
                <w:sz w:val="28"/>
                <w:szCs w:val="28"/>
                <w:rtl/>
                <w:lang w:bidi="ar-EG"/>
              </w:rPr>
            </w:pPr>
            <w:r>
              <w:rPr>
                <w:rFonts w:ascii="Simplified Arabic" w:hAnsi="Simplified Arabic" w:cs="Simplified Arabic"/>
                <w:b/>
                <w:bCs/>
                <w:color w:val="222A35" w:themeColor="text2" w:themeShade="80"/>
                <w:sz w:val="28"/>
                <w:szCs w:val="28"/>
                <w:rtl/>
                <w:lang w:bidi="ar-EG"/>
              </w:rPr>
              <w:t>الملحق</w:t>
            </w:r>
          </w:p>
        </w:tc>
        <w:tc>
          <w:tcPr>
            <w:tcW w:w="110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605ACEE" w14:textId="77777777" w:rsidR="003E7AF1" w:rsidRDefault="003E7AF1">
            <w:pPr>
              <w:jc w:val="center"/>
              <w:rPr>
                <w:rFonts w:ascii="Simplified Arabic" w:hAnsi="Simplified Arabic" w:cs="Simplified Arabic"/>
                <w:b/>
                <w:bCs/>
                <w:color w:val="222A35" w:themeColor="text2" w:themeShade="80"/>
                <w:sz w:val="28"/>
                <w:szCs w:val="28"/>
                <w:rtl/>
                <w:lang w:bidi="ar-EG"/>
              </w:rPr>
            </w:pPr>
            <w:r>
              <w:rPr>
                <w:rFonts w:ascii="Simplified Arabic" w:hAnsi="Simplified Arabic" w:cs="Simplified Arabic"/>
                <w:b/>
                <w:bCs/>
                <w:color w:val="222A35" w:themeColor="text2" w:themeShade="80"/>
                <w:sz w:val="28"/>
                <w:szCs w:val="28"/>
                <w:rtl/>
                <w:lang w:bidi="ar-EG"/>
              </w:rPr>
              <w:t>الصفحة</w:t>
            </w:r>
          </w:p>
        </w:tc>
      </w:tr>
      <w:tr w:rsidR="003E7AF1" w14:paraId="39D832B9" w14:textId="77777777" w:rsidTr="003E7AF1">
        <w:trPr>
          <w:trHeight w:val="624"/>
          <w:jc w:val="center"/>
        </w:trPr>
        <w:tc>
          <w:tcPr>
            <w:tcW w:w="1389" w:type="dxa"/>
            <w:tcBorders>
              <w:top w:val="single" w:sz="4" w:space="0" w:color="auto"/>
              <w:left w:val="single" w:sz="4" w:space="0" w:color="auto"/>
              <w:bottom w:val="single" w:sz="4" w:space="0" w:color="auto"/>
              <w:right w:val="single" w:sz="4" w:space="0" w:color="auto"/>
            </w:tcBorders>
            <w:vAlign w:val="center"/>
            <w:hideMark/>
          </w:tcPr>
          <w:p w14:paraId="63AB37A3"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(4-1)</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A825E74"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تطور عجز الموازنة العامة للدولة</w:t>
            </w:r>
          </w:p>
          <w:p w14:paraId="366E53BF"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خلال الفترة (1991/1992 إلى 2018/2019)</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18F846D"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111</w:t>
            </w:r>
          </w:p>
        </w:tc>
      </w:tr>
      <w:tr w:rsidR="003E7AF1" w14:paraId="5C18549B" w14:textId="77777777" w:rsidTr="003E7AF1">
        <w:trPr>
          <w:trHeight w:val="624"/>
          <w:jc w:val="center"/>
        </w:trPr>
        <w:tc>
          <w:tcPr>
            <w:tcW w:w="1389" w:type="dxa"/>
            <w:tcBorders>
              <w:top w:val="single" w:sz="4" w:space="0" w:color="auto"/>
              <w:left w:val="single" w:sz="4" w:space="0" w:color="auto"/>
              <w:bottom w:val="single" w:sz="4" w:space="0" w:color="auto"/>
              <w:right w:val="single" w:sz="4" w:space="0" w:color="auto"/>
            </w:tcBorders>
            <w:vAlign w:val="center"/>
            <w:hideMark/>
          </w:tcPr>
          <w:p w14:paraId="361EB6FA"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(4-2)</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35E7181"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التمويل الخارجي لعجز الموازنة العامة للدولة</w:t>
            </w:r>
          </w:p>
          <w:p w14:paraId="69355626"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خلال الفترة (1991/1992 إلى 2018/2019)</w:t>
            </w:r>
          </w:p>
        </w:tc>
        <w:tc>
          <w:tcPr>
            <w:tcW w:w="1105" w:type="dxa"/>
            <w:tcBorders>
              <w:top w:val="single" w:sz="4" w:space="0" w:color="auto"/>
              <w:left w:val="single" w:sz="4" w:space="0" w:color="auto"/>
              <w:bottom w:val="single" w:sz="4" w:space="0" w:color="auto"/>
              <w:right w:val="single" w:sz="4" w:space="0" w:color="auto"/>
            </w:tcBorders>
            <w:vAlign w:val="center"/>
            <w:hideMark/>
          </w:tcPr>
          <w:p w14:paraId="3E36EC69"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113</w:t>
            </w:r>
          </w:p>
        </w:tc>
      </w:tr>
      <w:tr w:rsidR="003E7AF1" w14:paraId="1758112E" w14:textId="77777777" w:rsidTr="003E7AF1">
        <w:trPr>
          <w:trHeight w:val="624"/>
          <w:jc w:val="center"/>
        </w:trPr>
        <w:tc>
          <w:tcPr>
            <w:tcW w:w="1389" w:type="dxa"/>
            <w:tcBorders>
              <w:top w:val="single" w:sz="4" w:space="0" w:color="auto"/>
              <w:left w:val="single" w:sz="4" w:space="0" w:color="auto"/>
              <w:bottom w:val="single" w:sz="4" w:space="0" w:color="auto"/>
              <w:right w:val="single" w:sz="4" w:space="0" w:color="auto"/>
            </w:tcBorders>
            <w:vAlign w:val="center"/>
            <w:hideMark/>
          </w:tcPr>
          <w:p w14:paraId="2C729DB2"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(4-3)</w:t>
            </w:r>
          </w:p>
        </w:tc>
        <w:tc>
          <w:tcPr>
            <w:tcW w:w="6237" w:type="dxa"/>
            <w:tcBorders>
              <w:top w:val="single" w:sz="4" w:space="0" w:color="auto"/>
              <w:left w:val="single" w:sz="4" w:space="0" w:color="auto"/>
              <w:bottom w:val="single" w:sz="4" w:space="0" w:color="auto"/>
              <w:right w:val="single" w:sz="4" w:space="0" w:color="auto"/>
            </w:tcBorders>
            <w:vAlign w:val="center"/>
            <w:hideMark/>
          </w:tcPr>
          <w:p w14:paraId="441871E8"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التمويل المحلي لعجز الموازنة العامة للدولة</w:t>
            </w:r>
          </w:p>
          <w:p w14:paraId="78D6AC9E"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خلال الفترة (1991/1992 إلى 2018/2019)</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EA91358"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114</w:t>
            </w:r>
          </w:p>
        </w:tc>
      </w:tr>
      <w:tr w:rsidR="003E7AF1" w14:paraId="76E0D039" w14:textId="77777777" w:rsidTr="003E7AF1">
        <w:trPr>
          <w:trHeight w:val="624"/>
          <w:jc w:val="center"/>
        </w:trPr>
        <w:tc>
          <w:tcPr>
            <w:tcW w:w="1389" w:type="dxa"/>
            <w:tcBorders>
              <w:top w:val="single" w:sz="4" w:space="0" w:color="auto"/>
              <w:left w:val="single" w:sz="4" w:space="0" w:color="auto"/>
              <w:bottom w:val="single" w:sz="4" w:space="0" w:color="auto"/>
              <w:right w:val="single" w:sz="4" w:space="0" w:color="auto"/>
            </w:tcBorders>
            <w:vAlign w:val="center"/>
            <w:hideMark/>
          </w:tcPr>
          <w:p w14:paraId="2897CF01"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(4-4)</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2ED232A"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تطور معدل التضخم والرقم القياسي لأسعار المستهلكين </w:t>
            </w:r>
          </w:p>
          <w:p w14:paraId="3E6AFF3D"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خلال الفترة (1991/1992 إلى 2018/2019)</w:t>
            </w:r>
          </w:p>
        </w:tc>
        <w:tc>
          <w:tcPr>
            <w:tcW w:w="1105" w:type="dxa"/>
            <w:tcBorders>
              <w:top w:val="single" w:sz="4" w:space="0" w:color="auto"/>
              <w:left w:val="single" w:sz="4" w:space="0" w:color="auto"/>
              <w:bottom w:val="single" w:sz="4" w:space="0" w:color="auto"/>
              <w:right w:val="single" w:sz="4" w:space="0" w:color="auto"/>
            </w:tcBorders>
            <w:vAlign w:val="center"/>
            <w:hideMark/>
          </w:tcPr>
          <w:p w14:paraId="29CEA01A"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115</w:t>
            </w:r>
          </w:p>
        </w:tc>
      </w:tr>
      <w:tr w:rsidR="003E7AF1" w14:paraId="07240F99" w14:textId="77777777" w:rsidTr="003E7AF1">
        <w:trPr>
          <w:trHeight w:val="624"/>
          <w:jc w:val="center"/>
        </w:trPr>
        <w:tc>
          <w:tcPr>
            <w:tcW w:w="1389" w:type="dxa"/>
            <w:tcBorders>
              <w:top w:val="single" w:sz="4" w:space="0" w:color="auto"/>
              <w:left w:val="single" w:sz="4" w:space="0" w:color="auto"/>
              <w:bottom w:val="single" w:sz="4" w:space="0" w:color="auto"/>
              <w:right w:val="single" w:sz="4" w:space="0" w:color="auto"/>
            </w:tcBorders>
            <w:vAlign w:val="center"/>
            <w:hideMark/>
          </w:tcPr>
          <w:p w14:paraId="29A0FF30"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(4-5)</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06A9E3E"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البيانات المستخدمة في النموذج القياسي</w:t>
            </w:r>
          </w:p>
          <w:p w14:paraId="35458724"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خلال الفترة (1991/1992 إلى 2018/2019)</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75E4905"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116</w:t>
            </w:r>
          </w:p>
        </w:tc>
      </w:tr>
      <w:tr w:rsidR="003E7AF1" w14:paraId="31DDD4B0" w14:textId="77777777" w:rsidTr="003E7AF1">
        <w:trPr>
          <w:trHeight w:val="624"/>
          <w:jc w:val="center"/>
        </w:trPr>
        <w:tc>
          <w:tcPr>
            <w:tcW w:w="1389" w:type="dxa"/>
            <w:tcBorders>
              <w:top w:val="single" w:sz="4" w:space="0" w:color="auto"/>
              <w:left w:val="single" w:sz="4" w:space="0" w:color="auto"/>
              <w:bottom w:val="single" w:sz="4" w:space="0" w:color="auto"/>
              <w:right w:val="single" w:sz="4" w:space="0" w:color="auto"/>
            </w:tcBorders>
            <w:vAlign w:val="center"/>
            <w:hideMark/>
          </w:tcPr>
          <w:p w14:paraId="0D771EB3"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(4-6)</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DE182C2"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مصفوفة المقاييس الإحصائية الهامة لمتغيرات النموذج القياسي</w:t>
            </w:r>
          </w:p>
        </w:tc>
        <w:tc>
          <w:tcPr>
            <w:tcW w:w="1105" w:type="dxa"/>
            <w:tcBorders>
              <w:top w:val="single" w:sz="4" w:space="0" w:color="auto"/>
              <w:left w:val="single" w:sz="4" w:space="0" w:color="auto"/>
              <w:bottom w:val="single" w:sz="4" w:space="0" w:color="auto"/>
              <w:right w:val="single" w:sz="4" w:space="0" w:color="auto"/>
            </w:tcBorders>
            <w:vAlign w:val="center"/>
            <w:hideMark/>
          </w:tcPr>
          <w:p w14:paraId="3F621C20" w14:textId="77777777" w:rsidR="003E7AF1" w:rsidRDefault="003E7AF1">
            <w:pPr>
              <w:ind w:right="-23"/>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117</w:t>
            </w:r>
          </w:p>
        </w:tc>
      </w:tr>
    </w:tbl>
    <w:p w14:paraId="26352E58" w14:textId="77777777" w:rsidR="003E7AF1" w:rsidRDefault="003E7AF1" w:rsidP="003E7AF1">
      <w:pPr>
        <w:ind w:left="119" w:right="-23" w:firstLine="601"/>
        <w:jc w:val="mediumKashida"/>
        <w:rPr>
          <w:rFonts w:ascii="Simplified Arabic" w:hAnsi="Simplified Arabic" w:cs="Simplified Arabic"/>
          <w:sz w:val="28"/>
          <w:szCs w:val="28"/>
          <w:rtl/>
          <w:lang w:bidi="ar-EG"/>
        </w:rPr>
      </w:pPr>
    </w:p>
    <w:p w14:paraId="5C6BDD4F" w14:textId="17FC7383" w:rsidR="003E7AF1" w:rsidRDefault="003E7AF1">
      <w:pPr>
        <w:bidi w:val="0"/>
        <w:spacing w:after="160" w:line="259" w:lineRule="auto"/>
        <w:rPr>
          <w:rtl/>
        </w:rPr>
      </w:pPr>
      <w:r>
        <w:rPr>
          <w:rtl/>
        </w:rPr>
        <w:br w:type="page"/>
      </w:r>
    </w:p>
    <w:p w14:paraId="31D5A2F8" w14:textId="77777777" w:rsidR="003E7AF1" w:rsidRDefault="003E7AF1" w:rsidP="003E7AF1">
      <w:pPr>
        <w:jc w:val="both"/>
        <w:rPr>
          <w:rFonts w:ascii="Simplified Arabic" w:hAnsi="Simplified Arabic" w:cs="Simplified Arabic"/>
          <w:strike/>
          <w:noProof w:val="0"/>
          <w:color w:val="FF0000"/>
          <w:sz w:val="28"/>
          <w:szCs w:val="28"/>
          <w:lang w:bidi="ar-EG"/>
        </w:rPr>
      </w:pPr>
    </w:p>
    <w:p w14:paraId="6BD9DEC1" w14:textId="77777777" w:rsidR="003E7AF1" w:rsidRDefault="003E7AF1" w:rsidP="003E7AF1">
      <w:pPr>
        <w:jc w:val="both"/>
        <w:rPr>
          <w:rFonts w:ascii="Simplified Arabic" w:hAnsi="Simplified Arabic" w:cs="Simplified Arabic"/>
          <w:sz w:val="28"/>
          <w:szCs w:val="28"/>
          <w:lang w:bidi="ar-EG"/>
        </w:rPr>
      </w:pPr>
    </w:p>
    <w:p w14:paraId="20438A13" w14:textId="77777777" w:rsidR="003E7AF1" w:rsidRDefault="003E7AF1" w:rsidP="003E7AF1">
      <w:pPr>
        <w:ind w:left="56" w:firstLine="56"/>
        <w:jc w:val="both"/>
        <w:rPr>
          <w:rFonts w:ascii="Simplified Arabic" w:hAnsi="Simplified Arabic" w:cs="Simplified Arabic"/>
          <w:sz w:val="28"/>
          <w:szCs w:val="28"/>
          <w:rtl/>
          <w:lang w:bidi="ar-EG"/>
        </w:rPr>
      </w:pPr>
    </w:p>
    <w:p w14:paraId="5A14CD66" w14:textId="77777777" w:rsidR="003E7AF1" w:rsidRDefault="003E7AF1" w:rsidP="003E7AF1">
      <w:pPr>
        <w:ind w:left="56" w:firstLine="56"/>
        <w:jc w:val="both"/>
        <w:rPr>
          <w:rFonts w:ascii="Simplified Arabic" w:hAnsi="Simplified Arabic" w:cs="Simplified Arabic"/>
          <w:sz w:val="28"/>
          <w:szCs w:val="28"/>
          <w:rtl/>
          <w:lang w:bidi="ar-EG"/>
        </w:rPr>
      </w:pPr>
    </w:p>
    <w:p w14:paraId="6B189B5E" w14:textId="77777777" w:rsidR="003E7AF1" w:rsidRDefault="003E7AF1" w:rsidP="003E7AF1">
      <w:pPr>
        <w:ind w:left="56" w:firstLine="56"/>
        <w:jc w:val="both"/>
        <w:rPr>
          <w:rFonts w:ascii="Simplified Arabic" w:hAnsi="Simplified Arabic" w:cs="Simplified Arabic"/>
          <w:sz w:val="28"/>
          <w:szCs w:val="28"/>
          <w:rtl/>
          <w:lang w:bidi="ar-EG"/>
        </w:rPr>
      </w:pPr>
    </w:p>
    <w:p w14:paraId="2A0D52C5" w14:textId="77777777" w:rsidR="003E7AF1" w:rsidRDefault="003E7AF1" w:rsidP="003E7AF1">
      <w:pPr>
        <w:bidi w:val="0"/>
        <w:jc w:val="both"/>
        <w:rPr>
          <w:rFonts w:ascii="Simplified Arabic" w:hAnsi="Simplified Arabic" w:cs="Simplified Arabic"/>
          <w:sz w:val="28"/>
          <w:szCs w:val="28"/>
          <w:rtl/>
          <w:lang w:bidi="ar-EG"/>
        </w:rPr>
      </w:pPr>
    </w:p>
    <w:p w14:paraId="5C2D1F83" w14:textId="77777777" w:rsidR="003E7AF1" w:rsidRDefault="003E7AF1" w:rsidP="003E7AF1">
      <w:pPr>
        <w:bidi w:val="0"/>
        <w:jc w:val="both"/>
        <w:rPr>
          <w:rFonts w:ascii="Simplified Arabic" w:hAnsi="Simplified Arabic" w:cs="Simplified Arabic"/>
          <w:sz w:val="28"/>
          <w:szCs w:val="28"/>
          <w:rtl/>
          <w:lang w:bidi="ar-EG"/>
        </w:rPr>
      </w:pPr>
    </w:p>
    <w:p w14:paraId="4A1EDD86" w14:textId="77777777" w:rsidR="003E7AF1" w:rsidRDefault="003E7AF1" w:rsidP="003E7AF1">
      <w:pPr>
        <w:bidi w:val="0"/>
        <w:jc w:val="both"/>
        <w:rPr>
          <w:rFonts w:ascii="Simplified Arabic" w:hAnsi="Simplified Arabic" w:cs="Simplified Arabic"/>
          <w:sz w:val="28"/>
          <w:szCs w:val="28"/>
          <w:rtl/>
          <w:lang w:bidi="ar-EG"/>
        </w:rPr>
      </w:pPr>
    </w:p>
    <w:p w14:paraId="1D253DF7" w14:textId="77777777" w:rsidR="003E7AF1" w:rsidRDefault="003E7AF1" w:rsidP="003E7AF1">
      <w:pPr>
        <w:bidi w:val="0"/>
        <w:jc w:val="both"/>
        <w:rPr>
          <w:rFonts w:ascii="Simplified Arabic" w:hAnsi="Simplified Arabic" w:cs="Simplified Arabic"/>
          <w:sz w:val="28"/>
          <w:szCs w:val="28"/>
          <w:rtl/>
          <w:lang w:bidi="ar-EG"/>
        </w:rPr>
      </w:pPr>
    </w:p>
    <w:p w14:paraId="38C6EFDE" w14:textId="3A703042" w:rsidR="003E7AF1" w:rsidRDefault="003E7AF1" w:rsidP="003E7AF1">
      <w:pPr>
        <w:bidi w:val="0"/>
        <w:jc w:val="both"/>
        <w:rPr>
          <w:rFonts w:ascii="Simplified Arabic" w:hAnsi="Simplified Arabic" w:cs="Simplified Arabic"/>
          <w:sz w:val="28"/>
          <w:szCs w:val="28"/>
          <w:rtl/>
          <w:lang w:bidi="ar-EG"/>
        </w:rPr>
      </w:pPr>
      <w:r>
        <w:rPr>
          <w:rFonts w:asciiTheme="minorHAnsi" w:hAnsiTheme="minorHAnsi" w:cstheme="minorBidi"/>
          <w:sz w:val="22"/>
          <w:szCs w:val="22"/>
          <w:rtl/>
        </w:rPr>
        <mc:AlternateContent>
          <mc:Choice Requires="wps">
            <w:drawing>
              <wp:anchor distT="0" distB="0" distL="114300" distR="114300" simplePos="0" relativeHeight="251662336" behindDoc="0" locked="0" layoutInCell="1" allowOverlap="1" wp14:anchorId="33DF4C03" wp14:editId="4A79B70C">
                <wp:simplePos x="0" y="0"/>
                <wp:positionH relativeFrom="margin">
                  <wp:align>center</wp:align>
                </wp:positionH>
                <wp:positionV relativeFrom="margin">
                  <wp:align>center</wp:align>
                </wp:positionV>
                <wp:extent cx="5267325" cy="600075"/>
                <wp:effectExtent l="0" t="0" r="47625" b="66675"/>
                <wp:wrapNone/>
                <wp:docPr id="7"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600075"/>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1873E99B" w14:textId="77777777" w:rsidR="00270E6A" w:rsidRDefault="00270E6A" w:rsidP="003E7AF1">
                            <w:pPr>
                              <w:jc w:val="center"/>
                              <w:rPr>
                                <w:rFonts w:ascii="Simplified Arabic" w:hAnsi="Simplified Arabic" w:cs="Simplified Arabic"/>
                                <w:b/>
                                <w:bCs/>
                                <w:color w:val="222A35" w:themeColor="text2" w:themeShade="80"/>
                                <w:sz w:val="32"/>
                                <w:szCs w:val="32"/>
                                <w:lang w:bidi="ar-EG"/>
                              </w:rPr>
                            </w:pPr>
                            <w:r>
                              <w:rPr>
                                <w:rFonts w:ascii="Simplified Arabic" w:hAnsi="Simplified Arabic" w:cs="Simplified Arabic"/>
                                <w:b/>
                                <w:bCs/>
                                <w:sz w:val="32"/>
                                <w:szCs w:val="32"/>
                                <w:rtl/>
                                <w:lang w:bidi="ar-EG"/>
                              </w:rPr>
                              <w:t>الإطـــار العام للدراســة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DF4C03" id="Rectangle: Rounded Corners 7" o:spid="_x0000_s1028" style="position:absolute;left:0;text-align:left;margin-left:0;margin-top:0;width:414.75pt;height:47.25pt;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" fillcolor="white [3201]" strokecolor="#c9c9c9 [1942]" strokeweight="1pt">
                <v:fill color2="#dbdbdb [1302]" focus="100%" type="gradient"/>
                <v:shadow on="t" color="#525252 [1606]" opacity=".5" offset="1pt"/>
                <v:textbox>
                  <w:txbxContent>
                    <w:p w14:paraId="1873E99B" w14:textId="77777777" w:rsidR="00270E6A" w:rsidRDefault="00270E6A" w:rsidP="003E7AF1">
                      <w:pPr>
                        <w:jc w:val="center"/>
                        <w:rPr>
                          <w:rFonts w:ascii="Simplified Arabic" w:hAnsi="Simplified Arabic" w:cs="Simplified Arabic"/>
                          <w:b/>
                          <w:bCs/>
                          <w:color w:val="222A35" w:themeColor="text2" w:themeShade="80"/>
                          <w:sz w:val="32"/>
                          <w:szCs w:val="32"/>
                          <w:lang w:bidi="ar-EG"/>
                        </w:rPr>
                      </w:pPr>
                      <w:r>
                        <w:rPr>
                          <w:rFonts w:ascii="Simplified Arabic" w:hAnsi="Simplified Arabic" w:cs="Simplified Arabic"/>
                          <w:b/>
                          <w:bCs/>
                          <w:sz w:val="32"/>
                          <w:szCs w:val="32"/>
                          <w:rtl/>
                          <w:lang w:bidi="ar-EG"/>
                        </w:rPr>
                        <w:t>الإطـــار العام للدراســة</w:t>
                      </w:r>
                    </w:p>
                  </w:txbxContent>
                </v:textbox>
                <w10:wrap anchorx="margin" anchory="margin"/>
              </v:roundrect>
            </w:pict>
          </mc:Fallback>
        </mc:AlternateContent>
      </w:r>
    </w:p>
    <w:p w14:paraId="42ECE7E6" w14:textId="77777777" w:rsidR="003E7AF1" w:rsidRDefault="003E7AF1" w:rsidP="003E7AF1">
      <w:pPr>
        <w:bidi w:val="0"/>
        <w:jc w:val="both"/>
        <w:rPr>
          <w:rFonts w:ascii="Simplified Arabic" w:hAnsi="Simplified Arabic" w:cs="Simplified Arabic"/>
          <w:sz w:val="28"/>
          <w:szCs w:val="28"/>
          <w:rtl/>
          <w:lang w:bidi="ar-EG"/>
        </w:rPr>
      </w:pPr>
    </w:p>
    <w:p w14:paraId="15892AA3" w14:textId="77777777" w:rsidR="003E7AF1" w:rsidRDefault="003E7AF1" w:rsidP="003E7AF1">
      <w:pPr>
        <w:bidi w:val="0"/>
        <w:jc w:val="both"/>
        <w:rPr>
          <w:rFonts w:ascii="Simplified Arabic" w:hAnsi="Simplified Arabic" w:cs="Simplified Arabic"/>
          <w:sz w:val="28"/>
          <w:szCs w:val="28"/>
          <w:rtl/>
          <w:lang w:bidi="ar-EG"/>
        </w:rPr>
      </w:pPr>
    </w:p>
    <w:p w14:paraId="4A357F03" w14:textId="77777777" w:rsidR="003E7AF1" w:rsidRDefault="003E7AF1" w:rsidP="003E7AF1">
      <w:pPr>
        <w:bidi w:val="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01568117" w14:textId="77777777" w:rsidR="003E7AF1" w:rsidRDefault="003E7AF1" w:rsidP="003E7AF1">
      <w:pPr>
        <w:jc w:val="both"/>
        <w:rPr>
          <w:rFonts w:ascii="Simplified Arabic" w:hAnsi="Simplified Arabic" w:cs="Simplified Arabic"/>
          <w:sz w:val="28"/>
          <w:szCs w:val="28"/>
          <w:u w:val="single"/>
          <w:lang w:bidi="ar-EG"/>
        </w:rPr>
      </w:pPr>
      <w:r>
        <w:rPr>
          <w:rFonts w:ascii="Simplified Arabic" w:hAnsi="Simplified Arabic" w:cs="Simplified Arabic"/>
          <w:sz w:val="28"/>
          <w:szCs w:val="28"/>
          <w:u w:val="single"/>
          <w:rtl/>
          <w:lang w:bidi="ar-EG"/>
        </w:rPr>
        <w:lastRenderedPageBreak/>
        <w:t xml:space="preserve">تمهيد: </w:t>
      </w:r>
    </w:p>
    <w:p w14:paraId="6EA31184" w14:textId="77777777" w:rsidR="003E7AF1" w:rsidRDefault="003E7AF1" w:rsidP="003E7AF1">
      <w:pPr>
        <w:ind w:firstLine="51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تُعد الموازنة العامة للدولة واحدة من أهم أدوات السياسة الاقتصادية، لذا فإن إعداد تلك الموازنة يتم طبقاً لأهداف محددة ومتسقة مع الأهداف العريضة للسياسة الاقتصادية على المدى المتوسط والطويل، كما تساهم الموازنة العامة للدولة في تنفيذ خطط التنمية الاقتصادية قصيرة وطويلة الأجل وتوفير التمويل ومستلزمات الانتاج اللازمة لبرامج تلك الخطط لتحقيق أهداف الدولة في مختلف المجالات.</w:t>
      </w:r>
    </w:p>
    <w:p w14:paraId="00E3DDB5" w14:textId="77777777" w:rsidR="003E7AF1" w:rsidRDefault="003E7AF1" w:rsidP="003E7AF1">
      <w:pPr>
        <w:ind w:firstLine="510"/>
        <w:jc w:val="both"/>
        <w:rPr>
          <w:rFonts w:ascii="Simplified Arabic" w:hAnsi="Simplified Arabic" w:cs="Simplified Arabic"/>
          <w:sz w:val="28"/>
          <w:szCs w:val="28"/>
          <w:rtl/>
          <w:lang w:bidi="ar-EG"/>
        </w:rPr>
      </w:pPr>
    </w:p>
    <w:p w14:paraId="40BD2539" w14:textId="77777777" w:rsidR="003E7AF1" w:rsidRDefault="003E7AF1" w:rsidP="003E7AF1">
      <w:pPr>
        <w:ind w:firstLine="510"/>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إن تحقيق الأهداف العامة للسياسة الاقتصادية يحظى بالأولوية -‏ حتى ولو جاء على حساب التوازن المالي -‏ حيث أن زيادة الإنفاق العام مع ما يترتب عليه من زيادة للقوي الشرائية للمجتمع تصبح أمرا مطلوباً كوسيلة للانتعاش الاقتصادي، ووفقاً للفكر الكينزي فإن العبرة ليست بالتوازن المحاسبي للموازنة وإنما بالتوازن المالي عبر الدورة الاقتصادية، ‏ فالتوازن المحاسبي ليس مقدسا أو مهما في ظل التوازن المالي على المدي البعيد‏. ‏ </w:t>
      </w:r>
    </w:p>
    <w:p w14:paraId="3349C597" w14:textId="77777777" w:rsidR="003E7AF1" w:rsidRDefault="003E7AF1" w:rsidP="003E7AF1">
      <w:pPr>
        <w:ind w:firstLine="510"/>
        <w:jc w:val="both"/>
        <w:rPr>
          <w:rFonts w:ascii="Simplified Arabic" w:hAnsi="Simplified Arabic" w:cs="Simplified Arabic"/>
          <w:sz w:val="28"/>
          <w:szCs w:val="28"/>
          <w:rtl/>
          <w:lang w:bidi="ar-EG"/>
        </w:rPr>
      </w:pPr>
    </w:p>
    <w:p w14:paraId="302DF48B" w14:textId="77777777" w:rsidR="003E7AF1" w:rsidRDefault="003E7AF1" w:rsidP="003E7AF1">
      <w:pPr>
        <w:ind w:firstLine="510"/>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ومن هذا المنطلق فقد أضحى عجز الموازنة ظاهرة عالمية تواجه العديد من الدول الغنية والفقيرة على حد سواء، إلا أن تداعياته تختلف من دولة إلى أخرى وفقاً لمدى قدرة المجتمع على تمويل العجز مقاساً بنسبة هذا العجز إلى الناتج المحلي الإجمالي ومن ثم تأثيره على النواحي الاقتصادية والاجتماعية والسياسية لتلك الدول</w:t>
      </w:r>
      <w:r>
        <w:rPr>
          <w:rFonts w:ascii="Simplified Arabic" w:hAnsi="Simplified Arabic" w:cs="Simplified Arabic"/>
          <w:sz w:val="28"/>
          <w:szCs w:val="28"/>
          <w:lang w:bidi="ar-EG"/>
        </w:rPr>
        <w:t>.</w:t>
      </w:r>
    </w:p>
    <w:p w14:paraId="6E0B454C" w14:textId="77777777" w:rsidR="003E7AF1" w:rsidRDefault="003E7AF1" w:rsidP="003E7AF1">
      <w:pPr>
        <w:ind w:firstLine="510"/>
        <w:jc w:val="both"/>
        <w:rPr>
          <w:rFonts w:ascii="Simplified Arabic" w:hAnsi="Simplified Arabic" w:cs="Simplified Arabic"/>
          <w:sz w:val="28"/>
          <w:szCs w:val="28"/>
          <w:rtl/>
          <w:lang w:bidi="ar-EG"/>
        </w:rPr>
      </w:pPr>
    </w:p>
    <w:p w14:paraId="416E556B" w14:textId="77777777" w:rsidR="003E7AF1" w:rsidRDefault="003E7AF1" w:rsidP="003E7AF1">
      <w:pPr>
        <w:ind w:firstLine="510"/>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وعادة ما يقترن عجز الموازنة العامة للدولة بالعديد من المشكلات الاقتصادية الأخرى الناجمة عن الآليات المالية التي يتم استخدامها لتمويل ذلك العجز، وقد توصلت العديد من الدراسات إلى أن هناك علاقة تربط بين عجز الموازنة العامة للدولة من ناحية والتضخم من ناحية أخرى.</w:t>
      </w:r>
    </w:p>
    <w:p w14:paraId="40CFB76C" w14:textId="77777777" w:rsidR="003E7AF1" w:rsidRDefault="003E7AF1" w:rsidP="003E7AF1">
      <w:pPr>
        <w:jc w:val="both"/>
        <w:rPr>
          <w:rFonts w:ascii="Simplified Arabic" w:hAnsi="Simplified Arabic" w:cs="Simplified Arabic"/>
          <w:sz w:val="28"/>
          <w:szCs w:val="28"/>
          <w:u w:val="single"/>
          <w:rtl/>
          <w:lang w:bidi="ar-EG"/>
        </w:rPr>
      </w:pPr>
    </w:p>
    <w:p w14:paraId="7BBC83FF" w14:textId="77777777" w:rsidR="003E7AF1" w:rsidRDefault="003E7AF1" w:rsidP="003E7AF1">
      <w:pPr>
        <w:jc w:val="both"/>
        <w:rPr>
          <w:rFonts w:ascii="Simplified Arabic" w:hAnsi="Simplified Arabic" w:cs="Simplified Arabic"/>
          <w:sz w:val="28"/>
          <w:szCs w:val="28"/>
          <w:lang w:bidi="ar-EG"/>
        </w:rPr>
      </w:pPr>
      <w:r>
        <w:rPr>
          <w:rFonts w:ascii="Simplified Arabic" w:hAnsi="Simplified Arabic" w:cs="Simplified Arabic"/>
          <w:sz w:val="28"/>
          <w:szCs w:val="28"/>
          <w:u w:val="single"/>
          <w:rtl/>
          <w:lang w:bidi="ar-EG"/>
        </w:rPr>
        <w:t>خلفيات المشكلة:</w:t>
      </w:r>
      <w:r>
        <w:rPr>
          <w:rFonts w:ascii="Simplified Arabic" w:hAnsi="Simplified Arabic" w:cs="Simplified Arabic"/>
          <w:sz w:val="28"/>
          <w:szCs w:val="28"/>
          <w:rtl/>
          <w:lang w:bidi="ar-EG"/>
        </w:rPr>
        <w:tab/>
      </w:r>
    </w:p>
    <w:p w14:paraId="0A20BEB5" w14:textId="77777777" w:rsidR="003E7AF1" w:rsidRDefault="003E7AF1" w:rsidP="003E7AF1">
      <w:pPr>
        <w:ind w:firstLine="51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يواجه الاقتصاد المصري عدداً من الاختلالات الهيكلية ويأتي على رأس تلك الاختلالات زيادة عجز الموازنة العامة للدولة الذي بلغ 429.9 مليار جنيه في العام المالي 2018/2019 (8.1% نسبة إلى الناتج المحلي الإجمالي)</w:t>
      </w:r>
      <w:r>
        <w:rPr>
          <w:rFonts w:ascii="Simplified Arabic" w:hAnsi="Simplified Arabic" w:cs="Simplified Arabic"/>
          <w:sz w:val="28"/>
          <w:szCs w:val="28"/>
          <w:vertAlign w:val="superscript"/>
          <w:rtl/>
          <w:lang w:bidi="ar-EG"/>
        </w:rPr>
        <w:t>(</w:t>
      </w:r>
      <w:r>
        <w:rPr>
          <w:rFonts w:ascii="Simplified Arabic" w:hAnsi="Simplified Arabic" w:cs="Simplified Arabic"/>
          <w:sz w:val="28"/>
          <w:szCs w:val="28"/>
          <w:vertAlign w:val="superscript"/>
          <w:rtl/>
        </w:rPr>
        <w:footnoteReference w:id="1"/>
      </w:r>
      <w:r>
        <w:rPr>
          <w:rFonts w:ascii="Simplified Arabic" w:hAnsi="Simplified Arabic" w:cs="Simplified Arabic"/>
          <w:sz w:val="28"/>
          <w:szCs w:val="28"/>
          <w:vertAlign w:val="superscript"/>
          <w:rtl/>
          <w:lang w:bidi="ar-EG"/>
        </w:rPr>
        <w:t>)</w:t>
      </w:r>
      <w:r>
        <w:rPr>
          <w:rFonts w:ascii="Simplified Arabic" w:hAnsi="Simplified Arabic" w:cs="Simplified Arabic"/>
          <w:sz w:val="28"/>
          <w:szCs w:val="28"/>
          <w:rtl/>
          <w:lang w:bidi="ar-EG"/>
        </w:rPr>
        <w:t>، وهي نسبة مرتفعة إلى حد ما، وهو الأمر الذي قد يشكل مصدراً للخطورة على أوضاع المالية العامة للدولة</w:t>
      </w:r>
      <w:r>
        <w:rPr>
          <w:rFonts w:ascii="Simplified Arabic" w:hAnsi="Simplified Arabic" w:cs="Simplified Arabic"/>
          <w:sz w:val="28"/>
          <w:szCs w:val="28"/>
          <w:vertAlign w:val="superscript"/>
          <w:rtl/>
          <w:lang w:bidi="ar-EG"/>
        </w:rPr>
        <w:t>(</w:t>
      </w:r>
      <w:r>
        <w:rPr>
          <w:rFonts w:ascii="Simplified Arabic" w:hAnsi="Simplified Arabic" w:cs="Simplified Arabic"/>
          <w:sz w:val="28"/>
          <w:szCs w:val="28"/>
          <w:vertAlign w:val="superscript"/>
          <w:rtl/>
        </w:rPr>
        <w:footnoteReference w:id="2"/>
      </w:r>
      <w:r>
        <w:rPr>
          <w:rFonts w:ascii="Simplified Arabic" w:hAnsi="Simplified Arabic" w:cs="Simplified Arabic"/>
          <w:sz w:val="28"/>
          <w:szCs w:val="28"/>
          <w:vertAlign w:val="superscript"/>
          <w:rtl/>
          <w:lang w:bidi="ar-EG"/>
        </w:rPr>
        <w:t>)</w:t>
      </w:r>
      <w:r>
        <w:rPr>
          <w:rFonts w:ascii="Simplified Arabic" w:hAnsi="Simplified Arabic" w:cs="Simplified Arabic"/>
          <w:sz w:val="28"/>
          <w:szCs w:val="28"/>
          <w:rtl/>
          <w:lang w:bidi="ar-EG"/>
        </w:rPr>
        <w:t>.</w:t>
      </w:r>
    </w:p>
    <w:p w14:paraId="2540DCFA" w14:textId="77777777" w:rsidR="003E7AF1" w:rsidRDefault="003E7AF1" w:rsidP="003E7AF1">
      <w:pPr>
        <w:ind w:firstLine="510"/>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lastRenderedPageBreak/>
        <w:t xml:space="preserve">وتلجأ الدول عادة إلى استخدام عدة آليات مالية لتمويل عجز الموازنة (التمويل بالإصدار النقدي – التمويل بالاقتراض الداخلي – التمويل بالاقتراض الخارجي)، وأيما كانت الطريقة التي يتم بها تمويل عجز الموازنة فإن لكل منها مخاطر اقتصادية وسياسية واجتماعية، ويمكن ايجاز أهم المشكلات الاقتصادية التي تترتب على استخدام مصادر التمويل المختلفة كما يلي: </w:t>
      </w:r>
    </w:p>
    <w:p w14:paraId="446A37A4" w14:textId="77777777" w:rsidR="003E7AF1" w:rsidRDefault="003E7AF1" w:rsidP="003E7AF1">
      <w:pPr>
        <w:pStyle w:val="ListParagraph"/>
        <w:spacing w:after="0" w:line="240" w:lineRule="auto"/>
        <w:ind w:left="368"/>
        <w:jc w:val="both"/>
        <w:outlineLvl w:val="4"/>
        <w:rPr>
          <w:rFonts w:ascii="Simplified Arabic" w:hAnsi="Simplified Arabic" w:cs="Simplified Arabic"/>
          <w:sz w:val="28"/>
          <w:szCs w:val="28"/>
          <w:u w:val="single"/>
          <w:lang w:bidi="ar-EG"/>
        </w:rPr>
      </w:pPr>
    </w:p>
    <w:p w14:paraId="39E559BB" w14:textId="77777777" w:rsidR="003E7AF1" w:rsidRDefault="003E7AF1" w:rsidP="0041332D">
      <w:pPr>
        <w:pStyle w:val="ListParagraph"/>
        <w:numPr>
          <w:ilvl w:val="0"/>
          <w:numId w:val="5"/>
        </w:numPr>
        <w:spacing w:after="0" w:line="240" w:lineRule="auto"/>
        <w:ind w:left="368" w:hanging="283"/>
        <w:jc w:val="both"/>
        <w:outlineLvl w:val="4"/>
        <w:rPr>
          <w:rFonts w:ascii="Simplified Arabic" w:hAnsi="Simplified Arabic" w:cs="Simplified Arabic"/>
          <w:sz w:val="28"/>
          <w:szCs w:val="28"/>
          <w:u w:val="single"/>
          <w:lang w:bidi="ar-EG"/>
        </w:rPr>
      </w:pPr>
      <w:r>
        <w:rPr>
          <w:rFonts w:ascii="Simplified Arabic" w:hAnsi="Simplified Arabic" w:cs="Simplified Arabic"/>
          <w:sz w:val="28"/>
          <w:szCs w:val="28"/>
          <w:u w:val="single"/>
          <w:rtl/>
          <w:lang w:bidi="ar-EG"/>
        </w:rPr>
        <w:t>المشكلات الاقتصادية للتمويل بالإصدار النقدي:</w:t>
      </w:r>
    </w:p>
    <w:p w14:paraId="2EB03BE4" w14:textId="77777777" w:rsidR="003E7AF1" w:rsidRDefault="003E7AF1" w:rsidP="003E7AF1">
      <w:pPr>
        <w:ind w:left="375" w:firstLine="42"/>
        <w:jc w:val="both"/>
        <w:outlineLvl w:val="4"/>
        <w:rPr>
          <w:rFonts w:ascii="Simplified Arabic" w:hAnsi="Simplified Arabic" w:cs="Simplified Arabic"/>
          <w:sz w:val="28"/>
          <w:szCs w:val="28"/>
          <w:lang w:bidi="ar-EG"/>
        </w:rPr>
      </w:pPr>
      <w:r>
        <w:rPr>
          <w:rFonts w:ascii="Simplified Arabic" w:hAnsi="Simplified Arabic" w:cs="Simplified Arabic"/>
          <w:sz w:val="28"/>
          <w:szCs w:val="28"/>
          <w:rtl/>
          <w:lang w:bidi="ar-EG"/>
        </w:rPr>
        <w:t>يؤدي الاصدار النقدي بدون مقابل انتاجي إلى انخفاض القوة الشرائية للعملة المحلية بتأثير كمية النقود الزائدة، وكذا زيادة الطلب على الواردات ما يؤدي إلى زيادة الطلب على العملة الأجنبية فتتقلص الاحتياطيات من العملات الأجنبية لدى البنك المركزي وينخفض سعر صرف العملة المحلية، ما يؤدي إلي زيادة معدلات التضخم مدفوعاً بزيادة الطلب وزيادة النفقة، ومن ثم زيادة الانفاق الحكومي بسبب ارتفاع المستوى العام للأسعار مما يزيد من عجز الموازنة العامة الأمر الذي يؤدي إلى زيادة التضخم مرة أخرى وهكذا الدخول في حلقة مفرعة من عجز الموازنة والتضخم.</w:t>
      </w:r>
    </w:p>
    <w:p w14:paraId="39F67551" w14:textId="77777777" w:rsidR="003E7AF1" w:rsidRDefault="003E7AF1" w:rsidP="003E7AF1">
      <w:pPr>
        <w:pStyle w:val="ListParagraph"/>
        <w:spacing w:after="0" w:line="240" w:lineRule="auto"/>
        <w:ind w:left="368"/>
        <w:jc w:val="both"/>
        <w:outlineLvl w:val="4"/>
        <w:rPr>
          <w:rFonts w:ascii="Simplified Arabic" w:hAnsi="Simplified Arabic" w:cs="Simplified Arabic"/>
          <w:sz w:val="28"/>
          <w:szCs w:val="28"/>
          <w:u w:val="single"/>
          <w:rtl/>
          <w:lang w:bidi="ar-EG"/>
        </w:rPr>
      </w:pPr>
    </w:p>
    <w:p w14:paraId="3EFF75F3" w14:textId="77777777" w:rsidR="003E7AF1" w:rsidRDefault="003E7AF1" w:rsidP="0041332D">
      <w:pPr>
        <w:pStyle w:val="ListParagraph"/>
        <w:numPr>
          <w:ilvl w:val="0"/>
          <w:numId w:val="5"/>
        </w:numPr>
        <w:spacing w:after="0" w:line="240" w:lineRule="auto"/>
        <w:ind w:left="368" w:hanging="283"/>
        <w:jc w:val="both"/>
        <w:outlineLvl w:val="4"/>
        <w:rPr>
          <w:rFonts w:ascii="Simplified Arabic" w:hAnsi="Simplified Arabic" w:cs="Simplified Arabic"/>
          <w:sz w:val="28"/>
          <w:szCs w:val="28"/>
          <w:u w:val="single"/>
          <w:lang w:bidi="ar-EG"/>
        </w:rPr>
      </w:pPr>
      <w:r>
        <w:rPr>
          <w:rFonts w:ascii="Simplified Arabic" w:hAnsi="Simplified Arabic" w:cs="Simplified Arabic"/>
          <w:sz w:val="28"/>
          <w:szCs w:val="28"/>
          <w:u w:val="single"/>
          <w:rtl/>
          <w:lang w:bidi="ar-EG"/>
        </w:rPr>
        <w:t>المشكلات الاقتصادية للتمويل بالقروض الداخلية:</w:t>
      </w:r>
    </w:p>
    <w:p w14:paraId="695CB6BA" w14:textId="77777777" w:rsidR="003E7AF1" w:rsidRDefault="003E7AF1" w:rsidP="003E7AF1">
      <w:pPr>
        <w:ind w:left="375" w:firstLine="42"/>
        <w:jc w:val="both"/>
        <w:outlineLvl w:val="4"/>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وقد تلجأ الدولة إلى تمويل عجز الموازنة العامة من خلال القروض الداخلية، التي تؤدي لتقليل الأموال المحلية المتاحة للاستثمار بسبب مزاحمة الائتمان الحكومي للائتمان المتاح للقطاع الخاص مما قد يقلل من نمو الاستثمارات ومن ثم انخفاض معدل النمو الاقتصادي والتوظيف، فيقل عرض المنتجات مع زيادة الطلب مما يؤدي إلى ظهور موجات تضخمية وغالباً ما تكون مصحوبة بركود اقتصادي مما يؤدي إلى ظهور الركود التضخمي، كما أن زيادة الاقتراض يؤدي إلى زيادة الانفاق على خدمة أعباء الدين مما يزيد مرة أخرى من عجز الموازنة العامة للدولة. </w:t>
      </w:r>
    </w:p>
    <w:p w14:paraId="24DAFA67" w14:textId="77777777" w:rsidR="003E7AF1" w:rsidRDefault="003E7AF1" w:rsidP="003E7AF1">
      <w:pPr>
        <w:pStyle w:val="ListParagraph"/>
        <w:spacing w:after="0" w:line="240" w:lineRule="auto"/>
        <w:ind w:left="368"/>
        <w:jc w:val="both"/>
        <w:outlineLvl w:val="4"/>
        <w:rPr>
          <w:rFonts w:ascii="Simplified Arabic" w:hAnsi="Simplified Arabic" w:cs="Simplified Arabic"/>
          <w:sz w:val="28"/>
          <w:szCs w:val="28"/>
          <w:u w:val="single"/>
          <w:lang w:bidi="ar-EG"/>
        </w:rPr>
      </w:pPr>
    </w:p>
    <w:p w14:paraId="7FC50C6B" w14:textId="77777777" w:rsidR="003E7AF1" w:rsidRDefault="003E7AF1" w:rsidP="0041332D">
      <w:pPr>
        <w:pStyle w:val="ListParagraph"/>
        <w:numPr>
          <w:ilvl w:val="0"/>
          <w:numId w:val="5"/>
        </w:numPr>
        <w:spacing w:after="0" w:line="240" w:lineRule="auto"/>
        <w:ind w:left="368" w:hanging="283"/>
        <w:jc w:val="both"/>
        <w:outlineLvl w:val="4"/>
        <w:rPr>
          <w:rFonts w:ascii="Simplified Arabic" w:hAnsi="Simplified Arabic" w:cs="Simplified Arabic"/>
          <w:sz w:val="28"/>
          <w:szCs w:val="28"/>
          <w:u w:val="single"/>
          <w:lang w:bidi="ar-EG"/>
        </w:rPr>
      </w:pPr>
      <w:r>
        <w:rPr>
          <w:rFonts w:ascii="Simplified Arabic" w:hAnsi="Simplified Arabic" w:cs="Simplified Arabic"/>
          <w:sz w:val="28"/>
          <w:szCs w:val="28"/>
          <w:u w:val="single"/>
          <w:rtl/>
          <w:lang w:bidi="ar-EG"/>
        </w:rPr>
        <w:t>المشكلات الاقتصادية للتمويل بالاقتراض الخارجي:</w:t>
      </w:r>
    </w:p>
    <w:p w14:paraId="457A5E41" w14:textId="77777777" w:rsidR="003E7AF1" w:rsidRDefault="003E7AF1" w:rsidP="003E7AF1">
      <w:pPr>
        <w:ind w:left="375" w:firstLine="42"/>
        <w:jc w:val="both"/>
        <w:outlineLvl w:val="4"/>
        <w:rPr>
          <w:rFonts w:ascii="Simplified Arabic" w:hAnsi="Simplified Arabic" w:cs="Simplified Arabic"/>
          <w:sz w:val="28"/>
          <w:szCs w:val="28"/>
          <w:lang w:bidi="ar-EG"/>
        </w:rPr>
      </w:pPr>
      <w:r>
        <w:rPr>
          <w:rFonts w:ascii="Simplified Arabic" w:hAnsi="Simplified Arabic" w:cs="Simplified Arabic"/>
          <w:sz w:val="28"/>
          <w:szCs w:val="28"/>
          <w:lang w:bidi="ar-EG"/>
        </w:rPr>
        <w:t> </w:t>
      </w:r>
      <w:r>
        <w:rPr>
          <w:rFonts w:ascii="Simplified Arabic" w:hAnsi="Simplified Arabic" w:cs="Simplified Arabic"/>
          <w:sz w:val="28"/>
          <w:szCs w:val="28"/>
          <w:rtl/>
          <w:lang w:bidi="ar-EG"/>
        </w:rPr>
        <w:t>وقد تلجأ الدولة إلى تغطية عجز الموازنة العامة عن طريق الاقتراض من الخارج، والذي غالباً ما يكون مرتبطاً بتدهور سعر صرف العملة المحلية مما يؤثر بدوره على ارتفاع أسعار الواردات التي تلعب دوراً هاماً في ارتفاع الأسعار وظهور موجات تضخمية، كما يؤدي زيادة الدين الخارجي إلى انخفاض التصنيف الائتماني للدولة مما يرفع من أسعار الفائدة على أذون وسندات الخزانة وزيادة أعباء خدمة الدين التي تؤدي مرة أخرى إلى زيادة عجز الموازنة ومن ثم الدوران في حلقة مفرغة من العجز والاقتراض، وما يستتبعه ذلك من ارتفاع معدلات التضخم.</w:t>
      </w:r>
    </w:p>
    <w:p w14:paraId="027EC759" w14:textId="77777777" w:rsidR="003E7AF1" w:rsidRDefault="003E7AF1" w:rsidP="003E7AF1">
      <w:pPr>
        <w:ind w:firstLine="510"/>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lastRenderedPageBreak/>
        <w:t xml:space="preserve">ويتضح مما سبق أن جميع الآليات المالية المستخدمة لتمويل عجز الموازنة لها آثار سلبية على متغيرات الاقتصاد الكلي وخاصة معدل التضخم، وهو ما ينطبق على حالة الاقتصاد المصري الذي </w:t>
      </w:r>
      <w:r>
        <w:rPr>
          <w:rFonts w:ascii="Simplified Arabic" w:hAnsi="Simplified Arabic" w:cs="Simplified Arabic"/>
          <w:sz w:val="28"/>
          <w:szCs w:val="28"/>
          <w:rtl/>
          <w:lang w:eastAsia="en-GB" w:bidi="ar-EG"/>
        </w:rPr>
        <w:t>يعاني من عجز الموازنة العامة للدولة يتزامن مع الارتفاع الكبير للرقم القياسي لأسعار المستهلكين والذي بلغ عام 2019 نسبة 288% (سنة الأساس 2010)</w:t>
      </w:r>
      <w:r>
        <w:rPr>
          <w:rFonts w:ascii="Simplified Arabic" w:hAnsi="Simplified Arabic" w:cs="Simplified Arabic"/>
          <w:sz w:val="28"/>
          <w:szCs w:val="28"/>
          <w:vertAlign w:val="superscript"/>
          <w:rtl/>
          <w:lang w:bidi="ar-EG"/>
        </w:rPr>
        <w:t>(</w:t>
      </w:r>
      <w:r>
        <w:rPr>
          <w:rFonts w:ascii="Simplified Arabic" w:hAnsi="Simplified Arabic" w:cs="Simplified Arabic"/>
          <w:sz w:val="28"/>
          <w:szCs w:val="28"/>
          <w:vertAlign w:val="superscript"/>
          <w:rtl/>
        </w:rPr>
        <w:footnoteReference w:id="3"/>
      </w:r>
      <w:r>
        <w:rPr>
          <w:rFonts w:ascii="Simplified Arabic" w:hAnsi="Simplified Arabic" w:cs="Simplified Arabic"/>
          <w:sz w:val="28"/>
          <w:szCs w:val="28"/>
          <w:vertAlign w:val="superscript"/>
          <w:rtl/>
          <w:lang w:bidi="ar-EG"/>
        </w:rPr>
        <w:t>)</w:t>
      </w:r>
      <w:r>
        <w:rPr>
          <w:rFonts w:ascii="Simplified Arabic" w:hAnsi="Simplified Arabic" w:cs="Simplified Arabic"/>
          <w:sz w:val="28"/>
          <w:szCs w:val="28"/>
          <w:rtl/>
          <w:lang w:bidi="ar-EG"/>
        </w:rPr>
        <w:t xml:space="preserve">. </w:t>
      </w:r>
    </w:p>
    <w:p w14:paraId="54B24BBE" w14:textId="77777777" w:rsidR="003E7AF1" w:rsidRDefault="003E7AF1" w:rsidP="003E7AF1">
      <w:pPr>
        <w:ind w:firstLine="618"/>
        <w:jc w:val="both"/>
        <w:outlineLvl w:val="4"/>
        <w:rPr>
          <w:rFonts w:ascii="Simplified Arabic" w:hAnsi="Simplified Arabic" w:cs="Simplified Arabic"/>
          <w:sz w:val="28"/>
          <w:szCs w:val="28"/>
          <w:rtl/>
          <w:lang w:bidi="ar-EG"/>
        </w:rPr>
      </w:pPr>
    </w:p>
    <w:p w14:paraId="57108A85" w14:textId="77777777" w:rsidR="003E7AF1" w:rsidRDefault="003E7AF1" w:rsidP="003E7AF1">
      <w:pPr>
        <w:ind w:firstLine="51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ومشكلة التضخم أحد القضايا الاقتصادية الهامة التي ينبغي التعرض لها والعمل على احتوائها، حيث يؤثر التضخم بشكل سلبي على كفاءة الجهاز الإنتاجي ومعدل نمو الناتج المحلي الإجمالي، كما يؤدي إلى إعادة توزيع الدخل والثروة بطريقة قد تتعارض مع مبادئ الكفاءة الإنتاجية والعدالة الاجتماعية، كما يؤدي التضخم إلى زيادة معدلات الفقر بفعل أثره الضاغط على الفئات ذات الدخل الثابت. </w:t>
      </w:r>
    </w:p>
    <w:p w14:paraId="309F00A3" w14:textId="77777777" w:rsidR="003E7AF1" w:rsidRDefault="003E7AF1" w:rsidP="003E7AF1">
      <w:pPr>
        <w:ind w:firstLine="618"/>
        <w:jc w:val="both"/>
        <w:outlineLvl w:val="4"/>
        <w:rPr>
          <w:rFonts w:ascii="Simplified Arabic" w:hAnsi="Simplified Arabic" w:cs="Simplified Arabic"/>
          <w:sz w:val="28"/>
          <w:szCs w:val="28"/>
          <w:rtl/>
          <w:lang w:bidi="ar-EG"/>
        </w:rPr>
      </w:pPr>
    </w:p>
    <w:p w14:paraId="5EE82B67" w14:textId="77777777" w:rsidR="003E7AF1" w:rsidRDefault="003E7AF1" w:rsidP="003E7AF1">
      <w:pPr>
        <w:ind w:firstLine="51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ومما يزيد من مشكلة التضخم أنه ذو طبيعة ديناميكية ينشأ لسبب معين ثم لا يلبث أن يتحول إلى عملية تتراكم آثارها وتستمر نتيجة تفاعل مجموعة متداخلة من العوامل النقدية الحقيقية والهيكلية والسيكولوجية. </w:t>
      </w:r>
    </w:p>
    <w:p w14:paraId="0BD6057C" w14:textId="77777777" w:rsidR="003E7AF1" w:rsidRDefault="003E7AF1" w:rsidP="003E7AF1">
      <w:pPr>
        <w:ind w:firstLine="618"/>
        <w:jc w:val="both"/>
        <w:outlineLvl w:val="4"/>
        <w:rPr>
          <w:rFonts w:ascii="Simplified Arabic" w:hAnsi="Simplified Arabic" w:cs="Simplified Arabic"/>
          <w:sz w:val="28"/>
          <w:szCs w:val="28"/>
          <w:rtl/>
          <w:lang w:bidi="ar-EG"/>
        </w:rPr>
      </w:pPr>
    </w:p>
    <w:p w14:paraId="2C9D0B36" w14:textId="77777777" w:rsidR="003E7AF1" w:rsidRDefault="003E7AF1" w:rsidP="003E7AF1">
      <w:pPr>
        <w:ind w:firstLine="51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ولما كانت مشكلة التضخم هي السمة المشتركة لجميع الآليات المالية المستخدمة لتمويل عجز الموازنة العامة للدولة، فمن الأهمية بمكان دراسة أثر الآليات المالية لتمويل عجز الموازنة العامة للدولة على التضخم في مصر خلال الفترة من العام المالي 1991/1992 إلى 2018/2019، وذلك لمعرفة إلى أي مدى تؤثر الآليات المختلفة لتمويل عجز الموازنة العامة على معدلات التضخم في مصر خلال فترة الدراسة والتعرف على أقل هذه الآليات تأثيراً على التضخم.</w:t>
      </w:r>
    </w:p>
    <w:p w14:paraId="1FC3F40E" w14:textId="77777777" w:rsidR="003E7AF1" w:rsidRDefault="003E7AF1" w:rsidP="003E7AF1">
      <w:pPr>
        <w:ind w:firstLine="618"/>
        <w:jc w:val="both"/>
        <w:outlineLvl w:val="4"/>
        <w:rPr>
          <w:rFonts w:ascii="Simplified Arabic" w:hAnsi="Simplified Arabic" w:cs="Simplified Arabic"/>
          <w:sz w:val="28"/>
          <w:szCs w:val="28"/>
          <w:rtl/>
          <w:lang w:bidi="ar-EG"/>
        </w:rPr>
      </w:pPr>
    </w:p>
    <w:p w14:paraId="3B7683F8" w14:textId="77777777" w:rsidR="003E7AF1" w:rsidRDefault="003E7AF1" w:rsidP="003E7AF1">
      <w:pPr>
        <w:jc w:val="both"/>
        <w:rPr>
          <w:rFonts w:ascii="Simplified Arabic" w:hAnsi="Simplified Arabic" w:cs="Simplified Arabic"/>
          <w:sz w:val="28"/>
          <w:szCs w:val="28"/>
          <w:u w:val="single"/>
          <w:rtl/>
          <w:lang w:bidi="ar-EG"/>
        </w:rPr>
      </w:pPr>
      <w:r>
        <w:rPr>
          <w:rFonts w:ascii="Simplified Arabic" w:hAnsi="Simplified Arabic" w:cs="Simplified Arabic"/>
          <w:sz w:val="28"/>
          <w:szCs w:val="28"/>
          <w:u w:val="single"/>
          <w:rtl/>
          <w:lang w:bidi="ar-EG"/>
        </w:rPr>
        <w:t>الدراسات السابقة:</w:t>
      </w:r>
    </w:p>
    <w:p w14:paraId="4CB1947D" w14:textId="77777777" w:rsidR="003E7AF1" w:rsidRDefault="003E7AF1" w:rsidP="003E7AF1">
      <w:pPr>
        <w:ind w:firstLine="510"/>
        <w:jc w:val="both"/>
        <w:rPr>
          <w:rFonts w:ascii="Simplified Arabic" w:hAnsi="Simplified Arabic" w:cs="Simplified Arabic"/>
          <w:sz w:val="28"/>
          <w:szCs w:val="28"/>
          <w:lang w:bidi="ar-EG"/>
        </w:rPr>
      </w:pPr>
      <w:r>
        <w:rPr>
          <w:rFonts w:ascii="Simplified Arabic" w:hAnsi="Simplified Arabic" w:cs="Simplified Arabic"/>
          <w:sz w:val="28"/>
          <w:szCs w:val="28"/>
          <w:rtl/>
        </w:rPr>
        <w:t xml:space="preserve">هناك العديد من </w:t>
      </w:r>
      <w:r>
        <w:rPr>
          <w:rFonts w:ascii="Simplified Arabic" w:hAnsi="Simplified Arabic" w:cs="Simplified Arabic"/>
          <w:sz w:val="28"/>
          <w:szCs w:val="28"/>
          <w:rtl/>
          <w:lang w:bidi="ar-EG"/>
        </w:rPr>
        <w:t xml:space="preserve">الدراسات </w:t>
      </w:r>
      <w:r>
        <w:rPr>
          <w:rFonts w:ascii="Simplified Arabic" w:hAnsi="Simplified Arabic" w:cs="Simplified Arabic"/>
          <w:sz w:val="28"/>
          <w:szCs w:val="28"/>
          <w:rtl/>
        </w:rPr>
        <w:t>التي تناولت ظاهرة التضخم في مصر والدول النامية، كما أن بعض هذه الدراسات قد تناولت عجز الموازنة كأحد محددات التضخم، ومنها على سبيل المثال:</w:t>
      </w:r>
      <w:r>
        <w:rPr>
          <w:rFonts w:ascii="Simplified Arabic" w:hAnsi="Simplified Arabic" w:cs="Simplified Arabic"/>
          <w:sz w:val="28"/>
          <w:szCs w:val="28"/>
          <w:rtl/>
          <w:lang w:bidi="ar-EG"/>
        </w:rPr>
        <w:t xml:space="preserve"> </w:t>
      </w:r>
    </w:p>
    <w:p w14:paraId="539A5F9E" w14:textId="77777777" w:rsidR="003E7AF1" w:rsidRDefault="003E7AF1" w:rsidP="003E7AF1">
      <w:pPr>
        <w:tabs>
          <w:tab w:val="left" w:pos="2699"/>
        </w:tabs>
        <w:jc w:val="both"/>
        <w:outlineLvl w:val="4"/>
        <w:rPr>
          <w:rFonts w:ascii="Simplified Arabic" w:hAnsi="Simplified Arabic" w:cs="Simplified Arabic"/>
          <w:sz w:val="28"/>
          <w:szCs w:val="28"/>
          <w:lang w:bidi="ar-EG"/>
        </w:rPr>
      </w:pPr>
    </w:p>
    <w:p w14:paraId="645312ED" w14:textId="77777777" w:rsidR="003E7AF1" w:rsidRDefault="003E7AF1" w:rsidP="003E7AF1">
      <w:pPr>
        <w:ind w:firstLine="510"/>
        <w:jc w:val="both"/>
        <w:rPr>
          <w:rFonts w:ascii="Simplified Arabic" w:hAnsi="Simplified Arabic" w:cs="Simplified Arabic"/>
          <w:sz w:val="28"/>
          <w:szCs w:val="28"/>
        </w:rPr>
      </w:pPr>
      <w:r>
        <w:rPr>
          <w:rFonts w:ascii="Simplified Arabic" w:hAnsi="Simplified Arabic" w:cs="Simplified Arabic"/>
          <w:sz w:val="28"/>
          <w:szCs w:val="28"/>
          <w:rtl/>
        </w:rPr>
        <w:t>دراسة عيسوي (2016)</w:t>
      </w:r>
      <w:r>
        <w:rPr>
          <w:rFonts w:ascii="Simplified Arabic" w:hAnsi="Simplified Arabic" w:cs="Simplified Arabic"/>
          <w:sz w:val="28"/>
          <w:szCs w:val="28"/>
          <w:vertAlign w:val="superscript"/>
          <w:rtl/>
          <w:lang w:bidi="ar-EG"/>
        </w:rPr>
        <w:t xml:space="preserve"> (</w:t>
      </w:r>
      <w:r>
        <w:rPr>
          <w:rStyle w:val="FootnoteReference"/>
          <w:rFonts w:ascii="Simplified Arabic" w:hAnsi="Simplified Arabic" w:cs="Simplified Arabic"/>
          <w:sz w:val="28"/>
          <w:szCs w:val="28"/>
          <w:rtl/>
          <w:lang w:bidi="ar-EG"/>
        </w:rPr>
        <w:footnoteReference w:id="4"/>
      </w:r>
      <w:r>
        <w:rPr>
          <w:rFonts w:ascii="Simplified Arabic" w:hAnsi="Simplified Arabic" w:cs="Simplified Arabic"/>
          <w:sz w:val="28"/>
          <w:szCs w:val="28"/>
          <w:vertAlign w:val="superscript"/>
          <w:rtl/>
          <w:lang w:bidi="ar-EG"/>
        </w:rPr>
        <w:t>)</w:t>
      </w:r>
      <w:r>
        <w:rPr>
          <w:rFonts w:ascii="Simplified Arabic" w:hAnsi="Simplified Arabic" w:cs="Simplified Arabic"/>
          <w:sz w:val="28"/>
          <w:szCs w:val="28"/>
          <w:rtl/>
        </w:rPr>
        <w:t xml:space="preserve"> حيث تناولت الدراسة محددات التضخم في الاقتصاد المصري وذلك خلال الفترة (1990- 2014)، وفى سبيل ذلك تم تحليل العوامل المؤثرة على التضخم خلال فترة الدراسة وهى عرض النقود، سعر الصرف، التضخم المستورد، عجز الموازنة، والناتج المحلى الإجمالي. واستخدمت </w:t>
      </w:r>
      <w:r>
        <w:rPr>
          <w:rFonts w:ascii="Simplified Arabic" w:hAnsi="Simplified Arabic" w:cs="Simplified Arabic"/>
          <w:sz w:val="28"/>
          <w:szCs w:val="28"/>
          <w:rtl/>
        </w:rPr>
        <w:lastRenderedPageBreak/>
        <w:t>الباحثة الإطار النظري والإطار المقارن والإطار التحليلي لدراسة وتحليل التضخم ومعرفة أهم العوامل الاقتصادية المؤثرة فيه. وخلصت الدراسة إلى وجود علاقة طردية بين التضخم وكمية عرض النقود، كما أن لسعر الصرف تأثير موجب على التضخم حيث يؤدي ارتفاع سعر الدولار الأمريكي مقابل الجنيه المصري إلى التضخم بطريقة غير مباشرة من خلال تأثير سعر الصرف على الواردات من السلع الضرورية التي لا يمكن الاستغناء عنها، وعلى الجانب الآخر فقد أشارت الدراسة إلى أن التضخم يرتبط بعلاقة عكسية مع الناتج المحلي الإجمالي لما لزيادة المعروض من السلع والخدمات المنتجة محلياً من دور في تخفيض معدلات التضخم، أما بالنسبة لعجز الموازنة فقد ظهر تقدير معامل هذا المتغير معنوياً وتدل إشارته الموجبة على وجود علاقة طردية بين التضخم وعجز الموازنة، وقد أشارت النتائج إلى أن العوامل النقدية لها تأثير أكبر على التضخم إذا ما قورنت بباقي المتغيرات المفسرة.</w:t>
      </w:r>
    </w:p>
    <w:p w14:paraId="620A08D4" w14:textId="77777777" w:rsidR="003E7AF1" w:rsidRDefault="003E7AF1" w:rsidP="003E7AF1">
      <w:pPr>
        <w:tabs>
          <w:tab w:val="left" w:pos="2699"/>
        </w:tabs>
        <w:ind w:firstLine="652"/>
        <w:jc w:val="both"/>
        <w:outlineLvl w:val="4"/>
        <w:rPr>
          <w:rFonts w:ascii="Simplified Arabic" w:hAnsi="Simplified Arabic" w:cs="Simplified Arabic"/>
          <w:sz w:val="28"/>
          <w:szCs w:val="28"/>
          <w:rtl/>
        </w:rPr>
      </w:pPr>
    </w:p>
    <w:p w14:paraId="36019B16" w14:textId="77777777" w:rsidR="003E7AF1" w:rsidRDefault="003E7AF1" w:rsidP="003E7AF1">
      <w:pPr>
        <w:tabs>
          <w:tab w:val="left" w:pos="2699"/>
        </w:tabs>
        <w:ind w:firstLine="510"/>
        <w:jc w:val="both"/>
        <w:rPr>
          <w:rFonts w:ascii="Simplified Arabic" w:hAnsi="Simplified Arabic" w:cs="Simplified Arabic"/>
          <w:sz w:val="28"/>
          <w:szCs w:val="28"/>
          <w:rtl/>
        </w:rPr>
      </w:pPr>
      <w:r>
        <w:rPr>
          <w:rFonts w:ascii="Simplified Arabic" w:hAnsi="Simplified Arabic" w:cs="Simplified Arabic"/>
          <w:sz w:val="28"/>
          <w:szCs w:val="28"/>
          <w:rtl/>
          <w:lang w:bidi="ar-EG"/>
        </w:rPr>
        <w:t>أما دراسة عمران (2016)</w:t>
      </w:r>
      <w:r>
        <w:rPr>
          <w:rFonts w:ascii="Simplified Arabic" w:hAnsi="Simplified Arabic" w:cs="Simplified Arabic"/>
          <w:sz w:val="28"/>
          <w:szCs w:val="28"/>
          <w:vertAlign w:val="superscript"/>
          <w:rtl/>
          <w:lang w:bidi="ar-EG"/>
        </w:rPr>
        <w:t xml:space="preserve"> (</w:t>
      </w:r>
      <w:r>
        <w:rPr>
          <w:rStyle w:val="FootnoteReference"/>
          <w:rFonts w:ascii="Simplified Arabic" w:hAnsi="Simplified Arabic" w:cs="Simplified Arabic"/>
          <w:sz w:val="28"/>
          <w:szCs w:val="28"/>
          <w:rtl/>
          <w:lang w:bidi="ar-EG"/>
        </w:rPr>
        <w:footnoteReference w:id="5"/>
      </w:r>
      <w:r>
        <w:rPr>
          <w:rFonts w:ascii="Simplified Arabic" w:hAnsi="Simplified Arabic" w:cs="Simplified Arabic"/>
          <w:sz w:val="28"/>
          <w:szCs w:val="28"/>
          <w:vertAlign w:val="superscript"/>
          <w:rtl/>
          <w:lang w:bidi="ar-EG"/>
        </w:rPr>
        <w:t>)</w:t>
      </w:r>
      <w:r>
        <w:rPr>
          <w:rFonts w:ascii="Simplified Arabic" w:hAnsi="Simplified Arabic" w:cs="Simplified Arabic"/>
          <w:sz w:val="28"/>
          <w:szCs w:val="28"/>
          <w:rtl/>
          <w:lang w:bidi="ar-EG"/>
        </w:rPr>
        <w:t xml:space="preserve"> فقد تناولت أثر السياسة الضريبية على التضخم في مصر، حيث استخدم الباحث </w:t>
      </w:r>
      <w:r>
        <w:rPr>
          <w:rFonts w:ascii="Simplified Arabic" w:hAnsi="Simplified Arabic" w:cs="Simplified Arabic"/>
          <w:sz w:val="28"/>
          <w:szCs w:val="28"/>
          <w:rtl/>
        </w:rPr>
        <w:t>أدوات التحليل الاقتصادي والمنهج الاستنباطي لبحث مشكلة نقل العبء الضريبي والتضخم ، وكذلك استخدام المنهج الوصفي التحليلي في دراسة تطور الأعباء الضريبية وعلاقة ذلك بالتضخم من خلال سلسلة زمنية للفترة (1991 – 2013) كما تم استخدام المنهج القياسي لتحديد العلاقة بين كل من الضرائب والتضخم في مصر خلال فترة البحث، وتوصلت الدراسة إلى وجود تناقض واضح بين المدارس الفكرية وكذا بين النظريات المتعلقة بنقل العبء الضريبي وآثاره على التضخم وقد لوحظ استمرار التمييز بين مصادر الدخل من الناحية الضريبية حتى عام 2005 حيث صدر قانون الضرائب الجديد وفعلت فيه الضريبة الموحدة تطبيقاً لفكرة منحنى لافر وأصبح أقصى حد للمعدل الضريبي هو 20% وقد تبين تحقيق فرضية البحث بأنه توجد علاقة طردية ذات دلالة إحصائية بين معدل نمو الضرائب ومعدل نمو الأسعار (معدل التضخم) كما كان هناك أثر موجب للضرائب المباشرة (ضرائب التضامن الاجتماعي وضرائب المبيعات) على التضخم في مصر خلال فترة الاصلاح الاقتصادي. كما اتضح تطبيق السياسة الضريبية بصورة خاطئة فى تقييد حجم الطلب ودرء خطر تضخم جذب الطلب.</w:t>
      </w:r>
    </w:p>
    <w:p w14:paraId="76A76E4F" w14:textId="77777777" w:rsidR="003E7AF1" w:rsidRDefault="003E7AF1" w:rsidP="003E7AF1">
      <w:pPr>
        <w:tabs>
          <w:tab w:val="left" w:pos="2699"/>
        </w:tabs>
        <w:ind w:firstLine="510"/>
        <w:jc w:val="both"/>
        <w:rPr>
          <w:rFonts w:ascii="Simplified Arabic" w:eastAsiaTheme="minorEastAsia" w:hAnsi="Simplified Arabic" w:cs="Simplified Arabic"/>
          <w:sz w:val="28"/>
          <w:szCs w:val="28"/>
          <w:lang w:eastAsia="en-GB" w:bidi="ar-EG"/>
        </w:rPr>
      </w:pPr>
      <w:r>
        <w:rPr>
          <w:rFonts w:ascii="Simplified Arabic" w:hAnsi="Simplified Arabic" w:cs="Simplified Arabic"/>
          <w:sz w:val="28"/>
          <w:szCs w:val="28"/>
          <w:rtl/>
        </w:rPr>
        <w:t xml:space="preserve">كما </w:t>
      </w:r>
      <w:r>
        <w:rPr>
          <w:rFonts w:ascii="Simplified Arabic" w:hAnsi="Simplified Arabic" w:cs="Simplified Arabic"/>
          <w:sz w:val="28"/>
          <w:szCs w:val="28"/>
          <w:rtl/>
          <w:lang w:eastAsia="en-GB"/>
        </w:rPr>
        <w:t>تناولت</w:t>
      </w:r>
      <w:r>
        <w:rPr>
          <w:rFonts w:ascii="Simplified Arabic" w:hAnsi="Simplified Arabic" w:cs="Simplified Arabic"/>
          <w:sz w:val="28"/>
          <w:szCs w:val="28"/>
          <w:rtl/>
        </w:rPr>
        <w:t xml:space="preserve"> دراسة مصطفى (2013)</w:t>
      </w:r>
      <w:r>
        <w:rPr>
          <w:rFonts w:ascii="Simplified Arabic" w:hAnsi="Simplified Arabic" w:cs="Simplified Arabic"/>
          <w:sz w:val="28"/>
          <w:szCs w:val="28"/>
          <w:vertAlign w:val="superscript"/>
          <w:rtl/>
          <w:lang w:bidi="ar-EG"/>
        </w:rPr>
        <w:t xml:space="preserve"> (</w:t>
      </w:r>
      <w:r>
        <w:rPr>
          <w:rStyle w:val="FootnoteReference"/>
          <w:rFonts w:ascii="Simplified Arabic" w:hAnsi="Simplified Arabic" w:cs="Simplified Arabic"/>
          <w:sz w:val="28"/>
          <w:szCs w:val="28"/>
          <w:rtl/>
          <w:lang w:bidi="ar-EG"/>
        </w:rPr>
        <w:footnoteReference w:id="6"/>
      </w:r>
      <w:r>
        <w:rPr>
          <w:rFonts w:ascii="Simplified Arabic" w:hAnsi="Simplified Arabic" w:cs="Simplified Arabic"/>
          <w:sz w:val="28"/>
          <w:szCs w:val="28"/>
          <w:vertAlign w:val="superscript"/>
          <w:rtl/>
          <w:lang w:bidi="ar-EG"/>
        </w:rPr>
        <w:t>)</w:t>
      </w:r>
      <w:r>
        <w:rPr>
          <w:rFonts w:ascii="Simplified Arabic" w:hAnsi="Simplified Arabic" w:cs="Simplified Arabic"/>
          <w:sz w:val="28"/>
          <w:szCs w:val="28"/>
          <w:rtl/>
          <w:lang w:eastAsia="en-GB" w:bidi="ar-EG"/>
        </w:rPr>
        <w:t xml:space="preserve"> دراسة أفضل الطرق التي تحقق وفاء الدولة بالتزامات الإنفاق العام الجاري والاستثماري والتمويل الآمن للموازنة خلال الفترة (٢٠٠٠-٢٠١٠) بالإضافة إلى دراسة كيفية تحقيق أهداف اقتصادية هامة مثل تمويل عجز الموازنة في إطار تخفيض معدل التضخم كهدف رئيسي وكذلك التمويل في ضوء تحجيم الدين العام، حيث تم استخدام المنهج النظري أو الاستنباطي والمنهج الاستقرائي أو التطبيقي وذلك من خلال التحليل الوصفي والتحليل الإحصائي حيث تم استعراض الأصول </w:t>
      </w:r>
      <w:r>
        <w:rPr>
          <w:rFonts w:ascii="Simplified Arabic" w:hAnsi="Simplified Arabic" w:cs="Simplified Arabic"/>
          <w:sz w:val="28"/>
          <w:szCs w:val="28"/>
          <w:rtl/>
          <w:lang w:eastAsia="en-GB" w:bidi="ar-EG"/>
        </w:rPr>
        <w:lastRenderedPageBreak/>
        <w:t xml:space="preserve">النظرية لمفاهيم الدراسة والطرق المختلفة لتمويل عجز الموازنة والآثار المختلفة لذلك وتحليل العجز وبيان طبيعته وأسبابه واختبار مدى صحة فرضية الدراسة بوجود اضطراد في عجز الموازنة وارتباط ذلك العجز بارتفاع معدلات التضخم وزيادة الدين العام. وأظهرت الدراسة أن سبب تفاقم مشكلة عجز الموازنة العامة المصرية الانحراف بين الربط المقدر لعجز الموازنة العامة للدولة والعجز الفعلي. كما أثبتت أن عجز الموازنة ومصادر تمويله يُعد سبباً في توليد الضغوط التضخمية التي تعوق تحقيق استقرار أسعار السلع والخدمات وليس العكس بما يعني أن معدل التضخم السنوي لا يعد سبباً في حدوث العجز الكلي في الموازنة المصرية خلال فترة الدارسة (2000-2010). إن مشكلة الدين العام المحلي وعجز الموازنة العامة المصرية تتشعب آثارها الاقتصادية على المجتمع من خلال عدم القدرة على السيطرة على اتجاهات التضخم. </w:t>
      </w:r>
    </w:p>
    <w:p w14:paraId="103FCC4E" w14:textId="77777777" w:rsidR="003E7AF1" w:rsidRDefault="003E7AF1" w:rsidP="003E7AF1">
      <w:pPr>
        <w:tabs>
          <w:tab w:val="left" w:pos="2699"/>
        </w:tabs>
        <w:ind w:firstLine="652"/>
        <w:jc w:val="both"/>
        <w:outlineLvl w:val="4"/>
        <w:rPr>
          <w:rFonts w:ascii="Simplified Arabic" w:hAnsi="Simplified Arabic" w:cs="Simplified Arabic"/>
          <w:sz w:val="28"/>
          <w:szCs w:val="28"/>
          <w:rtl/>
          <w:lang w:bidi="ar-EG"/>
        </w:rPr>
      </w:pPr>
    </w:p>
    <w:p w14:paraId="7A8D8CB2" w14:textId="77777777" w:rsidR="003E7AF1" w:rsidRDefault="003E7AF1" w:rsidP="003E7AF1">
      <w:pPr>
        <w:tabs>
          <w:tab w:val="left" w:pos="2699"/>
        </w:tabs>
        <w:ind w:firstLine="652"/>
        <w:jc w:val="both"/>
        <w:outlineLvl w:val="4"/>
        <w:rPr>
          <w:rFonts w:ascii="Simplified Arabic" w:hAnsi="Simplified Arabic" w:cs="Simplified Arabic"/>
          <w:sz w:val="28"/>
          <w:szCs w:val="28"/>
          <w:rtl/>
        </w:rPr>
      </w:pPr>
      <w:r>
        <w:rPr>
          <w:rFonts w:ascii="Simplified Arabic" w:hAnsi="Simplified Arabic" w:cs="Simplified Arabic"/>
          <w:sz w:val="28"/>
          <w:szCs w:val="28"/>
          <w:rtl/>
          <w:lang w:eastAsia="en-GB" w:bidi="ar-EG"/>
        </w:rPr>
        <w:t xml:space="preserve">أما دراسة </w:t>
      </w:r>
      <w:r>
        <w:rPr>
          <w:rFonts w:ascii="Simplified Arabic" w:hAnsi="Simplified Arabic" w:cs="Simplified Arabic"/>
          <w:sz w:val="28"/>
          <w:szCs w:val="28"/>
          <w:rtl/>
          <w:lang w:bidi="ar-EG"/>
        </w:rPr>
        <w:t>إسماعيل (2011)</w:t>
      </w:r>
      <w:r>
        <w:rPr>
          <w:rFonts w:ascii="Simplified Arabic" w:hAnsi="Simplified Arabic" w:cs="Simplified Arabic"/>
          <w:sz w:val="28"/>
          <w:szCs w:val="28"/>
          <w:vertAlign w:val="superscript"/>
          <w:rtl/>
          <w:lang w:bidi="ar-EG"/>
        </w:rPr>
        <w:t xml:space="preserve"> (</w:t>
      </w:r>
      <w:r>
        <w:rPr>
          <w:rStyle w:val="FootnoteReference"/>
          <w:rFonts w:ascii="Simplified Arabic" w:hAnsi="Simplified Arabic" w:cs="Simplified Arabic"/>
          <w:sz w:val="28"/>
          <w:szCs w:val="28"/>
          <w:rtl/>
          <w:lang w:bidi="ar-EG"/>
        </w:rPr>
        <w:footnoteReference w:id="7"/>
      </w:r>
      <w:r>
        <w:rPr>
          <w:rFonts w:ascii="Simplified Arabic" w:hAnsi="Simplified Arabic" w:cs="Simplified Arabic"/>
          <w:sz w:val="28"/>
          <w:szCs w:val="28"/>
          <w:vertAlign w:val="superscript"/>
          <w:rtl/>
          <w:lang w:bidi="ar-EG"/>
        </w:rPr>
        <w:t>)</w:t>
      </w:r>
      <w:r>
        <w:rPr>
          <w:rFonts w:ascii="Simplified Arabic" w:hAnsi="Simplified Arabic" w:cs="Simplified Arabic"/>
          <w:sz w:val="28"/>
          <w:szCs w:val="28"/>
          <w:rtl/>
          <w:lang w:bidi="ar-EG"/>
        </w:rPr>
        <w:t xml:space="preserve"> فقد تناولت دور </w:t>
      </w:r>
      <w:r>
        <w:rPr>
          <w:rFonts w:ascii="Simplified Arabic" w:hAnsi="Simplified Arabic" w:cs="Simplified Arabic"/>
          <w:sz w:val="28"/>
          <w:szCs w:val="28"/>
          <w:rtl/>
        </w:rPr>
        <w:t>سوق المال في تمويل العجز في الموازنة العامة حيث أن هذا التمويل يساعد على التقليل من معدلات التضخم ويساعد على سداد الديون الخارجية</w:t>
      </w:r>
      <w:r>
        <w:rPr>
          <w:rFonts w:ascii="Simplified Arabic" w:hAnsi="Simplified Arabic" w:cs="Simplified Arabic"/>
          <w:sz w:val="28"/>
          <w:szCs w:val="28"/>
          <w:rtl/>
          <w:lang w:bidi="ar-EG"/>
        </w:rPr>
        <w:t xml:space="preserve">، واستخدم </w:t>
      </w:r>
      <w:r>
        <w:rPr>
          <w:rFonts w:ascii="Simplified Arabic" w:hAnsi="Simplified Arabic" w:cs="Simplified Arabic"/>
          <w:sz w:val="28"/>
          <w:szCs w:val="28"/>
          <w:rtl/>
        </w:rPr>
        <w:t xml:space="preserve">الباحث المنهج الوصفي </w:t>
      </w:r>
      <w:r>
        <w:rPr>
          <w:rFonts w:ascii="Simplified Arabic" w:hAnsi="Simplified Arabic" w:cs="Simplified Arabic"/>
          <w:sz w:val="28"/>
          <w:szCs w:val="28"/>
          <w:rtl/>
          <w:lang w:bidi="ar-EG"/>
        </w:rPr>
        <w:t>ل</w:t>
      </w:r>
      <w:r>
        <w:rPr>
          <w:rFonts w:ascii="Simplified Arabic" w:hAnsi="Simplified Arabic" w:cs="Simplified Arabic"/>
          <w:sz w:val="28"/>
          <w:szCs w:val="28"/>
          <w:rtl/>
        </w:rPr>
        <w:t>وصف سوق المال المصري ومدى تطوره ودوره في مواجهة عجز الموازنة العامة للدولة، كما استخدم الباحث المنهج التحليلي المدعم ببيانات إحصائية لتحليل دور سوق المال المصري في مواجهة عجز الموازنة وكيفية الوصول لوضع أكثر إيجابية لدور هذا السوق، وتوصلت الدراسة إلى أن سوق الأوراق المالية في مصر يتسم بالضعف نتيجة عدة معوقات منها ضآلة حجم المعروض من الأوراق المالية وقصور الطلب وانخفاض كفاءة السوق وتباين أساليب التقييم والطرح والتداول. وأن عجز الموازنة العامة في مصر يرجع إلى مثلث غير متساوي الأضلاع أحد هذه الأضلاع الزيادة الكبيرة في النفقات العامة والضلع الثاني هو ضعف الطاقة الضريبية والضلع الثالث هو التضخم وبالتالي لابد من تمويل العجز من خلال التمويل الداخلي وترشيد النفقات وزيادة الإيرادات والابتعاد عن القروض الخارجية.</w:t>
      </w:r>
    </w:p>
    <w:p w14:paraId="235B89FE" w14:textId="77777777" w:rsidR="003E7AF1" w:rsidRDefault="003E7AF1" w:rsidP="003E7AF1">
      <w:pPr>
        <w:tabs>
          <w:tab w:val="left" w:pos="2699"/>
        </w:tabs>
        <w:ind w:firstLine="652"/>
        <w:jc w:val="both"/>
        <w:outlineLvl w:val="4"/>
        <w:rPr>
          <w:rFonts w:ascii="Simplified Arabic" w:eastAsiaTheme="minorEastAsia" w:hAnsi="Simplified Arabic" w:cs="Simplified Arabic"/>
          <w:sz w:val="28"/>
          <w:szCs w:val="28"/>
          <w:lang w:eastAsia="en-GB" w:bidi="ar-EG"/>
        </w:rPr>
      </w:pPr>
      <w:r>
        <w:rPr>
          <w:rFonts w:ascii="Simplified Arabic" w:hAnsi="Simplified Arabic" w:cs="Simplified Arabic"/>
          <w:sz w:val="28"/>
          <w:szCs w:val="28"/>
          <w:rtl/>
          <w:lang w:eastAsia="en-GB"/>
        </w:rPr>
        <w:t xml:space="preserve">كما </w:t>
      </w:r>
      <w:r>
        <w:rPr>
          <w:rFonts w:ascii="Simplified Arabic" w:hAnsi="Simplified Arabic" w:cs="Simplified Arabic"/>
          <w:sz w:val="28"/>
          <w:szCs w:val="28"/>
          <w:rtl/>
        </w:rPr>
        <w:t>أشارت</w:t>
      </w:r>
      <w:r>
        <w:rPr>
          <w:rFonts w:ascii="Simplified Arabic" w:hAnsi="Simplified Arabic" w:cs="Simplified Arabic"/>
          <w:sz w:val="28"/>
          <w:szCs w:val="28"/>
          <w:rtl/>
          <w:lang w:eastAsia="en-GB"/>
        </w:rPr>
        <w:t xml:space="preserve"> دراسة معوض (2010)</w:t>
      </w:r>
      <w:r>
        <w:rPr>
          <w:rFonts w:ascii="Simplified Arabic" w:hAnsi="Simplified Arabic" w:cs="Simplified Arabic"/>
          <w:sz w:val="28"/>
          <w:szCs w:val="28"/>
          <w:vertAlign w:val="superscript"/>
          <w:rtl/>
          <w:lang w:bidi="ar-EG"/>
        </w:rPr>
        <w:t>(</w:t>
      </w:r>
      <w:r>
        <w:rPr>
          <w:rStyle w:val="FootnoteReference"/>
          <w:rFonts w:ascii="Simplified Arabic" w:hAnsi="Simplified Arabic" w:cs="Simplified Arabic"/>
          <w:sz w:val="28"/>
          <w:szCs w:val="28"/>
          <w:rtl/>
          <w:lang w:bidi="ar-EG"/>
        </w:rPr>
        <w:footnoteReference w:id="8"/>
      </w:r>
      <w:r>
        <w:rPr>
          <w:rFonts w:ascii="Simplified Arabic" w:hAnsi="Simplified Arabic" w:cs="Simplified Arabic"/>
          <w:sz w:val="28"/>
          <w:szCs w:val="28"/>
          <w:vertAlign w:val="superscript"/>
          <w:rtl/>
          <w:lang w:bidi="ar-EG"/>
        </w:rPr>
        <w:t>)</w:t>
      </w:r>
      <w:r>
        <w:rPr>
          <w:rFonts w:ascii="Simplified Arabic" w:hAnsi="Simplified Arabic" w:cs="Simplified Arabic"/>
          <w:sz w:val="28"/>
          <w:szCs w:val="28"/>
          <w:rtl/>
          <w:lang w:eastAsia="en-GB"/>
        </w:rPr>
        <w:t xml:space="preserve"> إلى العلاقة </w:t>
      </w:r>
      <w:r>
        <w:rPr>
          <w:rFonts w:ascii="Simplified Arabic" w:hAnsi="Simplified Arabic" w:cs="Simplified Arabic"/>
          <w:sz w:val="28"/>
          <w:szCs w:val="28"/>
          <w:rtl/>
          <w:lang w:eastAsia="en-GB" w:bidi="ar-EG"/>
        </w:rPr>
        <w:t xml:space="preserve">بين التضخم و عجز الموازنة العامة للدولة حيث تقوم الدراسة باختبار فرضية وجود علاقة بين العجز في الموازنة العامة للدولة والتضخم في مصر خلال فترة الدراسة من خلال بناء نموذج قياسي واستخدام المنهج التحليلي لبيانات عجز الموازنة </w:t>
      </w:r>
      <w:r>
        <w:rPr>
          <w:rFonts w:ascii="Simplified Arabic" w:hAnsi="Simplified Arabic" w:cs="Simplified Arabic"/>
          <w:sz w:val="28"/>
          <w:szCs w:val="28"/>
          <w:rtl/>
        </w:rPr>
        <w:t>العامة</w:t>
      </w:r>
      <w:r>
        <w:rPr>
          <w:rFonts w:ascii="Simplified Arabic" w:hAnsi="Simplified Arabic" w:cs="Simplified Arabic"/>
          <w:sz w:val="28"/>
          <w:szCs w:val="28"/>
          <w:rtl/>
          <w:lang w:eastAsia="en-GB" w:bidi="ar-EG"/>
        </w:rPr>
        <w:t xml:space="preserve"> وكيفية تمويله وبيانات التضخم في مصر للفترة 1980-2007، وقد توصلت الدراسة إلى أن عجز الموازنة ومصادر تمويله يعد سبباً في توليد الضغوط التضخمية التي تعوق تحقيق استقرار في الأسعار، وأن اختبار التكامل المتناظر أكد وجود علاقة طويلة الأجل وموجبة بين كل من عجز الموازنة ومصادر تمويله الممثلة </w:t>
      </w:r>
      <w:r>
        <w:rPr>
          <w:rFonts w:ascii="Simplified Arabic" w:hAnsi="Simplified Arabic" w:cs="Simplified Arabic"/>
          <w:sz w:val="28"/>
          <w:szCs w:val="28"/>
          <w:rtl/>
          <w:lang w:eastAsia="en-GB" w:bidi="ar-EG"/>
        </w:rPr>
        <w:lastRenderedPageBreak/>
        <w:t>في صافي ائتمان الحكومة وبين التضخم أما نتائج اختبار متجه التصحيح فقد أكد وجود علاقة في الأجل القصير بين متغيرات النموذج.</w:t>
      </w:r>
    </w:p>
    <w:p w14:paraId="09C99C89" w14:textId="77777777" w:rsidR="003E7AF1" w:rsidRDefault="003E7AF1" w:rsidP="003E7AF1">
      <w:pPr>
        <w:tabs>
          <w:tab w:val="left" w:pos="2699"/>
        </w:tabs>
        <w:ind w:firstLine="652"/>
        <w:jc w:val="both"/>
        <w:outlineLvl w:val="4"/>
        <w:rPr>
          <w:rFonts w:ascii="Simplified Arabic" w:hAnsi="Simplified Arabic" w:cs="Simplified Arabic"/>
          <w:sz w:val="28"/>
          <w:szCs w:val="28"/>
          <w:rtl/>
          <w:lang w:eastAsia="en-GB" w:bidi="ar-EG"/>
        </w:rPr>
      </w:pPr>
    </w:p>
    <w:p w14:paraId="1686DD48" w14:textId="77777777" w:rsidR="003E7AF1" w:rsidRDefault="003E7AF1" w:rsidP="003E7AF1">
      <w:pPr>
        <w:tabs>
          <w:tab w:val="left" w:pos="2699"/>
        </w:tabs>
        <w:ind w:firstLine="652"/>
        <w:jc w:val="both"/>
        <w:outlineLvl w:val="4"/>
        <w:rPr>
          <w:rFonts w:ascii="Simplified Arabic" w:hAnsi="Simplified Arabic" w:cs="Simplified Arabic"/>
          <w:sz w:val="28"/>
          <w:szCs w:val="28"/>
          <w:rtl/>
          <w:lang w:bidi="ar-EG"/>
        </w:rPr>
      </w:pPr>
      <w:r>
        <w:rPr>
          <w:rFonts w:ascii="Simplified Arabic" w:hAnsi="Simplified Arabic" w:cs="Simplified Arabic"/>
          <w:sz w:val="28"/>
          <w:szCs w:val="28"/>
          <w:rtl/>
          <w:lang w:eastAsia="en-GB" w:bidi="ar-EG"/>
        </w:rPr>
        <w:t xml:space="preserve">أما دراسة </w:t>
      </w:r>
      <w:r>
        <w:rPr>
          <w:rFonts w:ascii="Simplified Arabic" w:hAnsi="Simplified Arabic" w:cs="Simplified Arabic"/>
          <w:sz w:val="28"/>
          <w:szCs w:val="28"/>
          <w:shd w:val="clear" w:color="auto" w:fill="FFFFFF"/>
        </w:rPr>
        <w:t>Kaur (2018)</w:t>
      </w:r>
      <w:r>
        <w:rPr>
          <w:rFonts w:ascii="Simplified Arabic" w:hAnsi="Simplified Arabic" w:cs="Simplified Arabic"/>
          <w:sz w:val="28"/>
          <w:szCs w:val="28"/>
          <w:vertAlign w:val="superscript"/>
          <w:rtl/>
          <w:lang w:bidi="ar-EG"/>
        </w:rPr>
        <w:t xml:space="preserve"> (</w:t>
      </w:r>
      <w:r>
        <w:rPr>
          <w:rStyle w:val="FootnoteReference"/>
          <w:rFonts w:ascii="Simplified Arabic" w:hAnsi="Simplified Arabic" w:cs="Simplified Arabic"/>
          <w:sz w:val="28"/>
          <w:szCs w:val="28"/>
          <w:rtl/>
          <w:lang w:bidi="ar-EG"/>
        </w:rPr>
        <w:footnoteReference w:id="9"/>
      </w:r>
      <w:r>
        <w:rPr>
          <w:rFonts w:ascii="Simplified Arabic" w:hAnsi="Simplified Arabic" w:cs="Simplified Arabic"/>
          <w:sz w:val="28"/>
          <w:szCs w:val="28"/>
          <w:vertAlign w:val="superscript"/>
          <w:rtl/>
          <w:lang w:bidi="ar-EG"/>
        </w:rPr>
        <w:t>)</w:t>
      </w:r>
      <w:r>
        <w:rPr>
          <w:rFonts w:ascii="Simplified Arabic" w:hAnsi="Simplified Arabic" w:cs="Simplified Arabic"/>
          <w:sz w:val="28"/>
          <w:szCs w:val="28"/>
          <w:rtl/>
          <w:lang w:eastAsia="en-GB" w:bidi="ar-EG"/>
        </w:rPr>
        <w:t xml:space="preserve"> فقد تناولت العلاقة</w:t>
      </w:r>
      <w:r>
        <w:rPr>
          <w:rFonts w:ascii="Simplified Arabic" w:hAnsi="Simplified Arabic" w:cs="Simplified Arabic"/>
          <w:sz w:val="28"/>
          <w:szCs w:val="28"/>
          <w:rtl/>
          <w:lang w:bidi="ar-EG"/>
        </w:rPr>
        <w:t xml:space="preserve"> بين </w:t>
      </w:r>
      <w:r>
        <w:rPr>
          <w:rFonts w:ascii="Simplified Arabic" w:hAnsi="Simplified Arabic" w:cs="Simplified Arabic"/>
          <w:sz w:val="28"/>
          <w:szCs w:val="28"/>
          <w:rtl/>
        </w:rPr>
        <w:t xml:space="preserve">التضخم والعجز المالي، وعرض النقود، وسعر الصرف باستخدام البيانات السنوية للهند للفترة 1970-1971 إلى 2014-2015، وذلك باستخدام المنهج التجريبي ومنهج الاقتصاد القياسي واستخدمت للتحليل أسلوب التكامل المشترك ليوهانسن والتي تختبر كلاً من وجود وعدد المتجهات التكاملية. وعلاوة على ذلك اختبار السببية </w:t>
      </w:r>
      <w:r>
        <w:rPr>
          <w:rFonts w:ascii="Simplified Arabic" w:hAnsi="Simplified Arabic" w:cs="Simplified Arabic"/>
          <w:sz w:val="28"/>
          <w:szCs w:val="28"/>
          <w:rtl/>
          <w:lang w:bidi="ar-EG"/>
        </w:rPr>
        <w:t xml:space="preserve">لجرانجر </w:t>
      </w:r>
      <w:r>
        <w:rPr>
          <w:rFonts w:ascii="Simplified Arabic" w:hAnsi="Simplified Arabic" w:cs="Simplified Arabic"/>
          <w:sz w:val="28"/>
          <w:szCs w:val="28"/>
          <w:rtl/>
        </w:rPr>
        <w:t xml:space="preserve">على المدى القصير، وأظهرت النتائج أن هناك علاقة طويلة الأجل بين عجز الموازنة العامة للدولة وعرض النقود وتقلب سعر الصرف والتضخم. فيما أن اختبارات السببية لجرانجر لا تؤكد السببية بين عجز الموازنة العامة للدولة والتضخم. هذا يعني أن النظرية المالية لمستوى السعر لا تجد دعماً تجريبياً في الحالة الهندية. </w:t>
      </w:r>
    </w:p>
    <w:p w14:paraId="4EE3DEC2" w14:textId="77777777" w:rsidR="003E7AF1" w:rsidRDefault="003E7AF1" w:rsidP="003E7AF1">
      <w:pPr>
        <w:tabs>
          <w:tab w:val="left" w:pos="2699"/>
        </w:tabs>
        <w:ind w:firstLine="652"/>
        <w:jc w:val="both"/>
        <w:outlineLvl w:val="4"/>
        <w:rPr>
          <w:rFonts w:ascii="Simplified Arabic" w:hAnsi="Simplified Arabic" w:cs="Simplified Arabic"/>
          <w:sz w:val="28"/>
          <w:szCs w:val="28"/>
          <w:rtl/>
          <w:lang w:bidi="ar-EG"/>
        </w:rPr>
      </w:pPr>
    </w:p>
    <w:p w14:paraId="16E59CE2" w14:textId="77777777" w:rsidR="003E7AF1" w:rsidRDefault="003E7AF1" w:rsidP="003E7AF1">
      <w:pPr>
        <w:tabs>
          <w:tab w:val="left" w:pos="2699"/>
        </w:tabs>
        <w:ind w:firstLine="652"/>
        <w:jc w:val="both"/>
        <w:outlineLvl w:val="4"/>
        <w:rPr>
          <w:rFonts w:ascii="Simplified Arabic" w:hAnsi="Simplified Arabic" w:cs="Simplified Arabic"/>
          <w:sz w:val="28"/>
          <w:szCs w:val="28"/>
          <w:rtl/>
        </w:rPr>
      </w:pPr>
      <w:r>
        <w:rPr>
          <w:rFonts w:ascii="Simplified Arabic" w:hAnsi="Simplified Arabic" w:cs="Simplified Arabic"/>
          <w:sz w:val="28"/>
          <w:szCs w:val="28"/>
          <w:rtl/>
          <w:lang w:bidi="ar-EG"/>
        </w:rPr>
        <w:t xml:space="preserve">هذا في حين أن دراسة </w:t>
      </w:r>
      <w:r>
        <w:rPr>
          <w:rFonts w:ascii="Simplified Arabic" w:hAnsi="Simplified Arabic" w:cs="Simplified Arabic"/>
          <w:sz w:val="28"/>
          <w:szCs w:val="28"/>
          <w:shd w:val="clear" w:color="auto" w:fill="FFFFFF"/>
        </w:rPr>
        <w:t>Dadson (2015)</w:t>
      </w:r>
      <w:r>
        <w:rPr>
          <w:rFonts w:ascii="Simplified Arabic" w:hAnsi="Simplified Arabic" w:cs="Simplified Arabic"/>
          <w:sz w:val="28"/>
          <w:szCs w:val="28"/>
          <w:rtl/>
          <w:lang w:bidi="ar-EG"/>
        </w:rPr>
        <w:t xml:space="preserve"> </w:t>
      </w:r>
      <w:r>
        <w:rPr>
          <w:rFonts w:ascii="Simplified Arabic" w:hAnsi="Simplified Arabic" w:cs="Simplified Arabic"/>
          <w:sz w:val="28"/>
          <w:szCs w:val="28"/>
          <w:vertAlign w:val="superscript"/>
          <w:rtl/>
          <w:lang w:bidi="ar-EG"/>
        </w:rPr>
        <w:t>(</w:t>
      </w:r>
      <w:r>
        <w:rPr>
          <w:rStyle w:val="FootnoteReference"/>
          <w:rFonts w:ascii="Simplified Arabic" w:hAnsi="Simplified Arabic" w:cs="Simplified Arabic"/>
          <w:sz w:val="28"/>
          <w:szCs w:val="28"/>
          <w:rtl/>
          <w:lang w:bidi="ar-EG"/>
        </w:rPr>
        <w:footnoteReference w:id="10"/>
      </w:r>
      <w:r>
        <w:rPr>
          <w:rFonts w:ascii="Simplified Arabic" w:hAnsi="Simplified Arabic" w:cs="Simplified Arabic"/>
          <w:sz w:val="28"/>
          <w:szCs w:val="28"/>
          <w:vertAlign w:val="superscript"/>
          <w:rtl/>
          <w:lang w:bidi="ar-EG"/>
        </w:rPr>
        <w:t>)</w:t>
      </w:r>
      <w:r>
        <w:rPr>
          <w:rFonts w:ascii="Simplified Arabic" w:hAnsi="Simplified Arabic" w:cs="Simplified Arabic"/>
          <w:sz w:val="28"/>
          <w:szCs w:val="28"/>
          <w:rtl/>
          <w:lang w:bidi="ar-EG"/>
        </w:rPr>
        <w:t xml:space="preserve"> والتي تناولت</w:t>
      </w:r>
      <w:r>
        <w:rPr>
          <w:rFonts w:ascii="Simplified Arabic" w:hAnsi="Simplified Arabic" w:cs="Simplified Arabic"/>
          <w:sz w:val="28"/>
          <w:szCs w:val="28"/>
          <w:rtl/>
        </w:rPr>
        <w:t xml:space="preserve"> تأثير العجز المالي بشكل تجريبي على التضخم في غانا. لتحديد ما إذا كان التضخم المستمر في غانا مترتب على العجز المالي. وعلى وجه التحديد دراسة تأثير العجز المالي على التضخم في غانا وتحديد نوع العلاقة القائمة بين هذين المتغيرين، والتي قد استخدمت الأساليب الكمية والإحصائية المناسبة حيث تم استخدام الانحدار الذاتي كما تم استخدام نموذج للتضخم يتضمن الناتج المحلي الإجمالي الحقيقي وسعر الصرف كمتغيرات تفسيرية واستخدمت الدراسة بيانات السلاسل الزمنية السنوية المستمدة من مصادر ثانوية تغطي الفترة بين عامي 1983 و2013، قد توصلت إلى أن هناك علاقة إيجابية بين العجز المالي والتضخم على المدى الطويل. كما كشفت الدراسة أن الضغوط التضخمية للفترة من 1983 إلى 2013 كانت ظاهرة نقدية. كما توصلت الدراسة إلى أن عنصر العجز المالي مع التمويل المقابل له هو المحدد الرئيسي للتضخم في غانا ومن ثم التأكيد على بروز النظرية المالية في غانا. </w:t>
      </w:r>
    </w:p>
    <w:p w14:paraId="01C04CDE" w14:textId="77777777" w:rsidR="003E7AF1" w:rsidRDefault="003E7AF1" w:rsidP="003E7AF1">
      <w:pPr>
        <w:tabs>
          <w:tab w:val="left" w:pos="2699"/>
        </w:tabs>
        <w:ind w:firstLine="652"/>
        <w:jc w:val="both"/>
        <w:outlineLvl w:val="4"/>
        <w:rPr>
          <w:rFonts w:ascii="Simplified Arabic" w:hAnsi="Simplified Arabic" w:cs="Simplified Arabic"/>
          <w:sz w:val="28"/>
          <w:szCs w:val="28"/>
          <w:rtl/>
        </w:rPr>
      </w:pPr>
    </w:p>
    <w:p w14:paraId="49518E0E" w14:textId="77777777" w:rsidR="003E7AF1" w:rsidRDefault="003E7AF1" w:rsidP="003E7AF1">
      <w:pPr>
        <w:ind w:firstLine="652"/>
        <w:jc w:val="both"/>
        <w:outlineLvl w:val="4"/>
        <w:rPr>
          <w:rFonts w:ascii="Simplified Arabic" w:hAnsi="Simplified Arabic" w:cs="Simplified Arabic"/>
          <w:sz w:val="28"/>
          <w:szCs w:val="28"/>
          <w:rtl/>
        </w:rPr>
      </w:pPr>
      <w:r>
        <w:rPr>
          <w:rFonts w:ascii="Simplified Arabic" w:hAnsi="Simplified Arabic" w:cs="Simplified Arabic"/>
          <w:sz w:val="28"/>
          <w:szCs w:val="28"/>
          <w:rtl/>
          <w:lang w:bidi="ar-EG"/>
        </w:rPr>
        <w:t xml:space="preserve">أما دراسة </w:t>
      </w:r>
      <w:r>
        <w:rPr>
          <w:rFonts w:ascii="Simplified Arabic" w:hAnsi="Simplified Arabic" w:cs="Simplified Arabic"/>
          <w:sz w:val="28"/>
          <w:szCs w:val="28"/>
          <w:shd w:val="clear" w:color="auto" w:fill="FFFFFF"/>
        </w:rPr>
        <w:t>Bakare; Adesanya; Bolarinwa (2014)</w:t>
      </w:r>
      <w:r>
        <w:rPr>
          <w:rFonts w:ascii="Simplified Arabic" w:hAnsi="Simplified Arabic" w:cs="Simplified Arabic"/>
          <w:sz w:val="28"/>
          <w:szCs w:val="28"/>
          <w:rtl/>
          <w:lang w:bidi="ar-EG"/>
        </w:rPr>
        <w:t xml:space="preserve"> </w:t>
      </w:r>
      <w:r>
        <w:rPr>
          <w:rFonts w:ascii="Simplified Arabic" w:hAnsi="Simplified Arabic" w:cs="Simplified Arabic"/>
          <w:sz w:val="28"/>
          <w:szCs w:val="28"/>
          <w:vertAlign w:val="superscript"/>
          <w:rtl/>
          <w:lang w:bidi="ar-EG"/>
        </w:rPr>
        <w:t>(</w:t>
      </w:r>
      <w:r>
        <w:rPr>
          <w:rStyle w:val="FootnoteReference"/>
          <w:rFonts w:ascii="Simplified Arabic" w:hAnsi="Simplified Arabic" w:cs="Simplified Arabic"/>
          <w:sz w:val="28"/>
          <w:szCs w:val="28"/>
          <w:rtl/>
          <w:lang w:bidi="ar-EG"/>
        </w:rPr>
        <w:footnoteReference w:id="11"/>
      </w:r>
      <w:r>
        <w:rPr>
          <w:rFonts w:ascii="Simplified Arabic" w:hAnsi="Simplified Arabic" w:cs="Simplified Arabic"/>
          <w:sz w:val="28"/>
          <w:szCs w:val="28"/>
          <w:vertAlign w:val="superscript"/>
          <w:rtl/>
          <w:lang w:bidi="ar-EG"/>
        </w:rPr>
        <w:t>)</w:t>
      </w:r>
      <w:r>
        <w:rPr>
          <w:rFonts w:ascii="Simplified Arabic" w:hAnsi="Simplified Arabic" w:cs="Simplified Arabic"/>
          <w:sz w:val="28"/>
          <w:szCs w:val="28"/>
          <w:rtl/>
          <w:lang w:bidi="ar-EG"/>
        </w:rPr>
        <w:t xml:space="preserve"> فقد </w:t>
      </w:r>
      <w:r>
        <w:rPr>
          <w:rFonts w:ascii="Simplified Arabic" w:hAnsi="Simplified Arabic" w:cs="Simplified Arabic"/>
          <w:sz w:val="28"/>
          <w:szCs w:val="28"/>
          <w:rtl/>
        </w:rPr>
        <w:t xml:space="preserve">تناولت العلاقة طويلة الأجل بين العجز في الموازنة العامة للدولة وعرض النقود والتضخم في نيجيريا خلال الفترة من 1975 إلى 2012، وذلك لإلقاء الضوء على الروابط النظرية والتطبيقية بين عجز الموازنة العامة للدولة وعرض النقود والتضخم لتعزيز فهم التفسيرات المختلفة للروابط بين عجز الموازنة العامة للدولة والتضخم وغيره من متغيرات </w:t>
      </w:r>
      <w:r>
        <w:rPr>
          <w:rFonts w:ascii="Simplified Arabic" w:hAnsi="Simplified Arabic" w:cs="Simplified Arabic"/>
          <w:sz w:val="28"/>
          <w:szCs w:val="28"/>
          <w:rtl/>
        </w:rPr>
        <w:lastRenderedPageBreak/>
        <w:t>الاقتصاد الكلي من الناحية النظرية والتطبيقية، واستخدمت هذه الدراسة المنهج القياسي بالاعتماد على البيانات الكمية لقياس العلاقة بين معدل التضخم ومعدل نمو عرض النقود وعجز الموازنة العامة والدين الخارجي، كما استخدمت اختبار ديكي فولر (</w:t>
      </w:r>
      <w:r>
        <w:rPr>
          <w:rFonts w:ascii="Simplified Arabic" w:hAnsi="Simplified Arabic" w:cs="Simplified Arabic"/>
          <w:sz w:val="28"/>
          <w:szCs w:val="28"/>
        </w:rPr>
        <w:t>ADF</w:t>
      </w:r>
      <w:r>
        <w:rPr>
          <w:rFonts w:ascii="Simplified Arabic" w:hAnsi="Simplified Arabic" w:cs="Simplified Arabic"/>
          <w:sz w:val="28"/>
          <w:szCs w:val="28"/>
          <w:rtl/>
        </w:rPr>
        <w:t>) والتكامل المشترك لجوهانسن، وتوصلت الدراسة إلى أن هناك علاقة طردية بين معدل التضخم ومعدل نمو عرض النقود وعجز الموازنة العامة والدين الخارجي وأن النموذج المحدد ذا دلالة إحصائية عند مستوى 5٪. وعليه توصى الدراسة بأن تقوم نيجريا بمزيد من الاتساق والتنسيق عند وضع السياسات المالية والنقدية ومزيد من الشفافية عند وضع هذه السياسات والحد من ارتفاع معدل إصدار النقود والديون الخارجية لتمويل عجز الموازنة العامة للدولة، من أجل تخفيض معدلات التضخم في نيجيريا.</w:t>
      </w:r>
    </w:p>
    <w:p w14:paraId="58C38BC6" w14:textId="77777777" w:rsidR="003E7AF1" w:rsidRDefault="003E7AF1" w:rsidP="003E7AF1">
      <w:pPr>
        <w:ind w:firstLine="652"/>
        <w:jc w:val="both"/>
        <w:outlineLvl w:val="4"/>
        <w:rPr>
          <w:rFonts w:ascii="Simplified Arabic" w:hAnsi="Simplified Arabic" w:cs="Simplified Arabic"/>
          <w:rtl/>
        </w:rPr>
      </w:pPr>
    </w:p>
    <w:p w14:paraId="60D60FDB" w14:textId="77777777" w:rsidR="003E7AF1" w:rsidRDefault="003E7AF1" w:rsidP="003E7AF1">
      <w:pPr>
        <w:tabs>
          <w:tab w:val="left" w:pos="2699"/>
        </w:tabs>
        <w:ind w:firstLine="652"/>
        <w:jc w:val="both"/>
        <w:outlineLvl w:val="4"/>
        <w:rPr>
          <w:rFonts w:ascii="Simplified Arabic" w:eastAsiaTheme="minorEastAsia" w:hAnsi="Simplified Arabic" w:cs="Simplified Arabic"/>
          <w:sz w:val="28"/>
          <w:szCs w:val="28"/>
          <w:rtl/>
          <w:lang w:eastAsia="en-GB" w:bidi="ar-EG"/>
        </w:rPr>
      </w:pPr>
      <w:r>
        <w:rPr>
          <w:rFonts w:ascii="Simplified Arabic" w:hAnsi="Simplified Arabic" w:cs="Simplified Arabic"/>
          <w:sz w:val="28"/>
          <w:szCs w:val="28"/>
          <w:rtl/>
        </w:rPr>
        <w:t xml:space="preserve">كما تناولت دراسة </w:t>
      </w:r>
      <w:r>
        <w:rPr>
          <w:rFonts w:ascii="Simplified Arabic" w:hAnsi="Simplified Arabic" w:cs="Simplified Arabic"/>
          <w:sz w:val="28"/>
          <w:szCs w:val="28"/>
          <w:shd w:val="clear" w:color="auto" w:fill="FFFFFF"/>
        </w:rPr>
        <w:t xml:space="preserve"> Dockery (2012)</w:t>
      </w:r>
      <w:r>
        <w:rPr>
          <w:rFonts w:ascii="Simplified Arabic" w:hAnsi="Simplified Arabic" w:cs="Simplified Arabic"/>
          <w:sz w:val="28"/>
          <w:szCs w:val="28"/>
          <w:rtl/>
          <w:lang w:eastAsia="en-GB" w:bidi="ar-EG"/>
        </w:rPr>
        <w:t xml:space="preserve"> </w:t>
      </w:r>
      <w:r>
        <w:rPr>
          <w:rFonts w:ascii="Simplified Arabic" w:hAnsi="Simplified Arabic" w:cs="Simplified Arabic"/>
          <w:sz w:val="28"/>
          <w:szCs w:val="28"/>
          <w:vertAlign w:val="superscript"/>
          <w:rtl/>
          <w:lang w:bidi="ar-EG"/>
        </w:rPr>
        <w:t>(</w:t>
      </w:r>
      <w:r>
        <w:rPr>
          <w:rStyle w:val="FootnoteReference"/>
          <w:rFonts w:ascii="Simplified Arabic" w:hAnsi="Simplified Arabic" w:cs="Simplified Arabic"/>
          <w:sz w:val="28"/>
          <w:szCs w:val="28"/>
          <w:rtl/>
          <w:lang w:bidi="ar-EG"/>
        </w:rPr>
        <w:footnoteReference w:id="12"/>
      </w:r>
      <w:r>
        <w:rPr>
          <w:rFonts w:ascii="Simplified Arabic" w:hAnsi="Simplified Arabic" w:cs="Simplified Arabic"/>
          <w:sz w:val="28"/>
          <w:szCs w:val="28"/>
          <w:vertAlign w:val="superscript"/>
          <w:rtl/>
          <w:lang w:bidi="ar-EG"/>
        </w:rPr>
        <w:t>)</w:t>
      </w:r>
      <w:r>
        <w:rPr>
          <w:rFonts w:ascii="Simplified Arabic" w:hAnsi="Simplified Arabic" w:cs="Simplified Arabic"/>
          <w:sz w:val="28"/>
          <w:szCs w:val="28"/>
          <w:rtl/>
          <w:lang w:eastAsia="en-GB" w:bidi="ar-EG"/>
        </w:rPr>
        <w:t xml:space="preserve"> العلاقات المتبادلة بين عجز الموازنة العامة للدولة من جهة وظاهرة التضخم من جهة أخرى في الاقتصاد النيجري، حيث استخدمت الدراسة تحليل التكامل المشترك ونموذج تصحيح الخطأ لبحث العلاقة طويلة الأجل بين العجز المالي والتضخم في نيجيريا، التي شهدت تقلبات كبيرة في العجز المالي الحكومي، وتوصلت الدراسة إلى وجود علاقة إيجابية ولكنها غير هامة بين العجز المالي والتضخم. كما تشير الدراسة إلى وجود علاقة إيجابية طويلة الأجل بين نمو المعروض النقدي </w:t>
      </w:r>
      <w:r>
        <w:rPr>
          <w:rFonts w:ascii="Simplified Arabic" w:hAnsi="Simplified Arabic" w:cs="Simplified Arabic"/>
          <w:sz w:val="28"/>
          <w:szCs w:val="28"/>
          <w:rtl/>
        </w:rPr>
        <w:t>والتضخم</w:t>
      </w:r>
      <w:r>
        <w:rPr>
          <w:rFonts w:ascii="Simplified Arabic" w:hAnsi="Simplified Arabic" w:cs="Simplified Arabic"/>
          <w:sz w:val="28"/>
          <w:szCs w:val="28"/>
          <w:rtl/>
          <w:lang w:eastAsia="en-GB" w:bidi="ar-EG"/>
        </w:rPr>
        <w:t>، مما يوحي بالتالي بأن نمو المعروض النقدي يميل إلى النمو بمعدل أسرع من معدل التضخم.</w:t>
      </w:r>
    </w:p>
    <w:p w14:paraId="0F2B381A" w14:textId="77777777" w:rsidR="003E7AF1" w:rsidRDefault="003E7AF1" w:rsidP="003E7AF1">
      <w:pPr>
        <w:tabs>
          <w:tab w:val="left" w:pos="2699"/>
        </w:tabs>
        <w:ind w:firstLine="652"/>
        <w:jc w:val="both"/>
        <w:outlineLvl w:val="4"/>
        <w:rPr>
          <w:rFonts w:ascii="Simplified Arabic" w:hAnsi="Simplified Arabic" w:cs="Simplified Arabic"/>
          <w:rtl/>
          <w:lang w:eastAsia="en-GB" w:bidi="ar-EG"/>
        </w:rPr>
      </w:pPr>
    </w:p>
    <w:p w14:paraId="0813F45F" w14:textId="77777777" w:rsidR="003E7AF1" w:rsidRDefault="003E7AF1" w:rsidP="003E7AF1">
      <w:pPr>
        <w:tabs>
          <w:tab w:val="left" w:pos="2699"/>
        </w:tabs>
        <w:ind w:firstLine="652"/>
        <w:jc w:val="both"/>
        <w:outlineLvl w:val="4"/>
        <w:rPr>
          <w:rFonts w:ascii="Simplified Arabic" w:hAnsi="Simplified Arabic" w:cs="Simplified Arabic"/>
          <w:sz w:val="28"/>
          <w:szCs w:val="28"/>
          <w:rtl/>
          <w:lang w:eastAsia="en-GB"/>
        </w:rPr>
      </w:pPr>
      <w:r>
        <w:rPr>
          <w:rFonts w:ascii="Simplified Arabic" w:hAnsi="Simplified Arabic" w:cs="Simplified Arabic"/>
          <w:sz w:val="28"/>
          <w:szCs w:val="28"/>
          <w:rtl/>
          <w:lang w:eastAsia="en-GB" w:bidi="ar-EG"/>
        </w:rPr>
        <w:t>وتناولت دراسة</w:t>
      </w:r>
      <w:r>
        <w:rPr>
          <w:rFonts w:ascii="Simplified Arabic" w:hAnsi="Simplified Arabic" w:cs="Simplified Arabic"/>
          <w:sz w:val="28"/>
          <w:szCs w:val="28"/>
          <w:shd w:val="clear" w:color="auto" w:fill="FFFFFF"/>
        </w:rPr>
        <w:t xml:space="preserve">Ekanayake (2012) </w:t>
      </w:r>
      <w:r>
        <w:rPr>
          <w:rFonts w:ascii="Simplified Arabic" w:hAnsi="Simplified Arabic" w:cs="Simplified Arabic"/>
          <w:sz w:val="28"/>
          <w:szCs w:val="28"/>
          <w:rtl/>
          <w:lang w:eastAsia="en-GB" w:bidi="ar-EG"/>
        </w:rPr>
        <w:t xml:space="preserve"> </w:t>
      </w:r>
      <w:r>
        <w:rPr>
          <w:rFonts w:ascii="Simplified Arabic" w:hAnsi="Simplified Arabic" w:cs="Simplified Arabic"/>
          <w:sz w:val="28"/>
          <w:szCs w:val="28"/>
          <w:vertAlign w:val="superscript"/>
          <w:rtl/>
          <w:lang w:bidi="ar-EG"/>
        </w:rPr>
        <w:t>(</w:t>
      </w:r>
      <w:r>
        <w:rPr>
          <w:rStyle w:val="FootnoteReference"/>
          <w:rFonts w:ascii="Simplified Arabic" w:hAnsi="Simplified Arabic" w:cs="Simplified Arabic"/>
          <w:sz w:val="28"/>
          <w:szCs w:val="28"/>
          <w:rtl/>
          <w:lang w:bidi="ar-EG"/>
        </w:rPr>
        <w:footnoteReference w:id="13"/>
      </w:r>
      <w:r>
        <w:rPr>
          <w:rFonts w:ascii="Simplified Arabic" w:hAnsi="Simplified Arabic" w:cs="Simplified Arabic"/>
          <w:sz w:val="28"/>
          <w:szCs w:val="28"/>
          <w:vertAlign w:val="superscript"/>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صحة الفرضية التي تشير إلى وجود رابط بين العجز في الموازنة العامة للدولة والتضخم في البلدان النامية وأثر الأجور في القطاع العام على هذه العلاقة، واستخدمت دولة سيرلانكا كدراسة حالة حيث أنها بلد نامٍ وبها عجز مالي متواصل وقطاع عام كبير ونسب تضخم مرتفعة، واستخدمت الدراسة المنهج التجريبي والمنهج التحليلي لبيانات السلسلة الزمنية الممتدة من عام 1959 إلى 2008، كما تم استخدام نموذج الانحدار الذاتي ذو فترات الإبطاء الموزعة (</w:t>
      </w:r>
      <w:r>
        <w:rPr>
          <w:rFonts w:ascii="Simplified Arabic" w:hAnsi="Simplified Arabic" w:cs="Simplified Arabic"/>
          <w:sz w:val="28"/>
          <w:szCs w:val="28"/>
        </w:rPr>
        <w:t>ARDL</w:t>
      </w:r>
      <w:r>
        <w:rPr>
          <w:rFonts w:ascii="Simplified Arabic" w:hAnsi="Simplified Arabic" w:cs="Simplified Arabic"/>
          <w:sz w:val="28"/>
          <w:szCs w:val="28"/>
          <w:rtl/>
        </w:rPr>
        <w:t>)، وتشير أهم نتائج الدراسة إلى أنه على المدى الطويل فإن ارتفاع عجز الموازنة العامة للدولة يرتبط طردياً مع ارتفاع التضخم، وهذا الارتباط يصبح أضعف في غياب نفقات الأجور في القطاع العام مما يستدل معه على أن التضخم في سيرلانكا ليس ظاهرة نقدية فقط وإنما نفقات الأجور في القطاع العام هي عامل رئيسي لتفسير العلاقة بين عجز الموازنة العامة والتضخم</w:t>
      </w:r>
      <w:r>
        <w:rPr>
          <w:rFonts w:ascii="Simplified Arabic" w:hAnsi="Simplified Arabic" w:cs="Simplified Arabic"/>
          <w:sz w:val="28"/>
          <w:szCs w:val="28"/>
          <w:rtl/>
          <w:lang w:eastAsia="en-GB"/>
        </w:rPr>
        <w:t>.</w:t>
      </w:r>
    </w:p>
    <w:p w14:paraId="00929976" w14:textId="77777777" w:rsidR="003E7AF1" w:rsidRDefault="003E7AF1" w:rsidP="003E7AF1">
      <w:pPr>
        <w:tabs>
          <w:tab w:val="left" w:pos="2699"/>
        </w:tabs>
        <w:ind w:firstLine="652"/>
        <w:jc w:val="both"/>
        <w:outlineLvl w:val="4"/>
        <w:rPr>
          <w:rFonts w:ascii="Simplified Arabic" w:hAnsi="Simplified Arabic" w:cs="Simplified Arabic"/>
          <w:sz w:val="28"/>
          <w:szCs w:val="28"/>
          <w:rtl/>
          <w:lang w:eastAsia="en-GB"/>
        </w:rPr>
      </w:pPr>
      <w:r>
        <w:rPr>
          <w:rFonts w:ascii="Simplified Arabic" w:hAnsi="Simplified Arabic" w:cs="Simplified Arabic"/>
          <w:sz w:val="28"/>
          <w:szCs w:val="28"/>
          <w:rtl/>
          <w:lang w:eastAsia="en-GB"/>
        </w:rPr>
        <w:t>وقد تم التركيز على الدراسات السابقة التي تناولت ظاهرة التضخم في مصر وبعض الدول النامية خلال العشر سنوات السابقة على إجراء ه</w:t>
      </w:r>
      <w:r>
        <w:rPr>
          <w:rFonts w:ascii="Simplified Arabic" w:hAnsi="Simplified Arabic" w:cs="Simplified Arabic"/>
          <w:sz w:val="28"/>
          <w:szCs w:val="28"/>
          <w:rtl/>
        </w:rPr>
        <w:t>ذ</w:t>
      </w:r>
      <w:r>
        <w:rPr>
          <w:rFonts w:ascii="Simplified Arabic" w:hAnsi="Simplified Arabic" w:cs="Simplified Arabic"/>
          <w:sz w:val="28"/>
          <w:szCs w:val="28"/>
          <w:rtl/>
          <w:lang w:eastAsia="en-GB"/>
        </w:rPr>
        <w:t xml:space="preserve">ه الدراسة لاستكشاف وفهم </w:t>
      </w:r>
      <w:r>
        <w:rPr>
          <w:rFonts w:ascii="Simplified Arabic" w:hAnsi="Simplified Arabic" w:cs="Simplified Arabic"/>
          <w:sz w:val="28"/>
          <w:szCs w:val="28"/>
          <w:rtl/>
        </w:rPr>
        <w:t xml:space="preserve">الروابط النظرية والتطبيقية بين عجز </w:t>
      </w:r>
      <w:r>
        <w:rPr>
          <w:rFonts w:ascii="Simplified Arabic" w:hAnsi="Simplified Arabic" w:cs="Simplified Arabic"/>
          <w:sz w:val="28"/>
          <w:szCs w:val="28"/>
          <w:rtl/>
        </w:rPr>
        <w:lastRenderedPageBreak/>
        <w:t>الموازنة العامة للدولة والتضخم</w:t>
      </w:r>
      <w:r>
        <w:rPr>
          <w:rFonts w:ascii="Simplified Arabic" w:hAnsi="Simplified Arabic" w:cs="Simplified Arabic"/>
          <w:sz w:val="28"/>
          <w:szCs w:val="28"/>
          <w:rtl/>
          <w:lang w:eastAsia="en-GB"/>
        </w:rPr>
        <w:t>، و</w:t>
      </w:r>
      <w:r>
        <w:rPr>
          <w:rFonts w:ascii="Simplified Arabic" w:hAnsi="Simplified Arabic" w:cs="Simplified Arabic"/>
          <w:sz w:val="28"/>
          <w:szCs w:val="28"/>
          <w:rtl/>
        </w:rPr>
        <w:t>ذ</w:t>
      </w:r>
      <w:r>
        <w:rPr>
          <w:rFonts w:ascii="Simplified Arabic" w:hAnsi="Simplified Arabic" w:cs="Simplified Arabic"/>
          <w:sz w:val="28"/>
          <w:szCs w:val="28"/>
          <w:rtl/>
          <w:lang w:eastAsia="en-GB"/>
        </w:rPr>
        <w:t xml:space="preserve">لك بغرض البناء على ما توصلت إليه تلك الدراسات من نتائج فيما يتعلق بالتأثير المتبادل بين عجز الموازنة العامة للدولة من جهة والتضخم من جهة أخرى. </w:t>
      </w:r>
    </w:p>
    <w:p w14:paraId="1315F925" w14:textId="77777777" w:rsidR="003E7AF1" w:rsidRDefault="003E7AF1" w:rsidP="003E7AF1">
      <w:pPr>
        <w:tabs>
          <w:tab w:val="left" w:pos="2699"/>
        </w:tabs>
        <w:ind w:firstLine="652"/>
        <w:jc w:val="both"/>
        <w:outlineLvl w:val="4"/>
        <w:rPr>
          <w:rFonts w:ascii="Simplified Arabic" w:hAnsi="Simplified Arabic" w:cs="Simplified Arabic"/>
          <w:sz w:val="28"/>
          <w:szCs w:val="28"/>
          <w:rtl/>
          <w:lang w:eastAsia="en-GB"/>
        </w:rPr>
      </w:pPr>
    </w:p>
    <w:p w14:paraId="4D03B98A" w14:textId="77777777" w:rsidR="003E7AF1" w:rsidRDefault="003E7AF1" w:rsidP="003E7AF1">
      <w:pPr>
        <w:tabs>
          <w:tab w:val="left" w:pos="2699"/>
        </w:tabs>
        <w:ind w:firstLine="652"/>
        <w:jc w:val="both"/>
        <w:outlineLvl w:val="4"/>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وكذا بغرض الاستفادة من الدراسات السابقة في تحديد المتغيرات المستقلة التي تؤثر على المتغير التابع محور هذه الدراسة (التضخم مقاساً بالرقم القياسي لأسعار المستهلكين) وكذلك لمعرفة النماذج القياسية التي تم استخدامها في تلك الدراسات للتعرف على أفضل نموذج قياسي يمكن استخدامه وفقاً لشروط استخدامه وفي ضوء البيانات موضع هذه الدراسة، فسيتم استعراض النماذج القياسية المستخدمة والنتائج لبعض الدراسات التطبيقية على النحو التالي: </w:t>
      </w:r>
    </w:p>
    <w:p w14:paraId="22F1B1D9" w14:textId="77777777" w:rsidR="003E7AF1" w:rsidRDefault="003E7AF1" w:rsidP="003E7AF1">
      <w:pPr>
        <w:tabs>
          <w:tab w:val="left" w:pos="2699"/>
        </w:tabs>
        <w:ind w:firstLine="652"/>
        <w:jc w:val="both"/>
        <w:outlineLvl w:val="4"/>
        <w:rPr>
          <w:rFonts w:ascii="Simplified Arabic" w:hAnsi="Simplified Arabic" w:cs="Simplified Arabic"/>
          <w:sz w:val="28"/>
          <w:szCs w:val="28"/>
          <w:rtl/>
          <w:lang w:bidi="ar-EG"/>
        </w:rPr>
      </w:pPr>
    </w:p>
    <w:p w14:paraId="2D40915F" w14:textId="77777777" w:rsidR="003E7AF1" w:rsidRDefault="003E7AF1" w:rsidP="003E7AF1">
      <w:pPr>
        <w:jc w:val="center"/>
        <w:rPr>
          <w:rFonts w:ascii="Simplified Arabic" w:hAnsi="Simplified Arabic" w:cs="Simplified Arabic"/>
          <w:b/>
          <w:bCs/>
          <w:color w:val="000000" w:themeColor="text1"/>
          <w:sz w:val="24"/>
          <w:szCs w:val="24"/>
          <w:rtl/>
        </w:rPr>
      </w:pPr>
      <w:r>
        <w:rPr>
          <w:rFonts w:ascii="Simplified Arabic" w:hAnsi="Simplified Arabic" w:cs="Simplified Arabic"/>
          <w:b/>
          <w:bCs/>
          <w:color w:val="000000" w:themeColor="text1"/>
          <w:sz w:val="24"/>
          <w:szCs w:val="24"/>
          <w:rtl/>
        </w:rPr>
        <w:t>جدول رقم (1-1)</w:t>
      </w:r>
    </w:p>
    <w:p w14:paraId="2115C48D" w14:textId="77777777" w:rsidR="003E7AF1" w:rsidRDefault="003E7AF1" w:rsidP="003E7AF1">
      <w:pPr>
        <w:jc w:val="center"/>
        <w:rPr>
          <w:rFonts w:ascii="Simplified Arabic" w:hAnsi="Simplified Arabic" w:cs="Simplified Arabic"/>
          <w:b/>
          <w:bCs/>
          <w:color w:val="000000" w:themeColor="text1"/>
          <w:sz w:val="24"/>
          <w:szCs w:val="24"/>
          <w:rtl/>
        </w:rPr>
      </w:pPr>
      <w:r>
        <w:rPr>
          <w:rFonts w:ascii="Simplified Arabic" w:hAnsi="Simplified Arabic" w:cs="Simplified Arabic"/>
          <w:b/>
          <w:bCs/>
          <w:color w:val="000000" w:themeColor="text1"/>
          <w:sz w:val="24"/>
          <w:szCs w:val="24"/>
          <w:rtl/>
        </w:rPr>
        <w:t>النماذج القياسية المستخدمة في الدراسات السابقة</w:t>
      </w:r>
    </w:p>
    <w:p w14:paraId="5B22234C" w14:textId="77777777" w:rsidR="003E7AF1" w:rsidRDefault="003E7AF1" w:rsidP="003E7AF1">
      <w:pPr>
        <w:jc w:val="center"/>
        <w:rPr>
          <w:rFonts w:ascii="Simplified Arabic" w:hAnsi="Simplified Arabic" w:cs="Simplified Arabic"/>
          <w:color w:val="000000" w:themeColor="text1"/>
          <w:sz w:val="24"/>
          <w:szCs w:val="24"/>
          <w:rtl/>
        </w:rPr>
      </w:pPr>
      <w:r>
        <w:rPr>
          <w:rFonts w:ascii="Simplified Arabic" w:hAnsi="Simplified Arabic" w:cs="Simplified Arabic"/>
          <w:b/>
          <w:bCs/>
          <w:color w:val="000000" w:themeColor="text1"/>
          <w:sz w:val="24"/>
          <w:szCs w:val="24"/>
          <w:rtl/>
        </w:rPr>
        <w:t>والنتائج التي تم التوصل إليها</w:t>
      </w:r>
    </w:p>
    <w:tbl>
      <w:tblPr>
        <w:tblStyle w:val="a0"/>
        <w:bidiVisual/>
        <w:tblW w:w="9195" w:type="dxa"/>
        <w:jc w:val="center"/>
        <w:tblInd w:w="0" w:type="dxa"/>
        <w:tblLayout w:type="fixed"/>
        <w:tblLook w:val="04A0" w:firstRow="1" w:lastRow="0" w:firstColumn="1" w:lastColumn="0" w:noHBand="0" w:noVBand="1"/>
      </w:tblPr>
      <w:tblGrid>
        <w:gridCol w:w="1334"/>
        <w:gridCol w:w="1135"/>
        <w:gridCol w:w="1844"/>
        <w:gridCol w:w="2554"/>
        <w:gridCol w:w="2328"/>
      </w:tblGrid>
      <w:tr w:rsidR="003E7AF1" w14:paraId="7E433272" w14:textId="77777777" w:rsidTr="003E7AF1">
        <w:trPr>
          <w:trHeight w:val="840"/>
          <w:tblHeader/>
          <w:jc w:val="center"/>
        </w:trPr>
        <w:tc>
          <w:tcPr>
            <w:tcW w:w="1334" w:type="dxa"/>
            <w:tcBorders>
              <w:top w:val="single" w:sz="4" w:space="0" w:color="auto"/>
              <w:left w:val="single" w:sz="4" w:space="0" w:color="auto"/>
              <w:bottom w:val="single" w:sz="4" w:space="0" w:color="auto"/>
              <w:right w:val="single" w:sz="4" w:space="0" w:color="auto"/>
            </w:tcBorders>
            <w:vAlign w:val="center"/>
            <w:hideMark/>
          </w:tcPr>
          <w:p w14:paraId="47B0FECA" w14:textId="77777777" w:rsidR="003E7AF1" w:rsidRDefault="003E7AF1">
            <w:pPr>
              <w:jc w:val="center"/>
              <w:rPr>
                <w:rFonts w:ascii="Simplified Arabic" w:eastAsiaTheme="minorEastAsia" w:hAnsi="Simplified Arabic" w:cs="Simplified Arabic"/>
                <w:sz w:val="28"/>
                <w:szCs w:val="28"/>
                <w:rtl/>
                <w:lang w:bidi="ar-EG"/>
              </w:rPr>
            </w:pPr>
            <w:r>
              <w:rPr>
                <w:rFonts w:ascii="Simplified Arabic" w:hAnsi="Simplified Arabic" w:cs="Simplified Arabic"/>
                <w:sz w:val="28"/>
                <w:szCs w:val="28"/>
                <w:rtl/>
                <w:lang w:bidi="ar-EG"/>
              </w:rPr>
              <w:t>الدراسة</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2B5F9A"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الفترة/ الدولة</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6FF7714"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النموذج القياسي</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18815E8"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المتغيرات التابعة والمفسرة</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CBD1E60"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نتيجة الدراسة</w:t>
            </w:r>
          </w:p>
        </w:tc>
      </w:tr>
      <w:tr w:rsidR="003E7AF1" w14:paraId="7568CD44" w14:textId="77777777" w:rsidTr="003E7AF1">
        <w:trPr>
          <w:trHeight w:val="1443"/>
          <w:jc w:val="center"/>
        </w:trPr>
        <w:tc>
          <w:tcPr>
            <w:tcW w:w="1334" w:type="dxa"/>
            <w:tcBorders>
              <w:top w:val="single" w:sz="4" w:space="0" w:color="auto"/>
              <w:left w:val="single" w:sz="4" w:space="0" w:color="auto"/>
              <w:bottom w:val="single" w:sz="4" w:space="0" w:color="auto"/>
              <w:right w:val="single" w:sz="4" w:space="0" w:color="auto"/>
            </w:tcBorders>
            <w:hideMark/>
          </w:tcPr>
          <w:p w14:paraId="72F33D11"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ألفت عيسوي (2016)</w:t>
            </w:r>
            <w:r>
              <w:rPr>
                <w:rFonts w:ascii="Simplified Arabic" w:hAnsi="Simplified Arabic" w:cs="Simplified Arabic"/>
                <w:sz w:val="28"/>
                <w:szCs w:val="28"/>
                <w:vertAlign w:val="superscript"/>
                <w:rtl/>
                <w:lang w:bidi="ar-EG"/>
              </w:rPr>
              <w:t>(</w:t>
            </w:r>
            <w:r>
              <w:rPr>
                <w:rStyle w:val="FootnoteReference"/>
                <w:rFonts w:ascii="Simplified Arabic" w:hAnsi="Simplified Arabic" w:cs="Simplified Arabic"/>
                <w:sz w:val="28"/>
                <w:szCs w:val="28"/>
                <w:rtl/>
                <w:lang w:bidi="ar-EG"/>
              </w:rPr>
              <w:footnoteReference w:id="14"/>
            </w:r>
            <w:r>
              <w:rPr>
                <w:rFonts w:ascii="Simplified Arabic" w:hAnsi="Simplified Arabic" w:cs="Simplified Arabic"/>
                <w:sz w:val="28"/>
                <w:szCs w:val="28"/>
                <w:vertAlign w:val="superscript"/>
                <w:rtl/>
                <w:lang w:bidi="ar-EG"/>
              </w:rPr>
              <w:t>)</w:t>
            </w:r>
          </w:p>
        </w:tc>
        <w:tc>
          <w:tcPr>
            <w:tcW w:w="1134" w:type="dxa"/>
            <w:tcBorders>
              <w:top w:val="single" w:sz="4" w:space="0" w:color="auto"/>
              <w:left w:val="single" w:sz="4" w:space="0" w:color="auto"/>
              <w:bottom w:val="single" w:sz="4" w:space="0" w:color="auto"/>
              <w:right w:val="single" w:sz="4" w:space="0" w:color="auto"/>
            </w:tcBorders>
            <w:hideMark/>
          </w:tcPr>
          <w:p w14:paraId="787AA68A"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1990-2014</w:t>
            </w:r>
          </w:p>
          <w:p w14:paraId="1453F598"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(مصر)</w:t>
            </w:r>
          </w:p>
        </w:tc>
        <w:tc>
          <w:tcPr>
            <w:tcW w:w="1843" w:type="dxa"/>
            <w:tcBorders>
              <w:top w:val="single" w:sz="4" w:space="0" w:color="auto"/>
              <w:left w:val="single" w:sz="4" w:space="0" w:color="auto"/>
              <w:bottom w:val="single" w:sz="4" w:space="0" w:color="auto"/>
              <w:right w:val="single" w:sz="4" w:space="0" w:color="auto"/>
            </w:tcBorders>
            <w:hideMark/>
          </w:tcPr>
          <w:p w14:paraId="74018CA0"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lang w:bidi="ar-EG"/>
              </w:rPr>
              <w:t>(VAR)</w:t>
            </w:r>
            <w:r>
              <w:rPr>
                <w:rFonts w:ascii="Simplified Arabic" w:hAnsi="Simplified Arabic" w:cs="Simplified Arabic"/>
                <w:sz w:val="28"/>
                <w:szCs w:val="28"/>
                <w:vertAlign w:val="superscript"/>
                <w:rtl/>
                <w:lang w:bidi="ar-EG"/>
              </w:rPr>
              <w:t>(</w:t>
            </w:r>
            <w:r>
              <w:rPr>
                <w:rStyle w:val="FootnoteReference"/>
                <w:rFonts w:ascii="Simplified Arabic" w:hAnsi="Simplified Arabic" w:cs="Simplified Arabic"/>
                <w:sz w:val="28"/>
                <w:szCs w:val="28"/>
                <w:rtl/>
                <w:lang w:bidi="ar-EG"/>
              </w:rPr>
              <w:footnoteReference w:id="15"/>
            </w:r>
            <w:r>
              <w:rPr>
                <w:rFonts w:ascii="Simplified Arabic" w:hAnsi="Simplified Arabic" w:cs="Simplified Arabic"/>
                <w:sz w:val="28"/>
                <w:szCs w:val="28"/>
                <w:vertAlign w:val="superscript"/>
                <w:rtl/>
                <w:lang w:bidi="ar-EG"/>
              </w:rPr>
              <w:t>)</w:t>
            </w:r>
          </w:p>
        </w:tc>
        <w:tc>
          <w:tcPr>
            <w:tcW w:w="2552" w:type="dxa"/>
            <w:tcBorders>
              <w:top w:val="single" w:sz="4" w:space="0" w:color="auto"/>
              <w:left w:val="single" w:sz="4" w:space="0" w:color="auto"/>
              <w:bottom w:val="single" w:sz="4" w:space="0" w:color="auto"/>
              <w:right w:val="single" w:sz="4" w:space="0" w:color="auto"/>
            </w:tcBorders>
            <w:hideMark/>
          </w:tcPr>
          <w:p w14:paraId="7A7CD01B" w14:textId="77777777" w:rsidR="003E7AF1" w:rsidRDefault="003E7AF1">
            <w:pPr>
              <w:jc w:val="lowKashida"/>
              <w:rPr>
                <w:rFonts w:ascii="Simplified Arabic" w:hAnsi="Simplified Arabic" w:cs="Simplified Arabic"/>
                <w:sz w:val="28"/>
                <w:szCs w:val="28"/>
                <w:u w:val="single"/>
                <w:rtl/>
                <w:lang w:bidi="ar-EG"/>
              </w:rPr>
            </w:pPr>
            <w:r>
              <w:rPr>
                <w:rFonts w:ascii="Simplified Arabic" w:hAnsi="Simplified Arabic" w:cs="Simplified Arabic"/>
                <w:sz w:val="28"/>
                <w:szCs w:val="28"/>
                <w:u w:val="single"/>
                <w:rtl/>
                <w:lang w:bidi="ar-EG"/>
              </w:rPr>
              <w:t>المتغير التابع:</w:t>
            </w:r>
          </w:p>
          <w:p w14:paraId="214890EC"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التضخم مقاساً بالرقم القياسي لأسعار المستهلكين</w:t>
            </w:r>
          </w:p>
          <w:p w14:paraId="77EC83F9" w14:textId="77777777" w:rsidR="003E7AF1" w:rsidRDefault="003E7AF1">
            <w:pPr>
              <w:jc w:val="lowKashida"/>
              <w:rPr>
                <w:rFonts w:ascii="Simplified Arabic" w:hAnsi="Simplified Arabic" w:cs="Simplified Arabic"/>
                <w:sz w:val="28"/>
                <w:szCs w:val="28"/>
                <w:u w:val="single"/>
                <w:rtl/>
                <w:lang w:bidi="ar-EG"/>
              </w:rPr>
            </w:pPr>
            <w:r>
              <w:rPr>
                <w:rFonts w:ascii="Simplified Arabic" w:hAnsi="Simplified Arabic" w:cs="Simplified Arabic"/>
                <w:sz w:val="28"/>
                <w:szCs w:val="28"/>
                <w:u w:val="single"/>
                <w:rtl/>
                <w:lang w:bidi="ar-EG"/>
              </w:rPr>
              <w:t>المتغيرات المفسرة:</w:t>
            </w:r>
          </w:p>
          <w:p w14:paraId="478FEA48"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النقود بمعناها الواسع</w:t>
            </w:r>
          </w:p>
          <w:p w14:paraId="771BABB0"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سعر الصرف الحقيقي</w:t>
            </w:r>
          </w:p>
          <w:p w14:paraId="7B966F7A"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نسبة الواردات الغذائية من الواردات السلعية</w:t>
            </w:r>
          </w:p>
          <w:p w14:paraId="553F94EE"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عجز الموازنة كنسبة من الناتج المحلي الإجمالي</w:t>
            </w:r>
          </w:p>
          <w:p w14:paraId="034140D0"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الناتج المحلي الإجمالي الحقيقي</w:t>
            </w:r>
          </w:p>
        </w:tc>
        <w:tc>
          <w:tcPr>
            <w:tcW w:w="2326" w:type="dxa"/>
            <w:tcBorders>
              <w:top w:val="single" w:sz="4" w:space="0" w:color="auto"/>
              <w:left w:val="single" w:sz="4" w:space="0" w:color="auto"/>
              <w:bottom w:val="single" w:sz="4" w:space="0" w:color="auto"/>
              <w:right w:val="single" w:sz="4" w:space="0" w:color="auto"/>
            </w:tcBorders>
            <w:hideMark/>
          </w:tcPr>
          <w:p w14:paraId="79601093" w14:textId="77777777" w:rsidR="003E7AF1" w:rsidRDefault="003E7AF1">
            <w:pPr>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كل من المتغيرات عرض النقود، سعر الصرف، عجز الموازنة، التضخم المستورد، والناتج المحلي الإجمالي تلعب دور أساسي في تفسير التضخم في الاقتصاد المصري.</w:t>
            </w:r>
          </w:p>
        </w:tc>
      </w:tr>
      <w:tr w:rsidR="003E7AF1" w14:paraId="1F8740F6" w14:textId="77777777" w:rsidTr="003E7AF1">
        <w:trPr>
          <w:jc w:val="center"/>
        </w:trPr>
        <w:tc>
          <w:tcPr>
            <w:tcW w:w="1334" w:type="dxa"/>
            <w:tcBorders>
              <w:top w:val="single" w:sz="4" w:space="0" w:color="auto"/>
              <w:left w:val="single" w:sz="4" w:space="0" w:color="auto"/>
              <w:bottom w:val="single" w:sz="4" w:space="0" w:color="auto"/>
              <w:right w:val="single" w:sz="4" w:space="0" w:color="auto"/>
            </w:tcBorders>
            <w:hideMark/>
          </w:tcPr>
          <w:p w14:paraId="50978FD4"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إلهام البكر (2015)</w:t>
            </w:r>
            <w:r>
              <w:rPr>
                <w:rFonts w:ascii="Simplified Arabic" w:hAnsi="Simplified Arabic" w:cs="Simplified Arabic"/>
                <w:sz w:val="28"/>
                <w:szCs w:val="28"/>
                <w:vertAlign w:val="superscript"/>
                <w:rtl/>
                <w:lang w:bidi="ar-EG"/>
              </w:rPr>
              <w:t xml:space="preserve"> (</w:t>
            </w:r>
            <w:r>
              <w:rPr>
                <w:rStyle w:val="FootnoteReference"/>
                <w:rFonts w:ascii="Simplified Arabic" w:hAnsi="Simplified Arabic" w:cs="Simplified Arabic"/>
                <w:sz w:val="28"/>
                <w:szCs w:val="28"/>
                <w:rtl/>
                <w:lang w:bidi="ar-EG"/>
              </w:rPr>
              <w:footnoteReference w:id="16"/>
            </w:r>
            <w:r>
              <w:rPr>
                <w:rFonts w:ascii="Simplified Arabic" w:hAnsi="Simplified Arabic" w:cs="Simplified Arabic"/>
                <w:sz w:val="28"/>
                <w:szCs w:val="28"/>
                <w:vertAlign w:val="superscript"/>
                <w:rtl/>
                <w:lang w:bidi="ar-EG"/>
              </w:rPr>
              <w:t>)</w:t>
            </w:r>
          </w:p>
        </w:tc>
        <w:tc>
          <w:tcPr>
            <w:tcW w:w="1134" w:type="dxa"/>
            <w:tcBorders>
              <w:top w:val="single" w:sz="4" w:space="0" w:color="auto"/>
              <w:left w:val="single" w:sz="4" w:space="0" w:color="auto"/>
              <w:bottom w:val="single" w:sz="4" w:space="0" w:color="auto"/>
              <w:right w:val="single" w:sz="4" w:space="0" w:color="auto"/>
            </w:tcBorders>
            <w:hideMark/>
          </w:tcPr>
          <w:p w14:paraId="6175A808"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1990-2010</w:t>
            </w:r>
          </w:p>
          <w:p w14:paraId="79BC29F2"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(مصر)</w:t>
            </w:r>
          </w:p>
        </w:tc>
        <w:tc>
          <w:tcPr>
            <w:tcW w:w="1843" w:type="dxa"/>
            <w:tcBorders>
              <w:top w:val="single" w:sz="4" w:space="0" w:color="auto"/>
              <w:left w:val="single" w:sz="4" w:space="0" w:color="auto"/>
              <w:bottom w:val="single" w:sz="4" w:space="0" w:color="auto"/>
              <w:right w:val="single" w:sz="4" w:space="0" w:color="auto"/>
            </w:tcBorders>
            <w:hideMark/>
          </w:tcPr>
          <w:p w14:paraId="42A23076"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lang w:bidi="ar-EG"/>
              </w:rPr>
              <w:t>(OLS)</w:t>
            </w:r>
            <w:r>
              <w:rPr>
                <w:rFonts w:ascii="Simplified Arabic" w:hAnsi="Simplified Arabic" w:cs="Simplified Arabic"/>
                <w:sz w:val="28"/>
                <w:szCs w:val="28"/>
                <w:vertAlign w:val="superscript"/>
                <w:rtl/>
                <w:lang w:bidi="ar-EG"/>
              </w:rPr>
              <w:t xml:space="preserve"> (</w:t>
            </w:r>
            <w:r>
              <w:rPr>
                <w:rStyle w:val="FootnoteReference"/>
                <w:rFonts w:ascii="Simplified Arabic" w:hAnsi="Simplified Arabic" w:cs="Simplified Arabic"/>
                <w:sz w:val="28"/>
                <w:szCs w:val="28"/>
                <w:rtl/>
                <w:lang w:bidi="ar-EG"/>
              </w:rPr>
              <w:footnoteReference w:id="17"/>
            </w:r>
            <w:r>
              <w:rPr>
                <w:rFonts w:ascii="Simplified Arabic" w:hAnsi="Simplified Arabic" w:cs="Simplified Arabic"/>
                <w:sz w:val="28"/>
                <w:szCs w:val="28"/>
                <w:vertAlign w:val="superscript"/>
                <w:rtl/>
                <w:lang w:bidi="ar-EG"/>
              </w:rPr>
              <w:t>)</w:t>
            </w:r>
          </w:p>
        </w:tc>
        <w:tc>
          <w:tcPr>
            <w:tcW w:w="2552" w:type="dxa"/>
            <w:tcBorders>
              <w:top w:val="single" w:sz="4" w:space="0" w:color="auto"/>
              <w:left w:val="single" w:sz="4" w:space="0" w:color="auto"/>
              <w:bottom w:val="single" w:sz="4" w:space="0" w:color="auto"/>
              <w:right w:val="single" w:sz="4" w:space="0" w:color="auto"/>
            </w:tcBorders>
            <w:hideMark/>
          </w:tcPr>
          <w:p w14:paraId="6329E8F8" w14:textId="77777777" w:rsidR="003E7AF1" w:rsidRDefault="003E7AF1">
            <w:pPr>
              <w:jc w:val="lowKashida"/>
              <w:rPr>
                <w:rFonts w:ascii="Simplified Arabic" w:hAnsi="Simplified Arabic" w:cs="Simplified Arabic"/>
                <w:sz w:val="28"/>
                <w:szCs w:val="28"/>
                <w:u w:val="single"/>
                <w:lang w:bidi="ar-EG"/>
              </w:rPr>
            </w:pPr>
            <w:r>
              <w:rPr>
                <w:rFonts w:ascii="Simplified Arabic" w:hAnsi="Simplified Arabic" w:cs="Simplified Arabic"/>
                <w:sz w:val="28"/>
                <w:szCs w:val="28"/>
                <w:u w:val="single"/>
                <w:rtl/>
                <w:lang w:bidi="ar-EG"/>
              </w:rPr>
              <w:t>المتغير التابع:</w:t>
            </w:r>
          </w:p>
          <w:p w14:paraId="59DB6495"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معدل الركود التضخمي</w:t>
            </w:r>
            <w:r>
              <w:rPr>
                <w:rFonts w:ascii="Simplified Arabic" w:hAnsi="Simplified Arabic" w:cs="Simplified Arabic"/>
                <w:sz w:val="28"/>
                <w:szCs w:val="28"/>
                <w:vertAlign w:val="superscript"/>
                <w:rtl/>
                <w:lang w:bidi="ar-EG"/>
              </w:rPr>
              <w:t>(</w:t>
            </w:r>
            <w:r>
              <w:rPr>
                <w:rStyle w:val="FootnoteReference"/>
                <w:rFonts w:ascii="Simplified Arabic" w:hAnsi="Simplified Arabic" w:cs="Simplified Arabic"/>
                <w:sz w:val="28"/>
                <w:szCs w:val="28"/>
                <w:rtl/>
                <w:lang w:bidi="ar-EG"/>
              </w:rPr>
              <w:footnoteReference w:id="18"/>
            </w:r>
            <w:r>
              <w:rPr>
                <w:rFonts w:ascii="Simplified Arabic" w:hAnsi="Simplified Arabic" w:cs="Simplified Arabic"/>
                <w:sz w:val="28"/>
                <w:szCs w:val="28"/>
                <w:vertAlign w:val="superscript"/>
                <w:rtl/>
                <w:lang w:bidi="ar-EG"/>
              </w:rPr>
              <w:t>)</w:t>
            </w:r>
          </w:p>
          <w:p w14:paraId="50AE96F2" w14:textId="77777777" w:rsidR="003E7AF1" w:rsidRDefault="003E7AF1">
            <w:pPr>
              <w:jc w:val="lowKashida"/>
              <w:rPr>
                <w:rFonts w:ascii="Simplified Arabic" w:hAnsi="Simplified Arabic" w:cs="Simplified Arabic"/>
                <w:sz w:val="28"/>
                <w:szCs w:val="28"/>
                <w:u w:val="single"/>
                <w:rtl/>
                <w:lang w:bidi="ar-EG"/>
              </w:rPr>
            </w:pPr>
            <w:r>
              <w:rPr>
                <w:rFonts w:ascii="Simplified Arabic" w:hAnsi="Simplified Arabic" w:cs="Simplified Arabic"/>
                <w:sz w:val="28"/>
                <w:szCs w:val="28"/>
                <w:u w:val="single"/>
                <w:rtl/>
                <w:lang w:bidi="ar-EG"/>
              </w:rPr>
              <w:t>المتغيرات المستقلة:</w:t>
            </w:r>
          </w:p>
          <w:p w14:paraId="54E1B48E"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العرض النقدي</w:t>
            </w:r>
          </w:p>
          <w:p w14:paraId="71D881FA"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الإنفاق الحكومي</w:t>
            </w:r>
          </w:p>
          <w:p w14:paraId="19FF3E39"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أسعار الواردات</w:t>
            </w:r>
          </w:p>
          <w:p w14:paraId="7002C17C"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سعر الفائدة الحقيقي</w:t>
            </w:r>
          </w:p>
          <w:p w14:paraId="34C59567"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سعر الصرف</w:t>
            </w:r>
          </w:p>
        </w:tc>
        <w:tc>
          <w:tcPr>
            <w:tcW w:w="2326" w:type="dxa"/>
            <w:tcBorders>
              <w:top w:val="single" w:sz="4" w:space="0" w:color="auto"/>
              <w:left w:val="single" w:sz="4" w:space="0" w:color="auto"/>
              <w:bottom w:val="single" w:sz="4" w:space="0" w:color="auto"/>
              <w:right w:val="single" w:sz="4" w:space="0" w:color="auto"/>
            </w:tcBorders>
            <w:hideMark/>
          </w:tcPr>
          <w:p w14:paraId="1B0164DD" w14:textId="77777777" w:rsidR="003E7AF1" w:rsidRDefault="003E7AF1">
            <w:pPr>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إن الإنفاق الحكومي يؤثر سلباً على معدل الركود التضخمي، في حين يؤثر العرض النقدي وأسعار الواردات طردياً على معدل الركود التضخمي.</w:t>
            </w:r>
          </w:p>
        </w:tc>
      </w:tr>
      <w:tr w:rsidR="003E7AF1" w14:paraId="7D6D29BE" w14:textId="77777777" w:rsidTr="003E7AF1">
        <w:trPr>
          <w:trHeight w:val="1984"/>
          <w:jc w:val="center"/>
        </w:trPr>
        <w:tc>
          <w:tcPr>
            <w:tcW w:w="1334" w:type="dxa"/>
            <w:tcBorders>
              <w:top w:val="single" w:sz="4" w:space="0" w:color="auto"/>
              <w:left w:val="single" w:sz="4" w:space="0" w:color="auto"/>
              <w:bottom w:val="single" w:sz="4" w:space="0" w:color="auto"/>
              <w:right w:val="single" w:sz="4" w:space="0" w:color="auto"/>
            </w:tcBorders>
            <w:hideMark/>
          </w:tcPr>
          <w:p w14:paraId="22D3EC92"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shd w:val="clear" w:color="auto" w:fill="FFFFFF"/>
              </w:rPr>
              <w:t>Bakare; Adesanya; Bolarinwa (2014)</w:t>
            </w:r>
            <w:r>
              <w:rPr>
                <w:rFonts w:ascii="Simplified Arabic" w:hAnsi="Simplified Arabic" w:cs="Simplified Arabic"/>
                <w:sz w:val="28"/>
                <w:szCs w:val="28"/>
                <w:rtl/>
                <w:lang w:bidi="ar-EG"/>
              </w:rPr>
              <w:t xml:space="preserve"> </w:t>
            </w:r>
            <w:r>
              <w:rPr>
                <w:rFonts w:ascii="Simplified Arabic" w:hAnsi="Simplified Arabic" w:cs="Simplified Arabic"/>
                <w:sz w:val="28"/>
                <w:szCs w:val="28"/>
                <w:vertAlign w:val="superscript"/>
                <w:rtl/>
                <w:lang w:bidi="ar-EG"/>
              </w:rPr>
              <w:t>(</w:t>
            </w:r>
            <w:r>
              <w:rPr>
                <w:rStyle w:val="FootnoteReference"/>
                <w:rFonts w:ascii="Simplified Arabic" w:hAnsi="Simplified Arabic" w:cs="Simplified Arabic"/>
                <w:sz w:val="28"/>
                <w:szCs w:val="28"/>
                <w:rtl/>
                <w:lang w:bidi="ar-EG"/>
              </w:rPr>
              <w:footnoteReference w:id="19"/>
            </w:r>
            <w:r>
              <w:rPr>
                <w:rFonts w:ascii="Simplified Arabic" w:hAnsi="Simplified Arabic" w:cs="Simplified Arabic"/>
                <w:sz w:val="28"/>
                <w:szCs w:val="28"/>
                <w:vertAlign w:val="superscript"/>
                <w:rtl/>
                <w:lang w:bidi="ar-EG"/>
              </w:rPr>
              <w:t>)</w:t>
            </w:r>
          </w:p>
        </w:tc>
        <w:tc>
          <w:tcPr>
            <w:tcW w:w="1134" w:type="dxa"/>
            <w:tcBorders>
              <w:top w:val="single" w:sz="4" w:space="0" w:color="auto"/>
              <w:left w:val="single" w:sz="4" w:space="0" w:color="auto"/>
              <w:bottom w:val="single" w:sz="4" w:space="0" w:color="auto"/>
              <w:right w:val="single" w:sz="4" w:space="0" w:color="auto"/>
            </w:tcBorders>
            <w:hideMark/>
          </w:tcPr>
          <w:p w14:paraId="3727504A" w14:textId="77777777" w:rsidR="003E7AF1" w:rsidRDefault="003E7AF1">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1975-2012</w:t>
            </w:r>
          </w:p>
          <w:p w14:paraId="7A400A02"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(نيجريا)</w:t>
            </w:r>
          </w:p>
        </w:tc>
        <w:tc>
          <w:tcPr>
            <w:tcW w:w="1843" w:type="dxa"/>
            <w:tcBorders>
              <w:top w:val="single" w:sz="4" w:space="0" w:color="auto"/>
              <w:left w:val="single" w:sz="4" w:space="0" w:color="auto"/>
              <w:bottom w:val="single" w:sz="4" w:space="0" w:color="auto"/>
              <w:right w:val="single" w:sz="4" w:space="0" w:color="auto"/>
            </w:tcBorders>
            <w:hideMark/>
          </w:tcPr>
          <w:p w14:paraId="05CCFAD9"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lang w:bidi="ar-EG"/>
              </w:rPr>
              <w:t>Johansen</w:t>
            </w:r>
          </w:p>
          <w:p w14:paraId="23BFFDB9" w14:textId="77777777" w:rsidR="003E7AF1" w:rsidRDefault="003E7AF1">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Co-integration Test</w:t>
            </w:r>
          </w:p>
          <w:p w14:paraId="1775601A"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lang w:bidi="ar-EG"/>
              </w:rPr>
              <w:t>(ECM)</w:t>
            </w:r>
            <w:r>
              <w:rPr>
                <w:rFonts w:ascii="Simplified Arabic" w:hAnsi="Simplified Arabic" w:cs="Simplified Arabic"/>
                <w:sz w:val="28"/>
                <w:szCs w:val="28"/>
                <w:vertAlign w:val="superscript"/>
                <w:rtl/>
                <w:lang w:bidi="ar-EG"/>
              </w:rPr>
              <w:t xml:space="preserve"> (</w:t>
            </w:r>
            <w:r>
              <w:rPr>
                <w:rStyle w:val="FootnoteReference"/>
                <w:rFonts w:ascii="Simplified Arabic" w:hAnsi="Simplified Arabic" w:cs="Simplified Arabic"/>
                <w:sz w:val="28"/>
                <w:szCs w:val="28"/>
                <w:rtl/>
                <w:lang w:bidi="ar-EG"/>
              </w:rPr>
              <w:footnoteReference w:id="20"/>
            </w:r>
            <w:r>
              <w:rPr>
                <w:rFonts w:ascii="Simplified Arabic" w:hAnsi="Simplified Arabic" w:cs="Simplified Arabic"/>
                <w:sz w:val="28"/>
                <w:szCs w:val="28"/>
                <w:vertAlign w:val="superscript"/>
                <w:rtl/>
                <w:lang w:bidi="ar-EG"/>
              </w:rPr>
              <w:t>)</w:t>
            </w:r>
          </w:p>
        </w:tc>
        <w:tc>
          <w:tcPr>
            <w:tcW w:w="2552" w:type="dxa"/>
            <w:tcBorders>
              <w:top w:val="single" w:sz="4" w:space="0" w:color="auto"/>
              <w:left w:val="single" w:sz="4" w:space="0" w:color="auto"/>
              <w:bottom w:val="single" w:sz="4" w:space="0" w:color="auto"/>
              <w:right w:val="single" w:sz="4" w:space="0" w:color="auto"/>
            </w:tcBorders>
          </w:tcPr>
          <w:p w14:paraId="0CF47A46" w14:textId="77777777" w:rsidR="003E7AF1" w:rsidRDefault="003E7AF1">
            <w:pPr>
              <w:jc w:val="lowKashida"/>
              <w:rPr>
                <w:rFonts w:ascii="Simplified Arabic" w:hAnsi="Simplified Arabic" w:cs="Simplified Arabic"/>
                <w:sz w:val="28"/>
                <w:szCs w:val="28"/>
                <w:u w:val="single"/>
                <w:rtl/>
                <w:lang w:bidi="ar-EG"/>
              </w:rPr>
            </w:pPr>
            <w:r>
              <w:rPr>
                <w:rFonts w:ascii="Simplified Arabic" w:hAnsi="Simplified Arabic" w:cs="Simplified Arabic"/>
                <w:sz w:val="28"/>
                <w:szCs w:val="28"/>
                <w:u w:val="single"/>
                <w:rtl/>
                <w:lang w:bidi="ar-EG"/>
              </w:rPr>
              <w:t>المتغير التابع:</w:t>
            </w:r>
          </w:p>
          <w:p w14:paraId="1A038515"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معدل التضخم</w:t>
            </w:r>
          </w:p>
          <w:p w14:paraId="14152C35" w14:textId="77777777" w:rsidR="003E7AF1" w:rsidRDefault="003E7AF1">
            <w:pPr>
              <w:pStyle w:val="ListParagraph"/>
              <w:spacing w:after="0" w:line="240" w:lineRule="auto"/>
              <w:ind w:left="184"/>
              <w:jc w:val="lowKashida"/>
              <w:rPr>
                <w:rFonts w:ascii="Simplified Arabic" w:hAnsi="Simplified Arabic" w:cs="Simplified Arabic"/>
                <w:sz w:val="28"/>
                <w:szCs w:val="28"/>
                <w:lang w:bidi="ar-EG"/>
              </w:rPr>
            </w:pPr>
          </w:p>
          <w:p w14:paraId="0B4D9BDD" w14:textId="77777777" w:rsidR="003E7AF1" w:rsidRDefault="003E7AF1">
            <w:pPr>
              <w:jc w:val="lowKashida"/>
              <w:rPr>
                <w:rFonts w:ascii="Simplified Arabic" w:hAnsi="Simplified Arabic" w:cs="Simplified Arabic"/>
                <w:sz w:val="28"/>
                <w:szCs w:val="28"/>
                <w:u w:val="single"/>
                <w:rtl/>
                <w:lang w:bidi="ar-EG"/>
              </w:rPr>
            </w:pPr>
            <w:r>
              <w:rPr>
                <w:rFonts w:ascii="Simplified Arabic" w:hAnsi="Simplified Arabic" w:cs="Simplified Arabic"/>
                <w:sz w:val="28"/>
                <w:szCs w:val="28"/>
                <w:u w:val="single"/>
                <w:rtl/>
                <w:lang w:bidi="ar-EG"/>
              </w:rPr>
              <w:t>المتغيرات المستقلة:</w:t>
            </w:r>
          </w:p>
          <w:p w14:paraId="3B612003"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نمو عرض النقود</w:t>
            </w:r>
          </w:p>
          <w:p w14:paraId="1815EBCF"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نمو الناتج المحلي الإجمالي</w:t>
            </w:r>
          </w:p>
          <w:p w14:paraId="1C041A13"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نمو عجز الموازنة العامة للدولة نسبة إلى الناتج المحلي الإجمالي</w:t>
            </w:r>
          </w:p>
          <w:p w14:paraId="64691561"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نمو الدين الخارجي نسبة إلى الناتج المحلي الإجمالي</w:t>
            </w:r>
          </w:p>
          <w:p w14:paraId="2E661935" w14:textId="77777777" w:rsidR="003E7AF1" w:rsidRDefault="003E7AF1">
            <w:pPr>
              <w:pStyle w:val="ListParagraph"/>
              <w:spacing w:after="0" w:line="240" w:lineRule="auto"/>
              <w:ind w:left="184"/>
              <w:jc w:val="lowKashida"/>
              <w:rPr>
                <w:rFonts w:ascii="Simplified Arabic" w:hAnsi="Simplified Arabic" w:cs="Simplified Arabic"/>
                <w:sz w:val="28"/>
                <w:szCs w:val="28"/>
                <w:lang w:bidi="ar-EG"/>
              </w:rPr>
            </w:pPr>
          </w:p>
        </w:tc>
        <w:tc>
          <w:tcPr>
            <w:tcW w:w="2326" w:type="dxa"/>
            <w:tcBorders>
              <w:top w:val="single" w:sz="4" w:space="0" w:color="auto"/>
              <w:left w:val="single" w:sz="4" w:space="0" w:color="auto"/>
              <w:bottom w:val="single" w:sz="4" w:space="0" w:color="auto"/>
              <w:right w:val="single" w:sz="4" w:space="0" w:color="auto"/>
            </w:tcBorders>
            <w:hideMark/>
          </w:tcPr>
          <w:p w14:paraId="1DE1E078" w14:textId="77777777" w:rsidR="003E7AF1" w:rsidRDefault="003E7AF1">
            <w:pPr>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أن هناك علاقة طردية معنوية بين التضخم ونمو عرض النقود، ونمو عجز الموازنة، ونمو الدين الخارجي، كما أشار نموذج تصحيح الخطأ إلى أن 132% من الأخطاء في المدى القصير يتم تصحيحها على المدى الطويل.</w:t>
            </w:r>
          </w:p>
        </w:tc>
      </w:tr>
      <w:tr w:rsidR="003E7AF1" w14:paraId="709BF11E" w14:textId="77777777" w:rsidTr="003E7AF1">
        <w:trPr>
          <w:trHeight w:val="1982"/>
          <w:jc w:val="center"/>
        </w:trPr>
        <w:tc>
          <w:tcPr>
            <w:tcW w:w="1334" w:type="dxa"/>
            <w:tcBorders>
              <w:top w:val="single" w:sz="4" w:space="0" w:color="auto"/>
              <w:left w:val="single" w:sz="4" w:space="0" w:color="auto"/>
              <w:bottom w:val="single" w:sz="4" w:space="0" w:color="auto"/>
              <w:right w:val="single" w:sz="4" w:space="0" w:color="auto"/>
            </w:tcBorders>
            <w:hideMark/>
          </w:tcPr>
          <w:p w14:paraId="5FE7492B"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حسين الزهوي (2010)</w:t>
            </w:r>
            <w:r>
              <w:rPr>
                <w:rFonts w:ascii="Simplified Arabic" w:hAnsi="Simplified Arabic" w:cs="Simplified Arabic"/>
                <w:sz w:val="28"/>
                <w:szCs w:val="28"/>
                <w:vertAlign w:val="superscript"/>
                <w:rtl/>
                <w:lang w:bidi="ar-EG"/>
              </w:rPr>
              <w:t>(</w:t>
            </w:r>
            <w:r>
              <w:rPr>
                <w:rStyle w:val="FootnoteReference"/>
                <w:rFonts w:ascii="Simplified Arabic" w:hAnsi="Simplified Arabic" w:cs="Simplified Arabic"/>
                <w:sz w:val="28"/>
                <w:szCs w:val="28"/>
                <w:rtl/>
                <w:lang w:bidi="ar-EG"/>
              </w:rPr>
              <w:footnoteReference w:id="21"/>
            </w:r>
            <w:r>
              <w:rPr>
                <w:rFonts w:ascii="Simplified Arabic" w:hAnsi="Simplified Arabic" w:cs="Simplified Arabic"/>
                <w:sz w:val="28"/>
                <w:szCs w:val="28"/>
                <w:vertAlign w:val="superscript"/>
                <w:rtl/>
                <w:lang w:bidi="ar-EG"/>
              </w:rPr>
              <w:t>)</w:t>
            </w:r>
          </w:p>
        </w:tc>
        <w:tc>
          <w:tcPr>
            <w:tcW w:w="1134" w:type="dxa"/>
            <w:tcBorders>
              <w:top w:val="single" w:sz="4" w:space="0" w:color="auto"/>
              <w:left w:val="single" w:sz="4" w:space="0" w:color="auto"/>
              <w:bottom w:val="single" w:sz="4" w:space="0" w:color="auto"/>
              <w:right w:val="single" w:sz="4" w:space="0" w:color="auto"/>
            </w:tcBorders>
            <w:hideMark/>
          </w:tcPr>
          <w:p w14:paraId="46EEED3C"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1986-2006</w:t>
            </w:r>
          </w:p>
          <w:p w14:paraId="570FDEE0"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(مصر)</w:t>
            </w:r>
          </w:p>
        </w:tc>
        <w:tc>
          <w:tcPr>
            <w:tcW w:w="1843" w:type="dxa"/>
            <w:tcBorders>
              <w:top w:val="single" w:sz="4" w:space="0" w:color="auto"/>
              <w:left w:val="single" w:sz="4" w:space="0" w:color="auto"/>
              <w:bottom w:val="single" w:sz="4" w:space="0" w:color="auto"/>
              <w:right w:val="single" w:sz="4" w:space="0" w:color="auto"/>
            </w:tcBorders>
            <w:hideMark/>
          </w:tcPr>
          <w:p w14:paraId="16E62D8A" w14:textId="77777777" w:rsidR="003E7AF1" w:rsidRDefault="003E7AF1">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Co-integration Model</w:t>
            </w:r>
          </w:p>
        </w:tc>
        <w:tc>
          <w:tcPr>
            <w:tcW w:w="2552" w:type="dxa"/>
            <w:tcBorders>
              <w:top w:val="single" w:sz="4" w:space="0" w:color="auto"/>
              <w:left w:val="single" w:sz="4" w:space="0" w:color="auto"/>
              <w:bottom w:val="single" w:sz="4" w:space="0" w:color="auto"/>
              <w:right w:val="single" w:sz="4" w:space="0" w:color="auto"/>
            </w:tcBorders>
          </w:tcPr>
          <w:p w14:paraId="176DCBC5" w14:textId="77777777" w:rsidR="003E7AF1" w:rsidRDefault="003E7AF1">
            <w:pPr>
              <w:jc w:val="lowKashida"/>
              <w:rPr>
                <w:rFonts w:ascii="Simplified Arabic" w:hAnsi="Simplified Arabic" w:cs="Simplified Arabic"/>
                <w:sz w:val="28"/>
                <w:szCs w:val="28"/>
                <w:u w:val="single"/>
                <w:lang w:bidi="ar-EG"/>
              </w:rPr>
            </w:pPr>
            <w:r>
              <w:rPr>
                <w:rFonts w:ascii="Simplified Arabic" w:hAnsi="Simplified Arabic" w:cs="Simplified Arabic"/>
                <w:sz w:val="28"/>
                <w:szCs w:val="28"/>
                <w:u w:val="single"/>
                <w:rtl/>
                <w:lang w:bidi="ar-EG"/>
              </w:rPr>
              <w:t>المتغير التابع:</w:t>
            </w:r>
          </w:p>
          <w:p w14:paraId="6A2F06BA"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التضخم مقاسا بالرقم القياسي لأسعار المستهلكين</w:t>
            </w:r>
          </w:p>
          <w:p w14:paraId="2921F652" w14:textId="77777777" w:rsidR="003E7AF1" w:rsidRDefault="003E7AF1">
            <w:pPr>
              <w:pStyle w:val="ListParagraph"/>
              <w:spacing w:after="0" w:line="240" w:lineRule="auto"/>
              <w:ind w:left="184"/>
              <w:jc w:val="lowKashida"/>
              <w:rPr>
                <w:rFonts w:ascii="Simplified Arabic" w:hAnsi="Simplified Arabic" w:cs="Simplified Arabic"/>
                <w:sz w:val="28"/>
                <w:szCs w:val="28"/>
                <w:lang w:bidi="ar-EG"/>
              </w:rPr>
            </w:pPr>
          </w:p>
          <w:p w14:paraId="16F37F15" w14:textId="77777777" w:rsidR="003E7AF1" w:rsidRDefault="003E7AF1">
            <w:pPr>
              <w:jc w:val="lowKashida"/>
              <w:rPr>
                <w:rFonts w:ascii="Simplified Arabic" w:hAnsi="Simplified Arabic" w:cs="Simplified Arabic"/>
                <w:sz w:val="28"/>
                <w:szCs w:val="28"/>
                <w:u w:val="single"/>
                <w:rtl/>
                <w:lang w:bidi="ar-EG"/>
              </w:rPr>
            </w:pPr>
            <w:r>
              <w:rPr>
                <w:rFonts w:ascii="Simplified Arabic" w:hAnsi="Simplified Arabic" w:cs="Simplified Arabic"/>
                <w:sz w:val="28"/>
                <w:szCs w:val="28"/>
                <w:u w:val="single"/>
                <w:rtl/>
                <w:lang w:bidi="ar-EG"/>
              </w:rPr>
              <w:t>المتغيرات المفسرة:</w:t>
            </w:r>
          </w:p>
          <w:p w14:paraId="165F138F"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الناتج المحلي الإجمالي الحقيقي</w:t>
            </w:r>
          </w:p>
          <w:p w14:paraId="587E2100"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سعر الصرف الاسمي</w:t>
            </w:r>
          </w:p>
          <w:p w14:paraId="79C4E4D9"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سعر الفائدة الاسمي</w:t>
            </w:r>
          </w:p>
          <w:p w14:paraId="118C4F99"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النقود بمعناها الواسع </w:t>
            </w:r>
            <w:r>
              <w:rPr>
                <w:rFonts w:ascii="Simplified Arabic" w:hAnsi="Simplified Arabic" w:cs="Simplified Arabic"/>
                <w:sz w:val="28"/>
                <w:szCs w:val="28"/>
                <w:lang w:bidi="ar-EG"/>
              </w:rPr>
              <w:t>M2</w:t>
            </w:r>
          </w:p>
          <w:p w14:paraId="4ED65050" w14:textId="77777777" w:rsidR="003E7AF1" w:rsidRDefault="003E7AF1">
            <w:pPr>
              <w:pStyle w:val="ListParagraph"/>
              <w:spacing w:after="0" w:line="240" w:lineRule="auto"/>
              <w:ind w:left="184"/>
              <w:jc w:val="lowKashida"/>
              <w:rPr>
                <w:rFonts w:ascii="Simplified Arabic" w:hAnsi="Simplified Arabic" w:cs="Simplified Arabic"/>
                <w:sz w:val="28"/>
                <w:szCs w:val="28"/>
                <w:lang w:bidi="ar-EG"/>
              </w:rPr>
            </w:pPr>
          </w:p>
        </w:tc>
        <w:tc>
          <w:tcPr>
            <w:tcW w:w="2326" w:type="dxa"/>
            <w:tcBorders>
              <w:top w:val="single" w:sz="4" w:space="0" w:color="auto"/>
              <w:left w:val="single" w:sz="4" w:space="0" w:color="auto"/>
              <w:bottom w:val="single" w:sz="4" w:space="0" w:color="auto"/>
              <w:right w:val="single" w:sz="4" w:space="0" w:color="auto"/>
            </w:tcBorders>
            <w:hideMark/>
          </w:tcPr>
          <w:p w14:paraId="0ED3DB97" w14:textId="77777777" w:rsidR="003E7AF1" w:rsidRDefault="003E7AF1">
            <w:pPr>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إن المتغيرات المستقلة المتضمنة في النموذج وهي النقود بمعناها الواسع، وسعر الصرف الاسمي تستطيع تفسير ما يقرب من 84% من التغيرات التي تطرأ على المتغير التابع وهو معدل التضخم.</w:t>
            </w:r>
          </w:p>
        </w:tc>
      </w:tr>
      <w:tr w:rsidR="003E7AF1" w14:paraId="403C10BF" w14:textId="77777777" w:rsidTr="003E7AF1">
        <w:trPr>
          <w:trHeight w:val="2805"/>
          <w:jc w:val="center"/>
        </w:trPr>
        <w:tc>
          <w:tcPr>
            <w:tcW w:w="1334" w:type="dxa"/>
            <w:tcBorders>
              <w:top w:val="single" w:sz="4" w:space="0" w:color="auto"/>
              <w:left w:val="single" w:sz="4" w:space="0" w:color="auto"/>
              <w:bottom w:val="single" w:sz="4" w:space="0" w:color="auto"/>
              <w:right w:val="single" w:sz="4" w:space="0" w:color="auto"/>
            </w:tcBorders>
            <w:hideMark/>
          </w:tcPr>
          <w:p w14:paraId="297DEDC2"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رانيا معوض (</w:t>
            </w:r>
            <w:r>
              <w:rPr>
                <w:rFonts w:ascii="Simplified Arabic" w:hAnsi="Simplified Arabic" w:cs="Simplified Arabic"/>
                <w:sz w:val="28"/>
                <w:szCs w:val="28"/>
                <w:rtl/>
                <w:lang w:eastAsia="en-GB"/>
              </w:rPr>
              <w:t>2010</w:t>
            </w:r>
            <w:r>
              <w:rPr>
                <w:rFonts w:ascii="Simplified Arabic" w:hAnsi="Simplified Arabic" w:cs="Simplified Arabic"/>
                <w:sz w:val="28"/>
                <w:szCs w:val="28"/>
                <w:rtl/>
                <w:lang w:bidi="ar-EG"/>
              </w:rPr>
              <w:t>)</w:t>
            </w:r>
            <w:r>
              <w:rPr>
                <w:rFonts w:ascii="Simplified Arabic" w:hAnsi="Simplified Arabic" w:cs="Simplified Arabic"/>
                <w:sz w:val="28"/>
                <w:szCs w:val="28"/>
                <w:vertAlign w:val="superscript"/>
                <w:rtl/>
                <w:lang w:bidi="ar-EG"/>
              </w:rPr>
              <w:t xml:space="preserve"> (</w:t>
            </w:r>
            <w:r>
              <w:rPr>
                <w:rStyle w:val="FootnoteReference"/>
                <w:rFonts w:ascii="Simplified Arabic" w:hAnsi="Simplified Arabic" w:cs="Simplified Arabic"/>
                <w:sz w:val="28"/>
                <w:szCs w:val="28"/>
                <w:rtl/>
                <w:lang w:bidi="ar-EG"/>
              </w:rPr>
              <w:footnoteReference w:id="22"/>
            </w:r>
            <w:r>
              <w:rPr>
                <w:rFonts w:ascii="Simplified Arabic" w:hAnsi="Simplified Arabic" w:cs="Simplified Arabic"/>
                <w:sz w:val="28"/>
                <w:szCs w:val="28"/>
                <w:vertAlign w:val="superscript"/>
                <w:rtl/>
                <w:lang w:bidi="ar-EG"/>
              </w:rPr>
              <w:t>)</w:t>
            </w:r>
          </w:p>
        </w:tc>
        <w:tc>
          <w:tcPr>
            <w:tcW w:w="1134" w:type="dxa"/>
            <w:tcBorders>
              <w:top w:val="single" w:sz="4" w:space="0" w:color="auto"/>
              <w:left w:val="single" w:sz="4" w:space="0" w:color="auto"/>
              <w:bottom w:val="single" w:sz="4" w:space="0" w:color="auto"/>
              <w:right w:val="single" w:sz="4" w:space="0" w:color="auto"/>
            </w:tcBorders>
            <w:hideMark/>
          </w:tcPr>
          <w:p w14:paraId="5F16E7A4"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1980-2006</w:t>
            </w:r>
          </w:p>
          <w:p w14:paraId="0CC17950"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(مصر)</w:t>
            </w:r>
          </w:p>
        </w:tc>
        <w:tc>
          <w:tcPr>
            <w:tcW w:w="1843" w:type="dxa"/>
            <w:tcBorders>
              <w:top w:val="single" w:sz="4" w:space="0" w:color="auto"/>
              <w:left w:val="single" w:sz="4" w:space="0" w:color="auto"/>
              <w:bottom w:val="single" w:sz="4" w:space="0" w:color="auto"/>
              <w:right w:val="single" w:sz="4" w:space="0" w:color="auto"/>
            </w:tcBorders>
            <w:hideMark/>
          </w:tcPr>
          <w:p w14:paraId="7557B9C4"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lang w:bidi="ar-EG"/>
              </w:rPr>
              <w:t>Johansen</w:t>
            </w:r>
          </w:p>
          <w:p w14:paraId="417E8DE3" w14:textId="77777777" w:rsidR="003E7AF1" w:rsidRDefault="003E7AF1">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Co-integration Test</w:t>
            </w:r>
          </w:p>
        </w:tc>
        <w:tc>
          <w:tcPr>
            <w:tcW w:w="2552" w:type="dxa"/>
            <w:tcBorders>
              <w:top w:val="single" w:sz="4" w:space="0" w:color="auto"/>
              <w:left w:val="single" w:sz="4" w:space="0" w:color="auto"/>
              <w:bottom w:val="single" w:sz="4" w:space="0" w:color="auto"/>
              <w:right w:val="single" w:sz="4" w:space="0" w:color="auto"/>
            </w:tcBorders>
          </w:tcPr>
          <w:p w14:paraId="2F1616B5" w14:textId="77777777" w:rsidR="003E7AF1" w:rsidRDefault="003E7AF1">
            <w:pPr>
              <w:jc w:val="lowKashida"/>
              <w:rPr>
                <w:rFonts w:ascii="Simplified Arabic" w:hAnsi="Simplified Arabic" w:cs="Simplified Arabic"/>
                <w:sz w:val="28"/>
                <w:szCs w:val="28"/>
                <w:u w:val="single"/>
                <w:lang w:bidi="ar-EG"/>
              </w:rPr>
            </w:pPr>
            <w:r>
              <w:rPr>
                <w:rFonts w:ascii="Simplified Arabic" w:hAnsi="Simplified Arabic" w:cs="Simplified Arabic"/>
                <w:sz w:val="28"/>
                <w:szCs w:val="28"/>
                <w:u w:val="single"/>
                <w:rtl/>
                <w:lang w:bidi="ar-EG"/>
              </w:rPr>
              <w:t>المتغير التابع:</w:t>
            </w:r>
          </w:p>
          <w:p w14:paraId="7D71DE0A"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التضخم مقاساً بالرقم القياسي لأسعار الجملة</w:t>
            </w:r>
          </w:p>
          <w:p w14:paraId="14601FFE" w14:textId="77777777" w:rsidR="003E7AF1" w:rsidRDefault="003E7AF1">
            <w:pPr>
              <w:pStyle w:val="ListParagraph"/>
              <w:spacing w:after="0" w:line="240" w:lineRule="auto"/>
              <w:ind w:left="184"/>
              <w:jc w:val="lowKashida"/>
              <w:rPr>
                <w:rFonts w:ascii="Simplified Arabic" w:hAnsi="Simplified Arabic" w:cs="Simplified Arabic"/>
                <w:sz w:val="28"/>
                <w:szCs w:val="28"/>
                <w:lang w:bidi="ar-EG"/>
              </w:rPr>
            </w:pPr>
          </w:p>
          <w:p w14:paraId="46B81E94" w14:textId="77777777" w:rsidR="003E7AF1" w:rsidRDefault="003E7AF1">
            <w:pPr>
              <w:jc w:val="lowKashida"/>
              <w:rPr>
                <w:rFonts w:ascii="Simplified Arabic" w:hAnsi="Simplified Arabic" w:cs="Simplified Arabic"/>
                <w:sz w:val="28"/>
                <w:szCs w:val="28"/>
                <w:u w:val="single"/>
                <w:rtl/>
                <w:lang w:bidi="ar-EG"/>
              </w:rPr>
            </w:pPr>
            <w:r>
              <w:rPr>
                <w:rFonts w:ascii="Simplified Arabic" w:hAnsi="Simplified Arabic" w:cs="Simplified Arabic"/>
                <w:sz w:val="28"/>
                <w:szCs w:val="28"/>
                <w:u w:val="single"/>
                <w:rtl/>
                <w:lang w:bidi="ar-EG"/>
              </w:rPr>
              <w:t>المتغيرات المفسرة:</w:t>
            </w:r>
          </w:p>
          <w:p w14:paraId="2079DC4C"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العجز الكلي في الموازنة العامة للدولة كنسبة من الناتج المحلي الإجمالي</w:t>
            </w:r>
          </w:p>
          <w:p w14:paraId="7E0522DA"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صافي ائتمان الحكومة</w:t>
            </w:r>
          </w:p>
          <w:p w14:paraId="2616FDD5"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النقود المتداولة كنسبة إلى إجمالي حجم النقود</w:t>
            </w:r>
          </w:p>
        </w:tc>
        <w:tc>
          <w:tcPr>
            <w:tcW w:w="2326" w:type="dxa"/>
            <w:tcBorders>
              <w:top w:val="single" w:sz="4" w:space="0" w:color="auto"/>
              <w:left w:val="single" w:sz="4" w:space="0" w:color="auto"/>
              <w:bottom w:val="single" w:sz="4" w:space="0" w:color="auto"/>
              <w:right w:val="single" w:sz="4" w:space="0" w:color="auto"/>
            </w:tcBorders>
            <w:hideMark/>
          </w:tcPr>
          <w:p w14:paraId="5B1498F0" w14:textId="77777777" w:rsidR="003E7AF1" w:rsidRDefault="003E7AF1">
            <w:pPr>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إن نتائج اختبار التكامل المشترك تعكس وجود علاقة تكامل طردية بين التضخم معبراً عنه بالرقم القياسي لأسعار الجملة وبين كل من العجز كنسبة إلى الناتج المحلي الإجمالي وصافي ائتمان الحكومة ونسبة النقود المتداولة في الأجل الطويل وذلك عند مستوى معنوية 95%.</w:t>
            </w:r>
          </w:p>
        </w:tc>
      </w:tr>
      <w:tr w:rsidR="003E7AF1" w14:paraId="12B7C57F" w14:textId="77777777" w:rsidTr="003E7AF1">
        <w:trPr>
          <w:jc w:val="center"/>
        </w:trPr>
        <w:tc>
          <w:tcPr>
            <w:tcW w:w="1334" w:type="dxa"/>
            <w:tcBorders>
              <w:top w:val="single" w:sz="4" w:space="0" w:color="auto"/>
              <w:left w:val="single" w:sz="4" w:space="0" w:color="auto"/>
              <w:bottom w:val="single" w:sz="4" w:space="0" w:color="auto"/>
              <w:right w:val="single" w:sz="4" w:space="0" w:color="auto"/>
            </w:tcBorders>
            <w:hideMark/>
          </w:tcPr>
          <w:p w14:paraId="5B5B35E5"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lang w:bidi="ar-EG"/>
              </w:rPr>
              <w:lastRenderedPageBreak/>
              <w:t>Omneia A. Helmy (2008)</w:t>
            </w:r>
            <w:r>
              <w:rPr>
                <w:rFonts w:ascii="Simplified Arabic" w:hAnsi="Simplified Arabic" w:cs="Simplified Arabic"/>
                <w:sz w:val="28"/>
                <w:szCs w:val="28"/>
                <w:vertAlign w:val="superscript"/>
                <w:rtl/>
                <w:lang w:bidi="ar-EG"/>
              </w:rPr>
              <w:t>(</w:t>
            </w:r>
            <w:r>
              <w:rPr>
                <w:rStyle w:val="FootnoteReference"/>
                <w:rFonts w:ascii="Simplified Arabic" w:hAnsi="Simplified Arabic" w:cs="Simplified Arabic"/>
                <w:sz w:val="28"/>
                <w:szCs w:val="28"/>
                <w:rtl/>
                <w:lang w:bidi="ar-EG"/>
              </w:rPr>
              <w:footnoteReference w:id="23"/>
            </w:r>
            <w:r>
              <w:rPr>
                <w:rFonts w:ascii="Simplified Arabic" w:hAnsi="Simplified Arabic" w:cs="Simplified Arabic"/>
                <w:sz w:val="28"/>
                <w:szCs w:val="28"/>
                <w:vertAlign w:val="superscript"/>
                <w:rtl/>
                <w:lang w:bidi="ar-EG"/>
              </w:rPr>
              <w:t>)</w:t>
            </w:r>
          </w:p>
        </w:tc>
        <w:tc>
          <w:tcPr>
            <w:tcW w:w="1134" w:type="dxa"/>
            <w:tcBorders>
              <w:top w:val="single" w:sz="4" w:space="0" w:color="auto"/>
              <w:left w:val="single" w:sz="4" w:space="0" w:color="auto"/>
              <w:bottom w:val="single" w:sz="4" w:space="0" w:color="auto"/>
              <w:right w:val="single" w:sz="4" w:space="0" w:color="auto"/>
            </w:tcBorders>
            <w:hideMark/>
          </w:tcPr>
          <w:p w14:paraId="552F691B"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1981 – 2006</w:t>
            </w:r>
          </w:p>
          <w:p w14:paraId="16E025A0"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(مصر)</w:t>
            </w:r>
          </w:p>
        </w:tc>
        <w:tc>
          <w:tcPr>
            <w:tcW w:w="1843" w:type="dxa"/>
            <w:tcBorders>
              <w:top w:val="single" w:sz="4" w:space="0" w:color="auto"/>
              <w:left w:val="single" w:sz="4" w:space="0" w:color="auto"/>
              <w:bottom w:val="single" w:sz="4" w:space="0" w:color="auto"/>
              <w:right w:val="single" w:sz="4" w:space="0" w:color="auto"/>
            </w:tcBorders>
          </w:tcPr>
          <w:p w14:paraId="3010256C"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lang w:bidi="ar-EG"/>
              </w:rPr>
              <w:t>Johansen</w:t>
            </w:r>
          </w:p>
          <w:p w14:paraId="76785FD8" w14:textId="77777777" w:rsidR="003E7AF1" w:rsidRDefault="003E7AF1">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Co-integration Test</w:t>
            </w:r>
          </w:p>
          <w:p w14:paraId="0301E9D8" w14:textId="77777777" w:rsidR="003E7AF1" w:rsidRDefault="003E7AF1">
            <w:pPr>
              <w:jc w:val="center"/>
              <w:rPr>
                <w:rFonts w:ascii="Simplified Arabic" w:hAnsi="Simplified Arabic" w:cs="Simplified Arabic"/>
                <w:sz w:val="28"/>
                <w:szCs w:val="28"/>
                <w:rtl/>
                <w:lang w:bidi="ar-EG"/>
              </w:rPr>
            </w:pPr>
          </w:p>
          <w:p w14:paraId="7B74A70E"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lang w:bidi="ar-EG"/>
              </w:rPr>
              <w:t>(VECM)</w:t>
            </w:r>
            <w:r>
              <w:rPr>
                <w:rFonts w:ascii="Simplified Arabic" w:hAnsi="Simplified Arabic" w:cs="Simplified Arabic"/>
                <w:sz w:val="28"/>
                <w:szCs w:val="28"/>
                <w:vertAlign w:val="superscript"/>
                <w:rtl/>
                <w:lang w:bidi="ar-EG"/>
              </w:rPr>
              <w:t xml:space="preserve"> (</w:t>
            </w:r>
            <w:r>
              <w:rPr>
                <w:rStyle w:val="FootnoteReference"/>
                <w:rFonts w:ascii="Simplified Arabic" w:hAnsi="Simplified Arabic" w:cs="Simplified Arabic"/>
                <w:sz w:val="28"/>
                <w:szCs w:val="28"/>
                <w:rtl/>
                <w:lang w:bidi="ar-EG"/>
              </w:rPr>
              <w:footnoteReference w:id="24"/>
            </w:r>
            <w:r>
              <w:rPr>
                <w:rFonts w:ascii="Simplified Arabic" w:hAnsi="Simplified Arabic" w:cs="Simplified Arabic"/>
                <w:sz w:val="28"/>
                <w:szCs w:val="28"/>
                <w:vertAlign w:val="superscript"/>
                <w:rtl/>
                <w:lang w:bidi="ar-EG"/>
              </w:rPr>
              <w:t>)</w:t>
            </w:r>
          </w:p>
        </w:tc>
        <w:tc>
          <w:tcPr>
            <w:tcW w:w="2552" w:type="dxa"/>
            <w:tcBorders>
              <w:top w:val="single" w:sz="4" w:space="0" w:color="auto"/>
              <w:left w:val="single" w:sz="4" w:space="0" w:color="auto"/>
              <w:bottom w:val="single" w:sz="4" w:space="0" w:color="auto"/>
              <w:right w:val="single" w:sz="4" w:space="0" w:color="auto"/>
            </w:tcBorders>
          </w:tcPr>
          <w:p w14:paraId="4539CF01" w14:textId="77777777" w:rsidR="003E7AF1" w:rsidRDefault="003E7AF1">
            <w:pPr>
              <w:jc w:val="lowKashida"/>
              <w:rPr>
                <w:rFonts w:ascii="Simplified Arabic" w:hAnsi="Simplified Arabic" w:cs="Simplified Arabic"/>
                <w:sz w:val="28"/>
                <w:szCs w:val="28"/>
                <w:u w:val="single"/>
                <w:rtl/>
                <w:lang w:bidi="ar-EG"/>
              </w:rPr>
            </w:pPr>
            <w:r>
              <w:rPr>
                <w:rFonts w:ascii="Simplified Arabic" w:hAnsi="Simplified Arabic" w:cs="Simplified Arabic"/>
                <w:sz w:val="28"/>
                <w:szCs w:val="28"/>
                <w:u w:val="single"/>
                <w:rtl/>
                <w:lang w:bidi="ar-EG"/>
              </w:rPr>
              <w:t>المتغير التابع:</w:t>
            </w:r>
          </w:p>
          <w:p w14:paraId="55C74123"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التضخم مقاساً بالرقم القياسي لأسعار المستهلكين</w:t>
            </w:r>
          </w:p>
          <w:p w14:paraId="581ACB82" w14:textId="77777777" w:rsidR="003E7AF1" w:rsidRDefault="003E7AF1">
            <w:pPr>
              <w:pStyle w:val="ListParagraph"/>
              <w:spacing w:after="0" w:line="240" w:lineRule="auto"/>
              <w:ind w:left="184"/>
              <w:jc w:val="lowKashida"/>
              <w:rPr>
                <w:rFonts w:ascii="Simplified Arabic" w:hAnsi="Simplified Arabic" w:cs="Simplified Arabic"/>
                <w:sz w:val="28"/>
                <w:szCs w:val="28"/>
                <w:lang w:bidi="ar-EG"/>
              </w:rPr>
            </w:pPr>
          </w:p>
          <w:p w14:paraId="16FE145E" w14:textId="77777777" w:rsidR="003E7AF1" w:rsidRDefault="003E7AF1">
            <w:pPr>
              <w:jc w:val="lowKashida"/>
              <w:rPr>
                <w:rFonts w:ascii="Simplified Arabic" w:hAnsi="Simplified Arabic" w:cs="Simplified Arabic"/>
                <w:sz w:val="28"/>
                <w:szCs w:val="28"/>
                <w:u w:val="single"/>
                <w:rtl/>
                <w:lang w:bidi="ar-EG"/>
              </w:rPr>
            </w:pPr>
            <w:r>
              <w:rPr>
                <w:rFonts w:ascii="Simplified Arabic" w:hAnsi="Simplified Arabic" w:cs="Simplified Arabic"/>
                <w:sz w:val="28"/>
                <w:szCs w:val="28"/>
                <w:u w:val="single"/>
                <w:rtl/>
                <w:lang w:bidi="ar-EG"/>
              </w:rPr>
              <w:t>المتغيرات المفسرة:</w:t>
            </w:r>
          </w:p>
          <w:p w14:paraId="2C602155"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عجز الموازنة العامة</w:t>
            </w:r>
          </w:p>
          <w:p w14:paraId="7EEB82C8"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الائتمان الممنوح للحكومة</w:t>
            </w:r>
          </w:p>
          <w:p w14:paraId="2C0528BF"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النقود بمعناها الواسع </w:t>
            </w:r>
            <w:r>
              <w:rPr>
                <w:rFonts w:ascii="Simplified Arabic" w:hAnsi="Simplified Arabic" w:cs="Simplified Arabic"/>
                <w:sz w:val="28"/>
                <w:szCs w:val="28"/>
                <w:lang w:bidi="ar-EG"/>
              </w:rPr>
              <w:t>M2</w:t>
            </w:r>
          </w:p>
          <w:p w14:paraId="5CF8E50D"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نمو الناتج المحلي الحقيقي</w:t>
            </w:r>
          </w:p>
          <w:p w14:paraId="5378105E" w14:textId="77777777" w:rsidR="003E7AF1" w:rsidRDefault="003E7AF1" w:rsidP="0041332D">
            <w:pPr>
              <w:pStyle w:val="ListParagraph"/>
              <w:numPr>
                <w:ilvl w:val="0"/>
                <w:numId w:val="5"/>
              </w:numPr>
              <w:spacing w:after="0" w:line="240" w:lineRule="auto"/>
              <w:ind w:left="184" w:hanging="184"/>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سعر الصرف الاسمي</w:t>
            </w:r>
          </w:p>
        </w:tc>
        <w:tc>
          <w:tcPr>
            <w:tcW w:w="2326" w:type="dxa"/>
            <w:tcBorders>
              <w:top w:val="single" w:sz="4" w:space="0" w:color="auto"/>
              <w:left w:val="single" w:sz="4" w:space="0" w:color="auto"/>
              <w:bottom w:val="single" w:sz="4" w:space="0" w:color="auto"/>
              <w:right w:val="single" w:sz="4" w:space="0" w:color="auto"/>
            </w:tcBorders>
            <w:hideMark/>
          </w:tcPr>
          <w:p w14:paraId="4018CE86" w14:textId="77777777" w:rsidR="003E7AF1" w:rsidRDefault="003E7AF1">
            <w:pPr>
              <w:jc w:val="lowKashida"/>
              <w:rPr>
                <w:rFonts w:ascii="Simplified Arabic" w:hAnsi="Simplified Arabic" w:cs="Simplified Arabic"/>
                <w:sz w:val="27"/>
                <w:szCs w:val="27"/>
                <w:rtl/>
                <w:lang w:bidi="ar-EG"/>
              </w:rPr>
            </w:pPr>
            <w:r>
              <w:rPr>
                <w:rFonts w:ascii="Simplified Arabic" w:hAnsi="Simplified Arabic" w:cs="Simplified Arabic"/>
                <w:sz w:val="27"/>
                <w:szCs w:val="27"/>
                <w:rtl/>
                <w:lang w:bidi="ar-EG"/>
              </w:rPr>
              <w:t>تشير النتائج إلى أنه في الأجل الطويل لا يعد التضخم مرتبطاً فحسب بعجز الموازنة بل أيضاً بمصادر تمويله، ونمو الناتج المحلي الحقيقي وسعر الصرف، وبتطبيق نموذج تصحيح الخطأ لمتجه الانحدار الذاتي اتضح وجود تفاعل متبادل بين عجز الموازنة، والائتمان الممنوح للحكومة، وسعر الصرف، والتضخم.</w:t>
            </w:r>
          </w:p>
        </w:tc>
      </w:tr>
      <w:tr w:rsidR="003E7AF1" w14:paraId="42A5613E" w14:textId="77777777" w:rsidTr="003E7AF1">
        <w:trPr>
          <w:jc w:val="center"/>
        </w:trPr>
        <w:tc>
          <w:tcPr>
            <w:tcW w:w="1334" w:type="dxa"/>
            <w:tcBorders>
              <w:top w:val="single" w:sz="4" w:space="0" w:color="auto"/>
              <w:left w:val="single" w:sz="4" w:space="0" w:color="auto"/>
              <w:bottom w:val="single" w:sz="4" w:space="0" w:color="auto"/>
              <w:right w:val="single" w:sz="4" w:space="0" w:color="auto"/>
            </w:tcBorders>
            <w:hideMark/>
          </w:tcPr>
          <w:p w14:paraId="2F20524F" w14:textId="77777777" w:rsidR="003E7AF1" w:rsidRDefault="003E7AF1">
            <w:pPr>
              <w:jc w:val="center"/>
              <w:rPr>
                <w:rFonts w:ascii="Simplified Arabic" w:hAnsi="Simplified Arabic" w:cs="Simplified Arabic"/>
                <w:sz w:val="28"/>
                <w:szCs w:val="28"/>
                <w:shd w:val="clear" w:color="auto" w:fill="FFFFFF"/>
                <w:rtl/>
                <w:lang w:bidi="ar-EG"/>
              </w:rPr>
            </w:pPr>
            <w:r>
              <w:rPr>
                <w:rFonts w:ascii="Simplified Arabic" w:hAnsi="Simplified Arabic" w:cs="Simplified Arabic"/>
                <w:sz w:val="28"/>
                <w:szCs w:val="28"/>
                <w:shd w:val="clear" w:color="auto" w:fill="FFFFFF"/>
                <w:lang w:bidi="ar-EG"/>
              </w:rPr>
              <w:t>M. Solomon;W A Wet (2004)</w:t>
            </w:r>
            <w:r>
              <w:rPr>
                <w:rFonts w:ascii="Simplified Arabic" w:hAnsi="Simplified Arabic" w:cs="Simplified Arabic"/>
                <w:sz w:val="28"/>
                <w:szCs w:val="28"/>
                <w:vertAlign w:val="superscript"/>
                <w:rtl/>
                <w:lang w:bidi="ar-EG"/>
              </w:rPr>
              <w:t>(</w:t>
            </w:r>
            <w:r>
              <w:rPr>
                <w:rStyle w:val="FootnoteReference"/>
                <w:rFonts w:ascii="Simplified Arabic" w:hAnsi="Simplified Arabic" w:cs="Simplified Arabic"/>
                <w:sz w:val="28"/>
                <w:szCs w:val="28"/>
                <w:rtl/>
                <w:lang w:bidi="ar-EG"/>
              </w:rPr>
              <w:footnoteReference w:id="25"/>
            </w:r>
            <w:r>
              <w:rPr>
                <w:rFonts w:ascii="Simplified Arabic" w:hAnsi="Simplified Arabic" w:cs="Simplified Arabic"/>
                <w:sz w:val="28"/>
                <w:szCs w:val="28"/>
                <w:vertAlign w:val="superscript"/>
                <w:rtl/>
                <w:lang w:bidi="ar-EG"/>
              </w:rPr>
              <w:t>)</w:t>
            </w:r>
          </w:p>
        </w:tc>
        <w:tc>
          <w:tcPr>
            <w:tcW w:w="1134" w:type="dxa"/>
            <w:tcBorders>
              <w:top w:val="single" w:sz="4" w:space="0" w:color="auto"/>
              <w:left w:val="single" w:sz="4" w:space="0" w:color="auto"/>
              <w:bottom w:val="single" w:sz="4" w:space="0" w:color="auto"/>
              <w:right w:val="single" w:sz="4" w:space="0" w:color="auto"/>
            </w:tcBorders>
            <w:hideMark/>
          </w:tcPr>
          <w:p w14:paraId="06026AE2" w14:textId="77777777" w:rsidR="003E7AF1" w:rsidRDefault="003E7AF1">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1967-2001</w:t>
            </w:r>
          </w:p>
          <w:p w14:paraId="25CB0CD6"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t>(تنزانيا)</w:t>
            </w:r>
          </w:p>
        </w:tc>
        <w:tc>
          <w:tcPr>
            <w:tcW w:w="1843" w:type="dxa"/>
            <w:tcBorders>
              <w:top w:val="single" w:sz="4" w:space="0" w:color="auto"/>
              <w:left w:val="single" w:sz="4" w:space="0" w:color="auto"/>
              <w:bottom w:val="single" w:sz="4" w:space="0" w:color="auto"/>
              <w:right w:val="single" w:sz="4" w:space="0" w:color="auto"/>
            </w:tcBorders>
          </w:tcPr>
          <w:p w14:paraId="79B83213"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lang w:bidi="ar-EG"/>
              </w:rPr>
              <w:t>(VAR)</w:t>
            </w:r>
          </w:p>
          <w:p w14:paraId="2A65F5EB" w14:textId="77777777" w:rsidR="003E7AF1" w:rsidRDefault="003E7AF1">
            <w:pPr>
              <w:jc w:val="center"/>
              <w:rPr>
                <w:rFonts w:ascii="Simplified Arabic" w:hAnsi="Simplified Arabic" w:cs="Simplified Arabic"/>
                <w:sz w:val="28"/>
                <w:szCs w:val="28"/>
                <w:rtl/>
                <w:lang w:bidi="ar-EG"/>
              </w:rPr>
            </w:pPr>
          </w:p>
          <w:p w14:paraId="24980B52" w14:textId="77777777" w:rsidR="003E7AF1" w:rsidRDefault="003E7AF1">
            <w:pPr>
              <w:jc w:val="center"/>
              <w:rPr>
                <w:rFonts w:ascii="Simplified Arabic" w:hAnsi="Simplified Arabic" w:cs="Simplified Arabic"/>
                <w:sz w:val="28"/>
                <w:szCs w:val="28"/>
                <w:rtl/>
                <w:lang w:bidi="ar-EG"/>
              </w:rPr>
            </w:pPr>
            <w:r>
              <w:rPr>
                <w:rFonts w:ascii="Simplified Arabic" w:hAnsi="Simplified Arabic" w:cs="Simplified Arabic"/>
                <w:sz w:val="28"/>
                <w:szCs w:val="28"/>
                <w:lang w:bidi="ar-EG"/>
              </w:rPr>
              <w:t>(ECM)</w:t>
            </w:r>
          </w:p>
        </w:tc>
        <w:tc>
          <w:tcPr>
            <w:tcW w:w="2552" w:type="dxa"/>
            <w:tcBorders>
              <w:top w:val="single" w:sz="4" w:space="0" w:color="auto"/>
              <w:left w:val="single" w:sz="4" w:space="0" w:color="auto"/>
              <w:bottom w:val="single" w:sz="4" w:space="0" w:color="auto"/>
              <w:right w:val="single" w:sz="4" w:space="0" w:color="auto"/>
            </w:tcBorders>
          </w:tcPr>
          <w:p w14:paraId="77F6FF2F" w14:textId="77777777" w:rsidR="003E7AF1" w:rsidRDefault="003E7AF1">
            <w:pPr>
              <w:jc w:val="lowKashida"/>
              <w:rPr>
                <w:rFonts w:ascii="Simplified Arabic" w:hAnsi="Simplified Arabic" w:cs="Simplified Arabic"/>
                <w:sz w:val="28"/>
                <w:szCs w:val="28"/>
                <w:u w:val="single"/>
                <w:rtl/>
                <w:lang w:bidi="ar-EG"/>
              </w:rPr>
            </w:pPr>
            <w:r>
              <w:rPr>
                <w:rFonts w:ascii="Simplified Arabic" w:hAnsi="Simplified Arabic" w:cs="Simplified Arabic"/>
                <w:sz w:val="28"/>
                <w:szCs w:val="28"/>
                <w:u w:val="single"/>
                <w:rtl/>
                <w:lang w:bidi="ar-EG"/>
              </w:rPr>
              <w:t>المتغير التابع:</w:t>
            </w:r>
          </w:p>
          <w:p w14:paraId="59A8A954" w14:textId="77777777" w:rsidR="003E7AF1" w:rsidRDefault="003E7AF1">
            <w:pPr>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التضخم مقاساً بالرقم القياسي لأسعار المستهلكين</w:t>
            </w:r>
          </w:p>
          <w:p w14:paraId="3674F413" w14:textId="77777777" w:rsidR="003E7AF1" w:rsidRDefault="003E7AF1">
            <w:pPr>
              <w:jc w:val="lowKashida"/>
              <w:rPr>
                <w:rFonts w:ascii="Simplified Arabic" w:hAnsi="Simplified Arabic" w:cs="Simplified Arabic"/>
                <w:sz w:val="28"/>
                <w:szCs w:val="28"/>
                <w:lang w:bidi="ar-EG"/>
              </w:rPr>
            </w:pPr>
          </w:p>
          <w:p w14:paraId="3FC460B5" w14:textId="77777777" w:rsidR="003E7AF1" w:rsidRDefault="003E7AF1">
            <w:pPr>
              <w:jc w:val="lowKashida"/>
              <w:rPr>
                <w:rFonts w:ascii="Simplified Arabic" w:hAnsi="Simplified Arabic" w:cs="Simplified Arabic"/>
                <w:sz w:val="28"/>
                <w:szCs w:val="28"/>
                <w:u w:val="single"/>
                <w:rtl/>
                <w:lang w:bidi="ar-EG"/>
              </w:rPr>
            </w:pPr>
            <w:r>
              <w:rPr>
                <w:rFonts w:ascii="Simplified Arabic" w:hAnsi="Simplified Arabic" w:cs="Simplified Arabic"/>
                <w:sz w:val="28"/>
                <w:szCs w:val="28"/>
                <w:u w:val="single"/>
                <w:rtl/>
                <w:lang w:bidi="ar-EG"/>
              </w:rPr>
              <w:t>المتغيرات المفسرة:</w:t>
            </w:r>
          </w:p>
          <w:p w14:paraId="6BBED77E" w14:textId="77777777" w:rsidR="003E7AF1" w:rsidRDefault="003E7AF1">
            <w:pPr>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عجز الموازنة العامة</w:t>
            </w:r>
          </w:p>
          <w:p w14:paraId="135DF184" w14:textId="77777777" w:rsidR="003E7AF1" w:rsidRDefault="003E7AF1">
            <w:pPr>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نمو الناتج المحلي الإجمالي الحقيقي</w:t>
            </w:r>
          </w:p>
          <w:p w14:paraId="1607086F" w14:textId="77777777" w:rsidR="003E7AF1" w:rsidRDefault="003E7AF1">
            <w:pPr>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سعر الصرف</w:t>
            </w:r>
          </w:p>
        </w:tc>
        <w:tc>
          <w:tcPr>
            <w:tcW w:w="2326" w:type="dxa"/>
            <w:tcBorders>
              <w:top w:val="single" w:sz="4" w:space="0" w:color="auto"/>
              <w:left w:val="single" w:sz="4" w:space="0" w:color="auto"/>
              <w:bottom w:val="single" w:sz="4" w:space="0" w:color="auto"/>
              <w:right w:val="single" w:sz="4" w:space="0" w:color="auto"/>
            </w:tcBorders>
            <w:hideMark/>
          </w:tcPr>
          <w:p w14:paraId="26DB35A2" w14:textId="77777777" w:rsidR="003E7AF1" w:rsidRDefault="003E7AF1">
            <w:pPr>
              <w:jc w:val="lowKashida"/>
              <w:rPr>
                <w:rFonts w:ascii="Simplified Arabic" w:hAnsi="Simplified Arabic" w:cs="Simplified Arabic"/>
                <w:sz w:val="27"/>
                <w:szCs w:val="27"/>
                <w:lang w:bidi="ar-EG"/>
              </w:rPr>
            </w:pPr>
            <w:r>
              <w:rPr>
                <w:rFonts w:ascii="Simplified Arabic" w:hAnsi="Simplified Arabic" w:cs="Simplified Arabic"/>
                <w:sz w:val="27"/>
                <w:szCs w:val="27"/>
                <w:rtl/>
                <w:lang w:bidi="ar-EG"/>
              </w:rPr>
              <w:t>هناك علاقة طردية بين التضخم وعجز الموازنة العامة، بسبب ارتفاع الطلب الكلي وزيادة عرض النقود، وهناك علاقة عكسية بين التضخم ونمو الناتج المحلي الإجمالي وخاصة زيادة المنتجات الزراعية الأساسية وتصنيع المنتجات الغذائية.</w:t>
            </w:r>
          </w:p>
        </w:tc>
      </w:tr>
    </w:tbl>
    <w:p w14:paraId="5D9055BF" w14:textId="77777777" w:rsidR="003E7AF1" w:rsidRDefault="003E7AF1" w:rsidP="003E7AF1">
      <w:pPr>
        <w:ind w:firstLine="454"/>
        <w:jc w:val="both"/>
        <w:rPr>
          <w:rFonts w:ascii="Simplified Arabic" w:hAnsi="Simplified Arabic" w:cs="Simplified Arabic"/>
          <w:sz w:val="28"/>
          <w:szCs w:val="28"/>
          <w:rtl/>
          <w:lang w:bidi="ar-EG"/>
        </w:rPr>
      </w:pPr>
    </w:p>
    <w:p w14:paraId="05367282" w14:textId="77777777" w:rsidR="003E7AF1" w:rsidRDefault="003E7AF1" w:rsidP="003E7AF1">
      <w:pPr>
        <w:pStyle w:val="ListParagraph"/>
        <w:spacing w:after="0" w:line="240" w:lineRule="auto"/>
        <w:ind w:left="85" w:right="-23" w:firstLine="531"/>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 xml:space="preserve">ويتضح من العرض السابق لبعض الدراسات التطبيقية لظاهرة التضخم في مصر وبعض الدول النامية وخلال العشر سنوات السابقة لإجراء هذه الدراسة أن بعض تلك الدراسات قد استخدمت منهجية التكامل المشترك </w:t>
      </w:r>
      <w:proofErr w:type="spellStart"/>
      <w:r>
        <w:rPr>
          <w:rFonts w:ascii="Simplified Arabic" w:hAnsi="Simplified Arabic" w:cs="Simplified Arabic"/>
          <w:sz w:val="28"/>
          <w:szCs w:val="28"/>
          <w:rtl/>
          <w:lang w:bidi="ar-EG"/>
        </w:rPr>
        <w:t>لجوهانسن</w:t>
      </w:r>
      <w:proofErr w:type="spellEnd"/>
      <w:r>
        <w:rPr>
          <w:rFonts w:ascii="Simplified Arabic" w:hAnsi="Simplified Arabic" w:cs="Simplified Arabic"/>
          <w:sz w:val="28"/>
          <w:szCs w:val="28"/>
          <w:rtl/>
          <w:lang w:bidi="ar-EG"/>
        </w:rPr>
        <w:t xml:space="preserve"> بينما استخدمت دراسات أخرى طريقة المربعات الصغرى في حين أن هناك دراسات استخدمت نموذج الانحدار الذاتي، </w:t>
      </w:r>
      <w:r>
        <w:rPr>
          <w:rFonts w:ascii="Simplified Arabic" w:eastAsia="Times New Roman" w:hAnsi="Simplified Arabic" w:cs="Simplified Arabic"/>
          <w:sz w:val="28"/>
          <w:szCs w:val="28"/>
          <w:rtl/>
          <w:lang w:bidi="ar-EG"/>
        </w:rPr>
        <w:t>وهذا</w:t>
      </w:r>
      <w:r>
        <w:rPr>
          <w:rFonts w:ascii="Simplified Arabic" w:hAnsi="Simplified Arabic" w:cs="Simplified Arabic"/>
          <w:sz w:val="28"/>
          <w:szCs w:val="28"/>
          <w:rtl/>
          <w:lang w:bidi="ar-EG"/>
        </w:rPr>
        <w:t xml:space="preserve"> كله يتوقف على مدى تحقق الشروط اللازمة لاستخدام هذا النموذج أو ذاك، كما يتوقف اختيار النموذج القياسي المناسب على طبيعية البيانات موضع الدراسة والأهداف المرجو تحقيقها من </w:t>
      </w:r>
      <w:r>
        <w:rPr>
          <w:rFonts w:ascii="Simplified Arabic" w:eastAsia="Times New Roman" w:hAnsi="Simplified Arabic" w:cs="Simplified Arabic"/>
          <w:sz w:val="28"/>
          <w:szCs w:val="28"/>
          <w:rtl/>
          <w:lang w:bidi="ar-EG"/>
        </w:rPr>
        <w:t>هذه</w:t>
      </w:r>
      <w:r>
        <w:rPr>
          <w:rFonts w:ascii="Simplified Arabic" w:hAnsi="Simplified Arabic" w:cs="Simplified Arabic"/>
          <w:sz w:val="28"/>
          <w:szCs w:val="28"/>
          <w:rtl/>
          <w:lang w:bidi="ar-EG"/>
        </w:rPr>
        <w:t xml:space="preserve"> الدراسة. </w:t>
      </w:r>
    </w:p>
    <w:p w14:paraId="14D38AD8" w14:textId="77777777" w:rsidR="003E7AF1" w:rsidRDefault="003E7AF1" w:rsidP="003E7AF1">
      <w:pPr>
        <w:ind w:firstLine="454"/>
        <w:jc w:val="both"/>
        <w:rPr>
          <w:rFonts w:ascii="Simplified Arabic" w:hAnsi="Simplified Arabic" w:cs="Simplified Arabic"/>
          <w:sz w:val="28"/>
          <w:szCs w:val="28"/>
          <w:rtl/>
          <w:lang w:bidi="ar-EG"/>
        </w:rPr>
      </w:pPr>
    </w:p>
    <w:p w14:paraId="12823AFE" w14:textId="77777777" w:rsidR="003E7AF1" w:rsidRDefault="003E7AF1" w:rsidP="003E7AF1">
      <w:pPr>
        <w:jc w:val="both"/>
        <w:rPr>
          <w:rFonts w:ascii="Simplified Arabic" w:hAnsi="Simplified Arabic" w:cs="Simplified Arabic"/>
          <w:sz w:val="28"/>
          <w:szCs w:val="28"/>
          <w:u w:val="single"/>
          <w:rtl/>
          <w:lang w:bidi="ar-EG"/>
        </w:rPr>
      </w:pPr>
      <w:r>
        <w:rPr>
          <w:rFonts w:ascii="Simplified Arabic" w:hAnsi="Simplified Arabic" w:cs="Simplified Arabic"/>
          <w:sz w:val="28"/>
          <w:szCs w:val="28"/>
          <w:u w:val="single"/>
          <w:rtl/>
          <w:lang w:bidi="ar-EG"/>
        </w:rPr>
        <w:t xml:space="preserve">تعقيب على الدراسات السابقة: </w:t>
      </w:r>
    </w:p>
    <w:p w14:paraId="291DD06E" w14:textId="77777777" w:rsidR="003E7AF1" w:rsidRDefault="003E7AF1" w:rsidP="003E7AF1">
      <w:pPr>
        <w:pStyle w:val="ListParagraph"/>
        <w:spacing w:after="0" w:line="240" w:lineRule="auto"/>
        <w:ind w:left="85" w:right="-23" w:firstLine="531"/>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 xml:space="preserve">لا شك أن الدراسات السابقة قد تناولت بالبحث ظاهرة التضخم في مصر وبعض البلدان النامية الأخرى خلال العشر سنوات السابقة لإجراء هذه الدراسة حيث تناولت بكثير من التفصيل محددات التضخم والعوامل المؤثرة فيه كما تطرقت إلى العلاقة التي تربط بين عجز الموازنة العامة للدولة من جهة والتضخم من جهة أخرى، حيث توصلت معظم تلك الدراسات إلى وجود علاقة تربط بين العجز المالي والتضخم في البلدان موضع الدراسة.  </w:t>
      </w:r>
    </w:p>
    <w:p w14:paraId="77D1E19A" w14:textId="77777777" w:rsidR="003E7AF1" w:rsidRDefault="003E7AF1" w:rsidP="003E7AF1">
      <w:pPr>
        <w:pStyle w:val="ListParagraph"/>
        <w:spacing w:after="0" w:line="240" w:lineRule="auto"/>
        <w:ind w:left="85" w:right="-23" w:firstLine="531"/>
        <w:jc w:val="both"/>
        <w:rPr>
          <w:rFonts w:ascii="Simplified Arabic" w:eastAsia="Times New Roman" w:hAnsi="Simplified Arabic" w:cs="Simplified Arabic"/>
          <w:sz w:val="28"/>
          <w:szCs w:val="28"/>
          <w:rtl/>
          <w:lang w:bidi="ar-EG"/>
        </w:rPr>
      </w:pPr>
    </w:p>
    <w:p w14:paraId="49C8C263" w14:textId="77777777" w:rsidR="003E7AF1" w:rsidRDefault="003E7AF1" w:rsidP="003E7AF1">
      <w:pPr>
        <w:pStyle w:val="ListParagraph"/>
        <w:spacing w:after="0" w:line="240" w:lineRule="auto"/>
        <w:ind w:left="85" w:right="-23" w:firstLine="531"/>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ورغم أن الدراسات السابقة تمثل نقطة البداية لهذه الدراسة والتي تمضي قدماً في ذات المسار، إلا أن أياً من الدراسات السابقة لم يتناول آثر آليات تمويل عجز الموازنة العامة على التضخم لبيان أقل هذه الآليات أثراً على التضخم، ولذا فإن هذه الدراسة سوف تتمايز عن الدراسات السابقة في الحدود الزمنية للدراسة والتي تمتد خلال الفترة من العام المالي 1991/1992 حتى العام المالي 218/2019 وهي فترة زمنية مختلفة عن الفترات الزمنية التي تناولتها الدراسات السابقة، كما أنه سوف تتمايز ه</w:t>
      </w:r>
      <w:r>
        <w:rPr>
          <w:rFonts w:ascii="Simplified Arabic" w:hAnsi="Simplified Arabic" w:cs="Simplified Arabic"/>
          <w:sz w:val="28"/>
          <w:szCs w:val="28"/>
          <w:rtl/>
          <w:lang w:bidi="ar-EG"/>
        </w:rPr>
        <w:t>ذ</w:t>
      </w:r>
      <w:r>
        <w:rPr>
          <w:rFonts w:ascii="Simplified Arabic" w:eastAsia="Times New Roman" w:hAnsi="Simplified Arabic" w:cs="Simplified Arabic"/>
          <w:sz w:val="28"/>
          <w:szCs w:val="28"/>
          <w:rtl/>
          <w:lang w:bidi="ar-EG"/>
        </w:rPr>
        <w:t xml:space="preserve">ه </w:t>
      </w:r>
      <w:r>
        <w:rPr>
          <w:rFonts w:ascii="Simplified Arabic" w:hAnsi="Simplified Arabic" w:cs="Simplified Arabic"/>
          <w:sz w:val="28"/>
          <w:szCs w:val="28"/>
          <w:rtl/>
          <w:lang w:bidi="ar-EG"/>
        </w:rPr>
        <w:t xml:space="preserve">الدراسة عن غيرها من الدراسات السابقة في إضافة متغيرات مفسرة للنموذج القياسي المستخدم في </w:t>
      </w:r>
      <w:r>
        <w:rPr>
          <w:rFonts w:ascii="Simplified Arabic" w:eastAsia="Times New Roman" w:hAnsi="Simplified Arabic" w:cs="Simplified Arabic"/>
          <w:sz w:val="28"/>
          <w:szCs w:val="28"/>
          <w:rtl/>
          <w:lang w:bidi="ar-EG"/>
        </w:rPr>
        <w:t>ه</w:t>
      </w:r>
      <w:r>
        <w:rPr>
          <w:rFonts w:ascii="Simplified Arabic" w:hAnsi="Simplified Arabic" w:cs="Simplified Arabic"/>
          <w:sz w:val="28"/>
          <w:szCs w:val="28"/>
          <w:rtl/>
          <w:lang w:bidi="ar-EG"/>
        </w:rPr>
        <w:t>ذ</w:t>
      </w:r>
      <w:r>
        <w:rPr>
          <w:rFonts w:ascii="Simplified Arabic" w:eastAsia="Times New Roman" w:hAnsi="Simplified Arabic" w:cs="Simplified Arabic"/>
          <w:sz w:val="28"/>
          <w:szCs w:val="28"/>
          <w:rtl/>
          <w:lang w:bidi="ar-EG"/>
        </w:rPr>
        <w:t xml:space="preserve">ه </w:t>
      </w:r>
      <w:r>
        <w:rPr>
          <w:rFonts w:ascii="Simplified Arabic" w:hAnsi="Simplified Arabic" w:cs="Simplified Arabic"/>
          <w:sz w:val="28"/>
          <w:szCs w:val="28"/>
          <w:rtl/>
          <w:lang w:bidi="ar-EG"/>
        </w:rPr>
        <w:t xml:space="preserve">الدراسة لم تتضمنها أياً من النماذج القياسية المستخدمة في الدراسات السابقة وتتمثل تلك المتغيرات المفسرة </w:t>
      </w:r>
      <w:r>
        <w:rPr>
          <w:rFonts w:ascii="Simplified Arabic" w:eastAsia="Times New Roman" w:hAnsi="Simplified Arabic" w:cs="Simplified Arabic"/>
          <w:sz w:val="28"/>
          <w:szCs w:val="28"/>
          <w:rtl/>
          <w:lang w:bidi="ar-EG"/>
        </w:rPr>
        <w:t>في آليات تمويل عجز الموازنة العامة للدولة لبيان أثرها على المتغير التابع "</w:t>
      </w:r>
      <w:r>
        <w:rPr>
          <w:rFonts w:ascii="Simplified Arabic" w:hAnsi="Simplified Arabic" w:cs="Simplified Arabic"/>
          <w:sz w:val="28"/>
          <w:szCs w:val="28"/>
          <w:rtl/>
          <w:lang w:bidi="ar-EG"/>
        </w:rPr>
        <w:t>التضخم مقاساً بالرقم القياسي لأسعار المستهلكين"</w:t>
      </w:r>
      <w:r>
        <w:rPr>
          <w:rFonts w:ascii="Simplified Arabic" w:eastAsia="Times New Roman" w:hAnsi="Simplified Arabic" w:cs="Simplified Arabic"/>
          <w:sz w:val="28"/>
          <w:szCs w:val="28"/>
          <w:rtl/>
          <w:lang w:bidi="ar-EG"/>
        </w:rPr>
        <w:t>، كما سوف تتناول ه</w:t>
      </w:r>
      <w:r>
        <w:rPr>
          <w:rFonts w:ascii="Simplified Arabic" w:hAnsi="Simplified Arabic" w:cs="Simplified Arabic"/>
          <w:sz w:val="28"/>
          <w:szCs w:val="28"/>
          <w:rtl/>
          <w:lang w:bidi="ar-EG"/>
        </w:rPr>
        <w:t>ذ</w:t>
      </w:r>
      <w:r>
        <w:rPr>
          <w:rFonts w:ascii="Simplified Arabic" w:eastAsia="Times New Roman" w:hAnsi="Simplified Arabic" w:cs="Simplified Arabic"/>
          <w:sz w:val="28"/>
          <w:szCs w:val="28"/>
          <w:rtl/>
          <w:lang w:bidi="ar-EG"/>
        </w:rPr>
        <w:t xml:space="preserve">ه الدراسة الآتي:  </w:t>
      </w:r>
    </w:p>
    <w:p w14:paraId="35D62A1B" w14:textId="77777777" w:rsidR="003E7AF1" w:rsidRDefault="003E7AF1" w:rsidP="003E7AF1">
      <w:pPr>
        <w:pStyle w:val="ListParagraph"/>
        <w:spacing w:after="0" w:line="240" w:lineRule="auto"/>
        <w:ind w:left="85" w:right="-23" w:firstLine="531"/>
        <w:jc w:val="both"/>
        <w:rPr>
          <w:rFonts w:ascii="Simplified Arabic" w:eastAsia="Times New Roman" w:hAnsi="Simplified Arabic" w:cs="Simplified Arabic"/>
          <w:sz w:val="28"/>
          <w:szCs w:val="28"/>
          <w:lang w:bidi="ar-EG"/>
        </w:rPr>
      </w:pPr>
    </w:p>
    <w:p w14:paraId="741A14FD" w14:textId="77777777" w:rsidR="003E7AF1" w:rsidRDefault="003E7AF1" w:rsidP="0041332D">
      <w:pPr>
        <w:pStyle w:val="ListParagraph"/>
        <w:numPr>
          <w:ilvl w:val="0"/>
          <w:numId w:val="5"/>
        </w:numPr>
        <w:spacing w:after="0" w:line="240" w:lineRule="auto"/>
        <w:ind w:left="510" w:right="-23"/>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إظهار العلاقة التي تربط بين آليات تمويل عجز الموازنة العامة للدولة والتضخم، حيث أن التضخم لا يتأثر بعجز الموازنة العامة في حد ذاته وإنما يتأثر بآليات تمويل ذلك العجز، لذا فإن هذه الدراسة سوف تتناول التأثير المتبادل بين آليات التمويل المختلفة على التضخم في مصر خلال فترة الدراسة.</w:t>
      </w:r>
    </w:p>
    <w:p w14:paraId="27A41D2E" w14:textId="77777777" w:rsidR="003E7AF1" w:rsidRDefault="003E7AF1" w:rsidP="0041332D">
      <w:pPr>
        <w:pStyle w:val="ListParagraph"/>
        <w:numPr>
          <w:ilvl w:val="0"/>
          <w:numId w:val="5"/>
        </w:numPr>
        <w:spacing w:after="0" w:line="240" w:lineRule="auto"/>
        <w:ind w:left="510" w:right="-23"/>
        <w:jc w:val="both"/>
        <w:rPr>
          <w:rFonts w:ascii="Simplified Arabic" w:eastAsia="Times New Roman" w:hAnsi="Simplified Arabic" w:cs="Simplified Arabic"/>
          <w:sz w:val="28"/>
          <w:szCs w:val="28"/>
          <w:lang w:bidi="ar-EG"/>
        </w:rPr>
      </w:pPr>
      <w:r>
        <w:rPr>
          <w:rFonts w:ascii="Simplified Arabic" w:eastAsia="Times New Roman" w:hAnsi="Simplified Arabic" w:cs="Simplified Arabic"/>
          <w:sz w:val="28"/>
          <w:szCs w:val="28"/>
          <w:rtl/>
          <w:lang w:bidi="ar-EG"/>
        </w:rPr>
        <w:t>استعراض الأساس النظري للعلاقة بين كل من عجز الموازنة العامة للدولة وآليات تمويله المختلفة والتضخم وأثر كل منها على الآخر وذلك وفقاً للنظرية الاقتصادية والمدارس الاقتصادية المختلفة والنظريات المفسرة لظاهرة التضخم.</w:t>
      </w:r>
    </w:p>
    <w:p w14:paraId="5E003D82" w14:textId="77777777" w:rsidR="003E7AF1" w:rsidRDefault="003E7AF1" w:rsidP="0041332D">
      <w:pPr>
        <w:pStyle w:val="ListParagraph"/>
        <w:numPr>
          <w:ilvl w:val="0"/>
          <w:numId w:val="5"/>
        </w:numPr>
        <w:spacing w:after="0" w:line="240" w:lineRule="auto"/>
        <w:ind w:left="510" w:right="-23"/>
        <w:jc w:val="both"/>
        <w:rPr>
          <w:rFonts w:ascii="Simplified Arabic" w:eastAsia="Times New Roman" w:hAnsi="Simplified Arabic" w:cs="Simplified Arabic"/>
          <w:sz w:val="28"/>
          <w:szCs w:val="28"/>
          <w:lang w:bidi="ar-EG"/>
        </w:rPr>
      </w:pPr>
      <w:r>
        <w:rPr>
          <w:rFonts w:ascii="Simplified Arabic" w:eastAsia="Times New Roman" w:hAnsi="Simplified Arabic" w:cs="Simplified Arabic"/>
          <w:sz w:val="28"/>
          <w:szCs w:val="28"/>
          <w:rtl/>
          <w:lang w:bidi="ar-EG"/>
        </w:rPr>
        <w:lastRenderedPageBreak/>
        <w:t xml:space="preserve">تحليل بيانات عجز الموازنة العامة للدولة ومصادر تمويله وكذا تحليل بيانات التضخم في مصر خلال الفترة من العام المالي 1991/1992 حتى العام المالي 218/2019 والكشف عن قوة الارتباط بين تلك المتغيرات وذلك لمعرفة إلى أي مدى تؤثر وتتأثر تلك المتغيرات بعضها البعض وقوة واتجاه العلاقة بينهم. </w:t>
      </w:r>
    </w:p>
    <w:p w14:paraId="4A448F39" w14:textId="77777777" w:rsidR="003E7AF1" w:rsidRDefault="003E7AF1" w:rsidP="003E7AF1">
      <w:pPr>
        <w:pStyle w:val="ListParagraph"/>
        <w:tabs>
          <w:tab w:val="left" w:pos="2209"/>
        </w:tabs>
        <w:spacing w:after="0" w:line="240" w:lineRule="auto"/>
        <w:ind w:left="510" w:right="-23"/>
        <w:jc w:val="both"/>
        <w:rPr>
          <w:rFonts w:ascii="Simplified Arabic" w:eastAsiaTheme="minorEastAsia" w:hAnsi="Simplified Arabic" w:cs="Simplified Arabic"/>
          <w:sz w:val="28"/>
          <w:szCs w:val="28"/>
        </w:rPr>
      </w:pPr>
    </w:p>
    <w:p w14:paraId="4337663B" w14:textId="77777777" w:rsidR="003E7AF1" w:rsidRDefault="003E7AF1" w:rsidP="0041332D">
      <w:pPr>
        <w:pStyle w:val="ListParagraph"/>
        <w:numPr>
          <w:ilvl w:val="0"/>
          <w:numId w:val="5"/>
        </w:numPr>
        <w:tabs>
          <w:tab w:val="left" w:pos="2209"/>
        </w:tabs>
        <w:spacing w:after="0" w:line="240" w:lineRule="auto"/>
        <w:ind w:left="510" w:right="-23"/>
        <w:jc w:val="both"/>
        <w:rPr>
          <w:rFonts w:ascii="Simplified Arabic" w:hAnsi="Simplified Arabic" w:cs="Simplified Arabic"/>
          <w:sz w:val="28"/>
          <w:szCs w:val="28"/>
        </w:rPr>
      </w:pPr>
      <w:r>
        <w:rPr>
          <w:rFonts w:ascii="Simplified Arabic" w:eastAsia="Times New Roman" w:hAnsi="Simplified Arabic" w:cs="Simplified Arabic"/>
          <w:sz w:val="28"/>
          <w:szCs w:val="28"/>
          <w:rtl/>
          <w:lang w:bidi="ar-EG"/>
        </w:rPr>
        <w:t>استخدام المنهج القياسي للتوصل إلى صيغة قياسية تمكنا من تحديد أثر آليات تمويل عجز الموازنة المختلفة على التضخم في مصر خلال فترة الدراسة، وذلك حتى نتمكن من معرفة أفضل آلية لتمويل عجز الموازنة والتي يكون لها أقل تأثير ممكن على ارتفاع معدل التضخم والتوصية باستخدام آلية التمويل تلك طالما كانت متاحة.</w:t>
      </w:r>
    </w:p>
    <w:p w14:paraId="3F59CE2F" w14:textId="77777777" w:rsidR="003E7AF1" w:rsidRDefault="003E7AF1" w:rsidP="003E7AF1">
      <w:pPr>
        <w:pStyle w:val="ListParagraph"/>
        <w:bidi w:val="0"/>
        <w:spacing w:after="0" w:line="240" w:lineRule="auto"/>
        <w:jc w:val="both"/>
        <w:rPr>
          <w:rFonts w:ascii="Simplified Arabic" w:hAnsi="Simplified Arabic" w:cs="Simplified Arabic"/>
          <w:sz w:val="28"/>
          <w:szCs w:val="28"/>
        </w:rPr>
      </w:pPr>
    </w:p>
    <w:p w14:paraId="7347B85D" w14:textId="77777777" w:rsidR="003E7AF1" w:rsidRDefault="003E7AF1" w:rsidP="003E7AF1">
      <w:pPr>
        <w:jc w:val="both"/>
        <w:rPr>
          <w:rFonts w:ascii="Simplified Arabic" w:hAnsi="Simplified Arabic" w:cs="Simplified Arabic"/>
          <w:sz w:val="28"/>
          <w:szCs w:val="28"/>
          <w:u w:val="single"/>
          <w:lang w:bidi="ar-EG"/>
        </w:rPr>
      </w:pPr>
      <w:r>
        <w:rPr>
          <w:rFonts w:ascii="Simplified Arabic" w:hAnsi="Simplified Arabic" w:cs="Simplified Arabic"/>
          <w:sz w:val="28"/>
          <w:szCs w:val="28"/>
          <w:u w:val="single"/>
          <w:rtl/>
          <w:lang w:bidi="ar-EG"/>
        </w:rPr>
        <w:t>أهمية الدراسة:</w:t>
      </w:r>
    </w:p>
    <w:p w14:paraId="2178B914" w14:textId="77777777" w:rsidR="003E7AF1" w:rsidRDefault="003E7AF1" w:rsidP="003E7AF1">
      <w:pPr>
        <w:pStyle w:val="ListParagraph"/>
        <w:spacing w:after="0" w:line="240" w:lineRule="auto"/>
        <w:ind w:left="85" w:right="-23" w:firstLine="533"/>
        <w:jc w:val="both"/>
        <w:rPr>
          <w:rFonts w:ascii="Simplified Arabic" w:eastAsia="Times New Roman" w:hAnsi="Simplified Arabic" w:cs="Simplified Arabic"/>
          <w:sz w:val="28"/>
          <w:szCs w:val="28"/>
          <w:lang w:bidi="ar-EG"/>
        </w:rPr>
      </w:pPr>
      <w:r>
        <w:rPr>
          <w:rFonts w:ascii="Simplified Arabic" w:eastAsia="Times New Roman" w:hAnsi="Simplified Arabic" w:cs="Simplified Arabic"/>
          <w:sz w:val="28"/>
          <w:szCs w:val="28"/>
          <w:rtl/>
          <w:lang w:bidi="ar-EG"/>
        </w:rPr>
        <w:t>ترجع</w:t>
      </w:r>
      <w:r>
        <w:rPr>
          <w:rFonts w:ascii="Simplified Arabic" w:eastAsia="Times New Roman" w:hAnsi="Simplified Arabic" w:cs="Simplified Arabic"/>
          <w:sz w:val="28"/>
          <w:szCs w:val="28"/>
          <w:lang w:bidi="ar-EG"/>
        </w:rPr>
        <w:t xml:space="preserve"> </w:t>
      </w:r>
      <w:r>
        <w:rPr>
          <w:rFonts w:ascii="Simplified Arabic" w:eastAsia="Times New Roman" w:hAnsi="Simplified Arabic" w:cs="Simplified Arabic"/>
          <w:sz w:val="28"/>
          <w:szCs w:val="28"/>
          <w:rtl/>
          <w:lang w:bidi="ar-EG"/>
        </w:rPr>
        <w:t>أهمية</w:t>
      </w:r>
      <w:r>
        <w:rPr>
          <w:rFonts w:ascii="Simplified Arabic" w:eastAsia="Times New Roman" w:hAnsi="Simplified Arabic" w:cs="Simplified Arabic"/>
          <w:sz w:val="28"/>
          <w:szCs w:val="28"/>
          <w:lang w:bidi="ar-EG"/>
        </w:rPr>
        <w:t xml:space="preserve"> </w:t>
      </w:r>
      <w:r>
        <w:rPr>
          <w:rFonts w:ascii="Simplified Arabic" w:eastAsia="Times New Roman" w:hAnsi="Simplified Arabic" w:cs="Simplified Arabic"/>
          <w:sz w:val="28"/>
          <w:szCs w:val="28"/>
          <w:rtl/>
          <w:lang w:bidi="ar-EG"/>
        </w:rPr>
        <w:t>الدراسة</w:t>
      </w:r>
      <w:r>
        <w:rPr>
          <w:rFonts w:ascii="Simplified Arabic" w:eastAsia="Times New Roman" w:hAnsi="Simplified Arabic" w:cs="Simplified Arabic"/>
          <w:sz w:val="28"/>
          <w:szCs w:val="28"/>
          <w:lang w:bidi="ar-EG"/>
        </w:rPr>
        <w:t xml:space="preserve"> </w:t>
      </w:r>
      <w:r>
        <w:rPr>
          <w:rFonts w:ascii="Simplified Arabic" w:eastAsia="Times New Roman" w:hAnsi="Simplified Arabic" w:cs="Simplified Arabic"/>
          <w:sz w:val="28"/>
          <w:szCs w:val="28"/>
          <w:rtl/>
          <w:lang w:bidi="ar-EG"/>
        </w:rPr>
        <w:t>إلى محاولة قياس أثر الآليات المالية المستخدمة لتمويل عجز الموازنة العامة للدولة على التضخم في مصر منذ البدء في برنامج الإصلاح الاقتصادي خلال العام المالي 1991/1992 وحتى العام المالي 2018/2019، وذلك للتعرف على الآليات التي اتبعتها مصر لتمويل عجز الموازنة العامة للدولة خلال تلك الفترة وأثر كل منها على زيادة معدل التضخم، ومن ثم تحديد أفضل البدائل لتمويل عجز الموازنة العامة للدولة والذي يكون له أقل تأثير ممكن على زيادة معدل التضخم، ومن ثم تمكين واضعي السياسة الاقتصادية من اتخاذ إجراءات من شأنها إحداث تأثيرات إيجابية لخفض معدلات التضخم ومحاصرته، تحقيقاً لأهداف السياسة الاقتصادية.</w:t>
      </w:r>
    </w:p>
    <w:p w14:paraId="2F610052" w14:textId="77777777" w:rsidR="003E7AF1" w:rsidRDefault="003E7AF1" w:rsidP="003E7AF1">
      <w:pPr>
        <w:pStyle w:val="ListParagraph"/>
        <w:spacing w:after="0" w:line="240" w:lineRule="auto"/>
        <w:ind w:left="85" w:right="-23" w:firstLine="533"/>
        <w:jc w:val="both"/>
        <w:rPr>
          <w:rFonts w:ascii="Simplified Arabic" w:eastAsia="Times New Roman" w:hAnsi="Simplified Arabic" w:cs="Simplified Arabic"/>
          <w:sz w:val="28"/>
          <w:szCs w:val="28"/>
          <w:rtl/>
          <w:lang w:bidi="ar-EG"/>
        </w:rPr>
      </w:pPr>
    </w:p>
    <w:p w14:paraId="37560B47" w14:textId="77777777" w:rsidR="003E7AF1" w:rsidRDefault="003E7AF1" w:rsidP="003E7AF1">
      <w:pPr>
        <w:jc w:val="both"/>
        <w:rPr>
          <w:rFonts w:ascii="Simplified Arabic" w:eastAsiaTheme="minorEastAsia" w:hAnsi="Simplified Arabic" w:cs="Simplified Arabic"/>
          <w:sz w:val="28"/>
          <w:szCs w:val="28"/>
          <w:u w:val="single"/>
          <w:lang w:bidi="ar-EG"/>
        </w:rPr>
      </w:pPr>
      <w:r>
        <w:rPr>
          <w:rFonts w:ascii="Simplified Arabic" w:hAnsi="Simplified Arabic" w:cs="Simplified Arabic"/>
          <w:sz w:val="28"/>
          <w:szCs w:val="28"/>
          <w:u w:val="single"/>
          <w:rtl/>
          <w:lang w:bidi="ar-EG"/>
        </w:rPr>
        <w:t xml:space="preserve">أهداف الدراسة: </w:t>
      </w:r>
    </w:p>
    <w:p w14:paraId="7AFB7330" w14:textId="77777777" w:rsidR="003E7AF1" w:rsidRDefault="003E7AF1" w:rsidP="003E7AF1">
      <w:pPr>
        <w:pStyle w:val="ListParagraph"/>
        <w:spacing w:after="0" w:line="240" w:lineRule="auto"/>
        <w:ind w:left="85" w:right="-23" w:firstLine="531"/>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تهدف هذه الدراسة</w:t>
      </w:r>
      <w:r>
        <w:rPr>
          <w:rFonts w:ascii="Simplified Arabic" w:eastAsia="Times New Roman" w:hAnsi="Simplified Arabic" w:cs="Simplified Arabic"/>
          <w:sz w:val="28"/>
          <w:szCs w:val="28"/>
          <w:lang w:bidi="ar-EG"/>
        </w:rPr>
        <w:t xml:space="preserve"> </w:t>
      </w:r>
      <w:r>
        <w:rPr>
          <w:rFonts w:ascii="Simplified Arabic" w:eastAsia="Times New Roman" w:hAnsi="Simplified Arabic" w:cs="Simplified Arabic"/>
          <w:sz w:val="28"/>
          <w:szCs w:val="28"/>
          <w:rtl/>
          <w:lang w:bidi="ar-EG"/>
        </w:rPr>
        <w:t>إلى</w:t>
      </w:r>
      <w:r>
        <w:rPr>
          <w:rFonts w:ascii="Simplified Arabic" w:eastAsia="Times New Roman" w:hAnsi="Simplified Arabic" w:cs="Simplified Arabic"/>
          <w:sz w:val="28"/>
          <w:szCs w:val="28"/>
          <w:lang w:bidi="ar-EG"/>
        </w:rPr>
        <w:t xml:space="preserve"> </w:t>
      </w:r>
      <w:r>
        <w:rPr>
          <w:rFonts w:ascii="Simplified Arabic" w:eastAsia="Times New Roman" w:hAnsi="Simplified Arabic" w:cs="Simplified Arabic"/>
          <w:sz w:val="28"/>
          <w:szCs w:val="28"/>
          <w:rtl/>
          <w:lang w:bidi="ar-EG"/>
        </w:rPr>
        <w:t>تحليل</w:t>
      </w:r>
      <w:r>
        <w:rPr>
          <w:rFonts w:ascii="Simplified Arabic" w:eastAsia="Times New Roman" w:hAnsi="Simplified Arabic" w:cs="Simplified Arabic"/>
          <w:sz w:val="28"/>
          <w:szCs w:val="28"/>
          <w:lang w:bidi="ar-EG"/>
        </w:rPr>
        <w:t xml:space="preserve"> </w:t>
      </w:r>
      <w:r>
        <w:rPr>
          <w:rFonts w:ascii="Simplified Arabic" w:eastAsia="Times New Roman" w:hAnsi="Simplified Arabic" w:cs="Simplified Arabic"/>
          <w:sz w:val="28"/>
          <w:szCs w:val="28"/>
          <w:rtl/>
          <w:lang w:bidi="ar-EG"/>
        </w:rPr>
        <w:t>أثر الآليات المالية لتمويل عجز الموازنة العامة للدولة على التضخم في مصر خلال الفترة من العام المالي 1991/1992 وحتى العام المالي 2018/2019، ومن ثم التوصل إلى بعض التوصيات التي تساهم في تمويل عجز الموازنة العامة للدولة بأقل أثر ممكن على زيادة معدل التضخم، ومن هنا تهدف الدراسة إلى:</w:t>
      </w:r>
    </w:p>
    <w:p w14:paraId="1B7EF4D2" w14:textId="77777777" w:rsidR="003E7AF1" w:rsidRDefault="003E7AF1" w:rsidP="003E7AF1">
      <w:pPr>
        <w:pStyle w:val="ListParagraph"/>
        <w:spacing w:after="0" w:line="240" w:lineRule="auto"/>
        <w:ind w:left="85" w:right="-23" w:firstLine="531"/>
        <w:jc w:val="both"/>
        <w:rPr>
          <w:rFonts w:ascii="Simplified Arabic" w:eastAsia="Times New Roman" w:hAnsi="Simplified Arabic" w:cs="Simplified Arabic"/>
          <w:sz w:val="28"/>
          <w:szCs w:val="28"/>
          <w:rtl/>
          <w:lang w:bidi="ar-EG"/>
        </w:rPr>
      </w:pPr>
    </w:p>
    <w:p w14:paraId="7082E3D8" w14:textId="77777777" w:rsidR="003E7AF1" w:rsidRDefault="003E7AF1" w:rsidP="0041332D">
      <w:pPr>
        <w:pStyle w:val="ListParagraph"/>
        <w:numPr>
          <w:ilvl w:val="0"/>
          <w:numId w:val="5"/>
        </w:numPr>
        <w:spacing w:after="0" w:line="240" w:lineRule="auto"/>
        <w:ind w:left="510"/>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تحليل عجز الموازنة العامة ومصادر تمويله ومخاطر كل منها وتطور التضخم في مصر خلال الفترة 1991- 2019.</w:t>
      </w:r>
    </w:p>
    <w:p w14:paraId="686BC137" w14:textId="77777777" w:rsidR="003E7AF1" w:rsidRDefault="003E7AF1" w:rsidP="0041332D">
      <w:pPr>
        <w:pStyle w:val="ListParagraph"/>
        <w:numPr>
          <w:ilvl w:val="0"/>
          <w:numId w:val="5"/>
        </w:numPr>
        <w:spacing w:after="0" w:line="240" w:lineRule="auto"/>
        <w:ind w:left="510"/>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قياس أثر الآليات المالية لتمويل عجز الموازنة العامة للدولة على التضخم في مصر خلال فترة الدراسة.</w:t>
      </w:r>
    </w:p>
    <w:p w14:paraId="08E03C9E" w14:textId="77777777" w:rsidR="003E7AF1" w:rsidRDefault="003E7AF1" w:rsidP="003E7AF1">
      <w:pPr>
        <w:pStyle w:val="ListParagraph"/>
        <w:spacing w:after="0" w:line="240" w:lineRule="auto"/>
        <w:ind w:left="510"/>
        <w:jc w:val="both"/>
        <w:rPr>
          <w:rFonts w:ascii="Simplified Arabic" w:eastAsia="Times New Roman" w:hAnsi="Simplified Arabic" w:cs="Simplified Arabic"/>
          <w:sz w:val="28"/>
          <w:szCs w:val="28"/>
        </w:rPr>
      </w:pPr>
    </w:p>
    <w:p w14:paraId="1D822083" w14:textId="77777777" w:rsidR="003E7AF1" w:rsidRDefault="003E7AF1" w:rsidP="003E7AF1">
      <w:pPr>
        <w:pStyle w:val="ListParagraph"/>
        <w:spacing w:after="0" w:line="240" w:lineRule="auto"/>
        <w:ind w:left="510"/>
        <w:jc w:val="both"/>
        <w:rPr>
          <w:rFonts w:ascii="Simplified Arabic" w:eastAsia="Times New Roman" w:hAnsi="Simplified Arabic" w:cs="Simplified Arabic"/>
          <w:sz w:val="28"/>
          <w:szCs w:val="28"/>
          <w:rtl/>
        </w:rPr>
      </w:pPr>
    </w:p>
    <w:p w14:paraId="24261463" w14:textId="77777777" w:rsidR="003E7AF1" w:rsidRDefault="003E7AF1" w:rsidP="003E7AF1">
      <w:pPr>
        <w:jc w:val="both"/>
        <w:rPr>
          <w:rFonts w:ascii="Simplified Arabic" w:eastAsiaTheme="minorEastAsia" w:hAnsi="Simplified Arabic" w:cs="Simplified Arabic"/>
          <w:sz w:val="28"/>
          <w:szCs w:val="28"/>
          <w:u w:val="single"/>
          <w:lang w:bidi="ar-EG"/>
        </w:rPr>
      </w:pPr>
      <w:r>
        <w:rPr>
          <w:rFonts w:ascii="Simplified Arabic" w:hAnsi="Simplified Arabic" w:cs="Simplified Arabic"/>
          <w:sz w:val="28"/>
          <w:szCs w:val="28"/>
          <w:u w:val="single"/>
          <w:rtl/>
          <w:lang w:bidi="ar-EG"/>
        </w:rPr>
        <w:lastRenderedPageBreak/>
        <w:t xml:space="preserve">أسئلة الدراسة: </w:t>
      </w:r>
    </w:p>
    <w:p w14:paraId="63E8E8CA" w14:textId="77777777" w:rsidR="003E7AF1" w:rsidRDefault="003E7AF1" w:rsidP="003E7AF1">
      <w:pPr>
        <w:pStyle w:val="ListParagraph"/>
        <w:spacing w:after="0" w:line="240" w:lineRule="auto"/>
        <w:ind w:left="85" w:right="-23" w:firstLine="533"/>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حيث أن مصر تعاني من عجز مزمن في الموازنة العامة للدولة نتيجة</w:t>
      </w:r>
      <w:r>
        <w:rPr>
          <w:rFonts w:ascii="Simplified Arabic" w:eastAsia="Times New Roman" w:hAnsi="Simplified Arabic" w:cs="Simplified Arabic"/>
          <w:sz w:val="28"/>
          <w:szCs w:val="28"/>
          <w:lang w:bidi="ar-EG"/>
        </w:rPr>
        <w:t xml:space="preserve"> </w:t>
      </w:r>
      <w:r>
        <w:rPr>
          <w:rFonts w:ascii="Simplified Arabic" w:eastAsia="Times New Roman" w:hAnsi="Simplified Arabic" w:cs="Simplified Arabic"/>
          <w:sz w:val="28"/>
          <w:szCs w:val="28"/>
          <w:rtl/>
          <w:lang w:bidi="ar-EG"/>
        </w:rPr>
        <w:t>للنقص</w:t>
      </w:r>
      <w:r>
        <w:rPr>
          <w:rFonts w:ascii="Simplified Arabic" w:eastAsia="Times New Roman" w:hAnsi="Simplified Arabic" w:cs="Simplified Arabic"/>
          <w:sz w:val="28"/>
          <w:szCs w:val="28"/>
          <w:lang w:bidi="ar-EG"/>
        </w:rPr>
        <w:t xml:space="preserve"> </w:t>
      </w:r>
      <w:r>
        <w:rPr>
          <w:rFonts w:ascii="Simplified Arabic" w:eastAsia="Times New Roman" w:hAnsi="Simplified Arabic" w:cs="Simplified Arabic"/>
          <w:sz w:val="28"/>
          <w:szCs w:val="28"/>
          <w:rtl/>
          <w:lang w:bidi="ar-EG"/>
        </w:rPr>
        <w:t>في إيراداتها المحققة وزيادة أعبائها المالية، مما حدا بالدولة إلى استخدام مختلف الآليات المالية لتمويل هذا العجز مما أثر بشكل سلبي على بعض متغيرات الاقتصاد الكلي وخاصة التضخم، ونظراً لأن خفض عجز الموازنة العامة للدولة والسيطرة على معدل التضخم من أهم أهداف السياسة الاقتصادية، وبالتالي تسعى الدراسة إلى الإجابة على تساؤلين رئيسيين هما:</w:t>
      </w:r>
    </w:p>
    <w:p w14:paraId="79376A84" w14:textId="77777777" w:rsidR="003E7AF1" w:rsidRDefault="003E7AF1" w:rsidP="0041332D">
      <w:pPr>
        <w:pStyle w:val="ListParagraph"/>
        <w:numPr>
          <w:ilvl w:val="0"/>
          <w:numId w:val="5"/>
        </w:numPr>
        <w:spacing w:after="0" w:line="240" w:lineRule="auto"/>
        <w:ind w:left="510"/>
        <w:jc w:val="both"/>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t>هل يوجد علاقة بين الآليات المالية المختلفة لتمويل عجز الموازنة العامة ومعدلات التضخم في مصر خلال فترة الدراسة؟</w:t>
      </w:r>
    </w:p>
    <w:p w14:paraId="5DFE41B0" w14:textId="77777777" w:rsidR="003E7AF1" w:rsidRDefault="003E7AF1" w:rsidP="0041332D">
      <w:pPr>
        <w:pStyle w:val="ListParagraph"/>
        <w:numPr>
          <w:ilvl w:val="0"/>
          <w:numId w:val="5"/>
        </w:numPr>
        <w:spacing w:after="0" w:line="240" w:lineRule="auto"/>
        <w:ind w:left="510"/>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ما هي قوة واتجاه العلاقة بين الآليات المالية المختلفة لتمويل عجز الموازنة العامة ومعدلات التضخم في مصر خلال فترة الدراسة؟</w:t>
      </w:r>
    </w:p>
    <w:p w14:paraId="7E2AE0F7" w14:textId="77777777" w:rsidR="003E7AF1" w:rsidRDefault="003E7AF1" w:rsidP="003E7AF1">
      <w:pPr>
        <w:pStyle w:val="ListParagraph"/>
        <w:spacing w:after="0" w:line="240" w:lineRule="auto"/>
        <w:ind w:left="510"/>
        <w:jc w:val="both"/>
        <w:rPr>
          <w:rFonts w:ascii="Simplified Arabic" w:eastAsia="Times New Roman" w:hAnsi="Simplified Arabic" w:cs="Simplified Arabic"/>
          <w:sz w:val="28"/>
          <w:szCs w:val="28"/>
        </w:rPr>
      </w:pPr>
    </w:p>
    <w:p w14:paraId="4E055060" w14:textId="77777777" w:rsidR="003E7AF1" w:rsidRDefault="003E7AF1" w:rsidP="003E7AF1">
      <w:pPr>
        <w:jc w:val="both"/>
        <w:rPr>
          <w:rFonts w:ascii="Simplified Arabic" w:eastAsiaTheme="minorEastAsia" w:hAnsi="Simplified Arabic" w:cs="Simplified Arabic"/>
          <w:sz w:val="28"/>
          <w:szCs w:val="28"/>
          <w:u w:val="single"/>
          <w:lang w:bidi="ar-EG"/>
        </w:rPr>
      </w:pPr>
      <w:r>
        <w:rPr>
          <w:rFonts w:ascii="Simplified Arabic" w:hAnsi="Simplified Arabic" w:cs="Simplified Arabic"/>
          <w:sz w:val="28"/>
          <w:szCs w:val="28"/>
          <w:u w:val="single"/>
          <w:rtl/>
          <w:lang w:bidi="ar-EG"/>
        </w:rPr>
        <w:t>فرضية الدراسة:</w:t>
      </w:r>
    </w:p>
    <w:p w14:paraId="3CE95B67" w14:textId="77777777" w:rsidR="003E7AF1" w:rsidRDefault="003E7AF1" w:rsidP="003E7AF1">
      <w:pPr>
        <w:pStyle w:val="ListParagraph"/>
        <w:spacing w:after="0" w:line="240" w:lineRule="auto"/>
        <w:ind w:left="85" w:right="-23" w:firstLine="531"/>
        <w:jc w:val="both"/>
        <w:rPr>
          <w:rFonts w:ascii="Simplified Arabic" w:eastAsia="Times New Roman" w:hAnsi="Simplified Arabic" w:cs="Simplified Arabic"/>
          <w:sz w:val="28"/>
          <w:szCs w:val="28"/>
          <w:lang w:bidi="ar-EG"/>
        </w:rPr>
      </w:pPr>
      <w:r>
        <w:rPr>
          <w:rFonts w:ascii="Simplified Arabic" w:eastAsia="Times New Roman" w:hAnsi="Simplified Arabic" w:cs="Simplified Arabic"/>
          <w:sz w:val="28"/>
          <w:szCs w:val="28"/>
          <w:rtl/>
          <w:lang w:bidi="ar-EG"/>
        </w:rPr>
        <w:t>انطلاقاً من طبيعة المشكلة وأهداف الدراسة تسعى الدراسة إلى اختبار فرضية أن هناك تأثير معنوي للآليات المالية المستخدمة لتمويل عجز الموازنة العامة على التضخم في مصر خلال فترة الدراسة، ويصاغ الفرض على النحو التالي:</w:t>
      </w:r>
    </w:p>
    <w:p w14:paraId="5F6440CE" w14:textId="77777777" w:rsidR="003E7AF1" w:rsidRDefault="003E7AF1" w:rsidP="003E7AF1">
      <w:pPr>
        <w:ind w:left="1786" w:hanging="1276"/>
        <w:jc w:val="both"/>
        <w:rPr>
          <w:rFonts w:ascii="Simplified Arabic" w:hAnsi="Simplified Arabic" w:cs="Simplified Arabic"/>
          <w:sz w:val="28"/>
          <w:szCs w:val="28"/>
          <w:rtl/>
        </w:rPr>
      </w:pPr>
      <w:r>
        <w:rPr>
          <w:rFonts w:ascii="Simplified Arabic" w:hAnsi="Simplified Arabic" w:cs="Simplified Arabic"/>
          <w:sz w:val="28"/>
          <w:szCs w:val="28"/>
          <w:rtl/>
        </w:rPr>
        <w:t>الفرض العدم</w:t>
      </w:r>
      <w:r>
        <w:rPr>
          <w:rFonts w:ascii="Simplified Arabic" w:hAnsi="Simplified Arabic" w:cs="Simplified Arabic"/>
          <w:sz w:val="28"/>
          <w:szCs w:val="28"/>
        </w:rPr>
        <w:t>:</w:t>
      </w:r>
      <w:r>
        <w:rPr>
          <w:rFonts w:ascii="Simplified Arabic" w:hAnsi="Simplified Arabic" w:cs="Simplified Arabic"/>
          <w:sz w:val="28"/>
          <w:szCs w:val="28"/>
          <w:rtl/>
        </w:rPr>
        <w:t xml:space="preserve"> لا يوجد تأثير معنوي للآليات المالية المستخدمة لتمويل عجز الموازنة العامة على التضخم في مصر خلال فترة الدراسة.</w:t>
      </w:r>
    </w:p>
    <w:p w14:paraId="2416F621" w14:textId="77777777" w:rsidR="003E7AF1" w:rsidRDefault="003E7AF1" w:rsidP="003E7AF1">
      <w:pPr>
        <w:ind w:left="1786" w:hanging="1276"/>
        <w:jc w:val="both"/>
        <w:rPr>
          <w:rFonts w:ascii="Simplified Arabic" w:hAnsi="Simplified Arabic" w:cs="Simplified Arabic"/>
          <w:sz w:val="28"/>
          <w:szCs w:val="28"/>
          <w:rtl/>
        </w:rPr>
      </w:pPr>
      <w:r>
        <w:rPr>
          <w:rFonts w:ascii="Simplified Arabic" w:hAnsi="Simplified Arabic" w:cs="Simplified Arabic"/>
          <w:sz w:val="28"/>
          <w:szCs w:val="28"/>
          <w:rtl/>
        </w:rPr>
        <w:t>الفرض البديل: يوجد تأثير معنوي للآليات المالية المستخدمة لتمويل عجز الموازنة العامة على التضخم في مصر خلال فترة الدراسة.</w:t>
      </w:r>
    </w:p>
    <w:p w14:paraId="1FED1AEB" w14:textId="77777777" w:rsidR="003E7AF1" w:rsidRDefault="003E7AF1" w:rsidP="003E7AF1">
      <w:pPr>
        <w:ind w:right="-23"/>
        <w:jc w:val="both"/>
        <w:rPr>
          <w:rFonts w:ascii="Simplified Arabic" w:hAnsi="Simplified Arabic" w:cs="Simplified Arabic"/>
          <w:sz w:val="28"/>
          <w:szCs w:val="28"/>
          <w:rtl/>
        </w:rPr>
      </w:pPr>
    </w:p>
    <w:p w14:paraId="662E756C" w14:textId="77777777" w:rsidR="003E7AF1" w:rsidRDefault="003E7AF1" w:rsidP="003E7AF1">
      <w:pPr>
        <w:jc w:val="both"/>
        <w:rPr>
          <w:rFonts w:ascii="Simplified Arabic" w:eastAsiaTheme="minorEastAsia" w:hAnsi="Simplified Arabic" w:cs="Simplified Arabic"/>
          <w:sz w:val="28"/>
          <w:szCs w:val="28"/>
          <w:u w:val="single"/>
          <w:rtl/>
          <w:lang w:bidi="ar-EG"/>
        </w:rPr>
      </w:pPr>
      <w:r>
        <w:rPr>
          <w:rFonts w:ascii="Simplified Arabic" w:hAnsi="Simplified Arabic" w:cs="Simplified Arabic"/>
          <w:sz w:val="28"/>
          <w:szCs w:val="28"/>
          <w:u w:val="single"/>
          <w:rtl/>
          <w:lang w:bidi="ar-EG"/>
        </w:rPr>
        <w:t>منهجية الدراسة:</w:t>
      </w:r>
    </w:p>
    <w:p w14:paraId="1F5B9816" w14:textId="77777777" w:rsidR="003E7AF1" w:rsidRDefault="003E7AF1" w:rsidP="003E7AF1">
      <w:pPr>
        <w:pStyle w:val="ListParagraph"/>
        <w:spacing w:after="0" w:line="240" w:lineRule="auto"/>
        <w:ind w:left="85" w:right="-23" w:firstLine="533"/>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تعتمد هذه الدراسة على استخدام المنهج الوصفي والمنهجي التحليلي القياسي، بحيث يتضمن المنهج الوصفي استعراض بيانات الموازنة العامة للدولة في مصر خلال فترة الدراسة ومقدار العجز المتحقق والآليات المالية المستخدمة لتمويل هذا العجز، كما يتناول بيانات التضخم في مصر خلال ذات الفترة وبيانات المحددات الاقتصادية التي تؤثر في التضخم.</w:t>
      </w:r>
    </w:p>
    <w:p w14:paraId="17E65465" w14:textId="77777777" w:rsidR="003E7AF1" w:rsidRDefault="003E7AF1" w:rsidP="003E7AF1">
      <w:pPr>
        <w:pStyle w:val="ListParagraph"/>
        <w:spacing w:after="0" w:line="240" w:lineRule="auto"/>
        <w:ind w:left="85" w:right="-23" w:firstLine="533"/>
        <w:jc w:val="both"/>
        <w:rPr>
          <w:rFonts w:ascii="Simplified Arabic" w:eastAsia="Times New Roman" w:hAnsi="Simplified Arabic" w:cs="Simplified Arabic"/>
          <w:sz w:val="28"/>
          <w:szCs w:val="28"/>
          <w:rtl/>
          <w:lang w:bidi="ar-EG"/>
        </w:rPr>
      </w:pPr>
    </w:p>
    <w:p w14:paraId="7A405658" w14:textId="77777777" w:rsidR="003E7AF1" w:rsidRDefault="003E7AF1" w:rsidP="003E7AF1">
      <w:pPr>
        <w:pStyle w:val="ListParagraph"/>
        <w:spacing w:after="0" w:line="240" w:lineRule="auto"/>
        <w:ind w:left="85" w:right="-23" w:firstLine="533"/>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 xml:space="preserve">بينما يتضمن المنهج التحليلي القياسي الاعتماد على النظريات الاقتصادية والدراسات القياسية السابقة التي تناولت العلاقات المتبادلة بين عجز الموازنة العامة للدولة والتضخم، حيث يتضمن النموذج القياسي تحليل بيانات السلاسل الزمنية باستخدام نموذج </w:t>
      </w:r>
      <w:proofErr w:type="spellStart"/>
      <w:r>
        <w:rPr>
          <w:rFonts w:ascii="Simplified Arabic" w:eastAsia="Times New Roman" w:hAnsi="Simplified Arabic" w:cs="Simplified Arabic"/>
          <w:sz w:val="28"/>
          <w:szCs w:val="28"/>
          <w:rtl/>
          <w:lang w:bidi="ar-EG"/>
        </w:rPr>
        <w:t>الإنحدار</w:t>
      </w:r>
      <w:proofErr w:type="spellEnd"/>
      <w:r>
        <w:rPr>
          <w:rFonts w:ascii="Simplified Arabic" w:eastAsia="Times New Roman" w:hAnsi="Simplified Arabic" w:cs="Simplified Arabic"/>
          <w:sz w:val="28"/>
          <w:szCs w:val="28"/>
          <w:rtl/>
          <w:lang w:bidi="ar-EG"/>
        </w:rPr>
        <w:t xml:space="preserve"> الذاتي والمتضمن التضخم مقاساً بالرقم القياسي لأسعار المستهلكين (كمتغير تابع) والآليات المالية المستخدمة لتمويل عجز الموازنة العامة للدولة (كمتغيرات مستقلة)، بالإضافة إلى عدد من المتغيرات المستقلة الأخرى التي تؤثر على التضخم. </w:t>
      </w:r>
    </w:p>
    <w:p w14:paraId="113D5BE4" w14:textId="77777777" w:rsidR="003E7AF1" w:rsidRDefault="003E7AF1" w:rsidP="003E7AF1">
      <w:pPr>
        <w:jc w:val="both"/>
        <w:rPr>
          <w:rFonts w:ascii="Simplified Arabic" w:eastAsiaTheme="minorEastAsia" w:hAnsi="Simplified Arabic" w:cs="Simplified Arabic"/>
          <w:sz w:val="28"/>
          <w:szCs w:val="28"/>
          <w:u w:val="single"/>
          <w:rtl/>
          <w:lang w:bidi="ar-EG"/>
        </w:rPr>
      </w:pPr>
      <w:r>
        <w:rPr>
          <w:rFonts w:ascii="Simplified Arabic" w:hAnsi="Simplified Arabic" w:cs="Simplified Arabic"/>
          <w:sz w:val="28"/>
          <w:szCs w:val="28"/>
          <w:u w:val="single"/>
          <w:rtl/>
          <w:lang w:bidi="ar-EG"/>
        </w:rPr>
        <w:lastRenderedPageBreak/>
        <w:t>حدود الدراسة:</w:t>
      </w:r>
    </w:p>
    <w:p w14:paraId="79FAFF49" w14:textId="77777777" w:rsidR="003E7AF1" w:rsidRDefault="003E7AF1" w:rsidP="003E7AF1">
      <w:pPr>
        <w:pStyle w:val="ListParagraph"/>
        <w:spacing w:after="0" w:line="240" w:lineRule="auto"/>
        <w:ind w:left="85" w:right="-23" w:firstLine="531"/>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تتناول الدراسة من الناحية المكانية جمهورية مصر العربية، أما من الناحية الزمنية فتتناول الدراسة الفترة من العام المالي 1991/1992 وحتى العام المالي 2018/2019، لتحليل آثر الآليات المالية لتمويل عجز الموازنة العامة للدولة على معدلات التضخم منذ انطلاق برنامج التثبيت والتكيف الهيكلي عام 1991، وذلك بغرض الاستفادة من تلك التجربة في برنامج الإصلاح الاقتصادي الحالي مع صندوق النقد الدولي والذي انطلق عام 2016 وذلك لتجنب الإخفاقات التي حدثت أثناء وبعد تطبيق برنامج التثبيت والتكيف الهيكلي.</w:t>
      </w:r>
    </w:p>
    <w:p w14:paraId="2D207BF9" w14:textId="77777777" w:rsidR="003E7AF1" w:rsidRDefault="003E7AF1" w:rsidP="003E7AF1">
      <w:pPr>
        <w:tabs>
          <w:tab w:val="right" w:pos="1558"/>
        </w:tabs>
        <w:ind w:left="119" w:right="-23" w:firstLine="601"/>
        <w:jc w:val="both"/>
        <w:rPr>
          <w:rFonts w:ascii="Simplified Arabic" w:hAnsi="Simplified Arabic" w:cs="Simplified Arabic"/>
          <w:sz w:val="28"/>
          <w:szCs w:val="28"/>
          <w:rtl/>
          <w:lang w:bidi="ar-EG"/>
        </w:rPr>
      </w:pPr>
    </w:p>
    <w:p w14:paraId="5240BB06" w14:textId="77777777" w:rsidR="003E7AF1" w:rsidRDefault="003E7AF1" w:rsidP="003E7AF1">
      <w:pPr>
        <w:jc w:val="both"/>
        <w:rPr>
          <w:rFonts w:ascii="Simplified Arabic" w:eastAsiaTheme="minorEastAsia" w:hAnsi="Simplified Arabic" w:cs="Simplified Arabic"/>
          <w:sz w:val="28"/>
          <w:szCs w:val="28"/>
          <w:u w:val="single"/>
          <w:rtl/>
          <w:lang w:bidi="ar-EG"/>
        </w:rPr>
      </w:pPr>
      <w:r>
        <w:rPr>
          <w:rFonts w:ascii="Simplified Arabic" w:hAnsi="Simplified Arabic" w:cs="Simplified Arabic"/>
          <w:sz w:val="28"/>
          <w:szCs w:val="28"/>
          <w:u w:val="single"/>
          <w:rtl/>
          <w:lang w:bidi="ar-EG"/>
        </w:rPr>
        <w:t>خطة الدراسة:</w:t>
      </w:r>
    </w:p>
    <w:p w14:paraId="1853BE88" w14:textId="77777777" w:rsidR="003E7AF1" w:rsidRDefault="003E7AF1" w:rsidP="003E7AF1">
      <w:pPr>
        <w:pStyle w:val="ListParagraph"/>
        <w:spacing w:after="0" w:line="240" w:lineRule="auto"/>
        <w:ind w:left="85" w:right="-23" w:firstLine="533"/>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طبقاً لإشكالية الدراسة ومن أجل تحقيق أهدافه، ومع الأخذ</w:t>
      </w:r>
      <w:r>
        <w:rPr>
          <w:rFonts w:ascii="Simplified Arabic" w:eastAsia="Times New Roman" w:hAnsi="Simplified Arabic" w:cs="Simplified Arabic"/>
          <w:sz w:val="28"/>
          <w:szCs w:val="28"/>
          <w:lang w:bidi="ar-EG"/>
        </w:rPr>
        <w:t xml:space="preserve"> </w:t>
      </w:r>
      <w:r>
        <w:rPr>
          <w:rFonts w:ascii="Simplified Arabic" w:eastAsia="Times New Roman" w:hAnsi="Simplified Arabic" w:cs="Simplified Arabic"/>
          <w:sz w:val="28"/>
          <w:szCs w:val="28"/>
          <w:rtl/>
          <w:lang w:bidi="ar-EG"/>
        </w:rPr>
        <w:t xml:space="preserve">في الاعتبار الأسئلة التي تحاول الدراسة الإجابة عليها، وتطبيقاً للمنهج الذي تم تحديده، فسوف يتم تقسيم الدراسة إلى ثلاثة فصول: </w:t>
      </w:r>
    </w:p>
    <w:p w14:paraId="5FC129B7" w14:textId="77777777" w:rsidR="003E7AF1" w:rsidRDefault="003E7AF1" w:rsidP="003E7AF1">
      <w:pPr>
        <w:pStyle w:val="ListParagraph"/>
        <w:spacing w:after="0" w:line="240" w:lineRule="auto"/>
        <w:ind w:left="85" w:right="-23" w:firstLine="533"/>
        <w:jc w:val="both"/>
        <w:rPr>
          <w:rFonts w:ascii="Simplified Arabic" w:eastAsia="Times New Roman" w:hAnsi="Simplified Arabic" w:cs="Simplified Arabic"/>
          <w:sz w:val="28"/>
          <w:szCs w:val="28"/>
          <w:rtl/>
          <w:lang w:bidi="ar-EG"/>
        </w:rPr>
      </w:pPr>
    </w:p>
    <w:p w14:paraId="106A482C" w14:textId="77777777" w:rsidR="003E7AF1" w:rsidRDefault="003E7AF1" w:rsidP="003E7AF1">
      <w:pPr>
        <w:pStyle w:val="ListParagraph"/>
        <w:spacing w:after="0" w:line="240" w:lineRule="auto"/>
        <w:ind w:left="85" w:right="-23" w:firstLine="533"/>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سوف يتناول الفصل الأول الإطار النظري لظاهرة التضخم وعجز الموازنة العامة وآليات تمويله، حيث سيتم التعرض لظاهرة التضخم من حيث أهم تعريفاته وأنواعه والنظريات المفسرة، وآثاره والسياسات العلاجية له، ثم التعرف على ماهية عجز الموازنة العامة وأهم أنواعه ونبذة عن أهم أسباب عجز الموازنة العامة، وكذا الآليات المالية لتمويل عجز الموازنة وأثر كل آلية من هذه الآليات على معدلات التضخم.</w:t>
      </w:r>
    </w:p>
    <w:p w14:paraId="585F68AB" w14:textId="77777777" w:rsidR="003E7AF1" w:rsidRDefault="003E7AF1" w:rsidP="003E7AF1">
      <w:pPr>
        <w:pStyle w:val="ListParagraph"/>
        <w:spacing w:after="0" w:line="240" w:lineRule="auto"/>
        <w:ind w:left="85" w:right="-23" w:firstLine="533"/>
        <w:jc w:val="both"/>
        <w:rPr>
          <w:rFonts w:ascii="Simplified Arabic" w:eastAsia="Times New Roman" w:hAnsi="Simplified Arabic" w:cs="Simplified Arabic"/>
          <w:sz w:val="28"/>
          <w:szCs w:val="28"/>
          <w:rtl/>
          <w:lang w:bidi="ar-EG"/>
        </w:rPr>
      </w:pPr>
    </w:p>
    <w:p w14:paraId="5F3F5A29" w14:textId="77777777" w:rsidR="003E7AF1" w:rsidRDefault="003E7AF1" w:rsidP="003E7AF1">
      <w:pPr>
        <w:pStyle w:val="ListParagraph"/>
        <w:spacing w:after="0" w:line="240" w:lineRule="auto"/>
        <w:ind w:left="85" w:right="-23" w:firstLine="533"/>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أما الفصل الثاني فسيتناول الإطار التحليلي حيث سيتم استعراض تطور عجز الموازنة العامة وتتبع الآليات المالية لتمويل العجز ومعدلات التضخم في مصر خلال الفترة محل الدراسة، وذلك باستخدام سلسلة زمنية تغطي تلك الفترة ثم إجراء اختبار إحصائي للعلاقة بين آليات تمويل عجز الموازنة العامة للدولة والتضخم.</w:t>
      </w:r>
    </w:p>
    <w:p w14:paraId="1C72C245" w14:textId="77777777" w:rsidR="003E7AF1" w:rsidRDefault="003E7AF1" w:rsidP="003E7AF1">
      <w:pPr>
        <w:pStyle w:val="ListParagraph"/>
        <w:spacing w:after="0" w:line="240" w:lineRule="auto"/>
        <w:ind w:left="85" w:right="-23" w:firstLine="533"/>
        <w:jc w:val="both"/>
        <w:rPr>
          <w:rFonts w:ascii="Simplified Arabic" w:eastAsia="Times New Roman" w:hAnsi="Simplified Arabic" w:cs="Simplified Arabic"/>
          <w:sz w:val="28"/>
          <w:szCs w:val="28"/>
          <w:rtl/>
          <w:lang w:bidi="ar-EG"/>
        </w:rPr>
      </w:pPr>
    </w:p>
    <w:p w14:paraId="79938FB4" w14:textId="77777777" w:rsidR="003E7AF1" w:rsidRDefault="003E7AF1" w:rsidP="003E7AF1">
      <w:pPr>
        <w:pStyle w:val="ListParagraph"/>
        <w:spacing w:after="0" w:line="240" w:lineRule="auto"/>
        <w:ind w:left="85" w:right="-23" w:firstLine="533"/>
        <w:jc w:val="both"/>
        <w:rPr>
          <w:rFonts w:ascii="Simplified Arabic" w:eastAsia="Times New Roman" w:hAnsi="Simplified Arabic" w:cs="Simplified Arabic"/>
          <w:sz w:val="28"/>
          <w:szCs w:val="28"/>
          <w:lang w:bidi="ar-EG"/>
        </w:rPr>
      </w:pPr>
      <w:r>
        <w:rPr>
          <w:rFonts w:ascii="Simplified Arabic" w:eastAsia="Times New Roman" w:hAnsi="Simplified Arabic" w:cs="Simplified Arabic"/>
          <w:sz w:val="28"/>
          <w:szCs w:val="28"/>
          <w:rtl/>
          <w:lang w:bidi="ar-EG"/>
        </w:rPr>
        <w:t>وأخيراً فإن الفصل الثالث سيتناول النموذج القياسي المستخدم للتعرف على أثر عجز الموازنة العامة على التضخم خلال فترة الدراسة، وتحليل النتائج الاقتصادية والإحصائية، وأخيراً فسوف تعرض الدراسة لأهم النتائج التي سيتم التوصل إليها، وعلى إثرها فسيتم وضع مجموعة</w:t>
      </w:r>
      <w:r>
        <w:rPr>
          <w:rFonts w:ascii="Simplified Arabic" w:eastAsia="Times New Roman" w:hAnsi="Simplified Arabic" w:cs="Simplified Arabic"/>
          <w:sz w:val="28"/>
          <w:szCs w:val="28"/>
          <w:lang w:bidi="ar-EG"/>
        </w:rPr>
        <w:t xml:space="preserve"> </w:t>
      </w:r>
      <w:r>
        <w:rPr>
          <w:rFonts w:ascii="Simplified Arabic" w:eastAsia="Times New Roman" w:hAnsi="Simplified Arabic" w:cs="Simplified Arabic"/>
          <w:sz w:val="28"/>
          <w:szCs w:val="28"/>
          <w:rtl/>
          <w:lang w:bidi="ar-EG"/>
        </w:rPr>
        <w:t>من التوصيات التي نراها مناسبة.</w:t>
      </w:r>
    </w:p>
    <w:p w14:paraId="4AE820DC" w14:textId="7CF83934" w:rsidR="003E7AF1" w:rsidRDefault="003E7AF1">
      <w:pPr>
        <w:bidi w:val="0"/>
        <w:spacing w:after="160" w:line="259" w:lineRule="auto"/>
        <w:rPr>
          <w:rtl/>
        </w:rPr>
      </w:pPr>
      <w:r>
        <w:rPr>
          <w:rtl/>
        </w:rPr>
        <w:br w:type="page"/>
      </w:r>
    </w:p>
    <w:p w14:paraId="647725B0" w14:textId="77777777" w:rsidR="002959BC" w:rsidRDefault="002959BC" w:rsidP="002959BC">
      <w:pPr>
        <w:spacing w:before="120" w:after="120" w:line="288" w:lineRule="auto"/>
        <w:jc w:val="center"/>
        <w:rPr>
          <w:rFonts w:asciiTheme="minorBidi" w:hAnsiTheme="minorBidi"/>
          <w:b/>
          <w:bCs/>
          <w:sz w:val="36"/>
          <w:szCs w:val="36"/>
          <w:rtl/>
          <w:lang w:bidi="ar-EG"/>
        </w:rPr>
      </w:pPr>
    </w:p>
    <w:p w14:paraId="49EDB198" w14:textId="52E97AE8" w:rsidR="002959BC" w:rsidRDefault="002959BC" w:rsidP="002959BC">
      <w:pPr>
        <w:spacing w:before="120" w:after="120" w:line="288" w:lineRule="auto"/>
        <w:jc w:val="center"/>
        <w:rPr>
          <w:rFonts w:asciiTheme="minorBidi" w:hAnsiTheme="minorBidi"/>
          <w:b/>
          <w:bCs/>
          <w:sz w:val="36"/>
          <w:szCs w:val="36"/>
          <w:rtl/>
          <w:lang w:bidi="ar-EG"/>
        </w:rPr>
      </w:pPr>
      <w:r>
        <w:rPr>
          <w:rFonts w:asciiTheme="minorBidi" w:hAnsiTheme="minorBidi"/>
          <w:b/>
          <w:bCs/>
          <w:sz w:val="36"/>
          <w:szCs w:val="36"/>
          <w:rtl/>
        </w:rPr>
        <mc:AlternateContent>
          <mc:Choice Requires="wps">
            <w:drawing>
              <wp:anchor distT="0" distB="0" distL="114300" distR="114300" simplePos="0" relativeHeight="251664384" behindDoc="0" locked="0" layoutInCell="1" allowOverlap="1" wp14:anchorId="0D33FD32" wp14:editId="34343BDE">
                <wp:simplePos x="0" y="0"/>
                <wp:positionH relativeFrom="margin">
                  <wp:align>center</wp:align>
                </wp:positionH>
                <wp:positionV relativeFrom="margin">
                  <wp:align>center</wp:align>
                </wp:positionV>
                <wp:extent cx="5267325" cy="1504950"/>
                <wp:effectExtent l="9525" t="12700" r="19050" b="25400"/>
                <wp:wrapNone/>
                <wp:docPr id="8"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1504950"/>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1E85225C" w14:textId="77777777" w:rsidR="00270E6A" w:rsidRPr="000703BD" w:rsidRDefault="00270E6A" w:rsidP="002959BC">
                            <w:pPr>
                              <w:jc w:val="center"/>
                              <w:rPr>
                                <w:rFonts w:ascii="Simplified Arabic" w:hAnsi="Simplified Arabic" w:cs="Simplified Arabic"/>
                                <w:b/>
                                <w:bCs/>
                                <w:sz w:val="32"/>
                                <w:szCs w:val="32"/>
                                <w:rtl/>
                                <w:lang w:bidi="ar-EG"/>
                              </w:rPr>
                            </w:pPr>
                            <w:r w:rsidRPr="000703BD">
                              <w:rPr>
                                <w:rFonts w:ascii="Simplified Arabic" w:hAnsi="Simplified Arabic" w:cs="Simplified Arabic"/>
                                <w:b/>
                                <w:bCs/>
                                <w:sz w:val="32"/>
                                <w:szCs w:val="32"/>
                                <w:rtl/>
                                <w:lang w:bidi="ar-EG"/>
                              </w:rPr>
                              <w:t>الفص</w:t>
                            </w:r>
                            <w:r w:rsidRPr="000703BD">
                              <w:rPr>
                                <w:rFonts w:ascii="Simplified Arabic" w:hAnsi="Simplified Arabic" w:cs="Simplified Arabic" w:hint="cs"/>
                                <w:b/>
                                <w:bCs/>
                                <w:sz w:val="32"/>
                                <w:szCs w:val="32"/>
                                <w:rtl/>
                                <w:lang w:bidi="ar-EG"/>
                              </w:rPr>
                              <w:t>ـــ</w:t>
                            </w:r>
                            <w:r w:rsidRPr="000703BD">
                              <w:rPr>
                                <w:rFonts w:ascii="Simplified Arabic" w:hAnsi="Simplified Arabic" w:cs="Simplified Arabic"/>
                                <w:b/>
                                <w:bCs/>
                                <w:sz w:val="32"/>
                                <w:szCs w:val="32"/>
                                <w:rtl/>
                                <w:lang w:bidi="ar-EG"/>
                              </w:rPr>
                              <w:t>ل الأول</w:t>
                            </w:r>
                            <w:r w:rsidRPr="000703BD">
                              <w:rPr>
                                <w:rFonts w:ascii="Simplified Arabic" w:hAnsi="Simplified Arabic" w:cs="Simplified Arabic" w:hint="cs"/>
                                <w:b/>
                                <w:bCs/>
                                <w:sz w:val="32"/>
                                <w:szCs w:val="32"/>
                                <w:rtl/>
                                <w:lang w:bidi="ar-EG"/>
                              </w:rPr>
                              <w:t>:</w:t>
                            </w:r>
                          </w:p>
                          <w:p w14:paraId="7483E9ED" w14:textId="77777777" w:rsidR="00270E6A" w:rsidRPr="000703BD" w:rsidRDefault="00270E6A" w:rsidP="002959BC">
                            <w:pPr>
                              <w:jc w:val="center"/>
                              <w:rPr>
                                <w:rFonts w:ascii="Simplified Arabic" w:hAnsi="Simplified Arabic" w:cs="Simplified Arabic"/>
                                <w:b/>
                                <w:bCs/>
                                <w:sz w:val="32"/>
                                <w:szCs w:val="32"/>
                                <w:rtl/>
                                <w:lang w:bidi="ar-EG"/>
                              </w:rPr>
                            </w:pPr>
                            <w:r w:rsidRPr="000703BD">
                              <w:rPr>
                                <w:rFonts w:ascii="Simplified Arabic" w:hAnsi="Simplified Arabic" w:cs="Simplified Arabic" w:hint="cs"/>
                                <w:b/>
                                <w:bCs/>
                                <w:sz w:val="32"/>
                                <w:szCs w:val="32"/>
                                <w:rtl/>
                                <w:lang w:bidi="ar-EG"/>
                              </w:rPr>
                              <w:t>الإطار النظري للعلاقة بين</w:t>
                            </w:r>
                          </w:p>
                          <w:p w14:paraId="03B22662" w14:textId="77777777" w:rsidR="00270E6A" w:rsidRPr="000703BD" w:rsidRDefault="00270E6A" w:rsidP="002959BC">
                            <w:pPr>
                              <w:jc w:val="center"/>
                              <w:rPr>
                                <w:rFonts w:ascii="Simplified Arabic" w:hAnsi="Simplified Arabic" w:cs="Simplified Arabic"/>
                                <w:b/>
                                <w:bCs/>
                                <w:sz w:val="32"/>
                                <w:szCs w:val="32"/>
                                <w:lang w:bidi="ar-EG"/>
                              </w:rPr>
                            </w:pPr>
                            <w:r w:rsidRPr="000703BD">
                              <w:rPr>
                                <w:rFonts w:ascii="Simplified Arabic" w:hAnsi="Simplified Arabic" w:cs="Simplified Arabic" w:hint="cs"/>
                                <w:b/>
                                <w:bCs/>
                                <w:sz w:val="32"/>
                                <w:szCs w:val="32"/>
                                <w:rtl/>
                                <w:lang w:bidi="ar-EG"/>
                              </w:rPr>
                              <w:t>آليات تمويل عجز الموازنة العامة للدولة و</w:t>
                            </w:r>
                            <w:r w:rsidRPr="000703BD">
                              <w:rPr>
                                <w:rFonts w:ascii="Simplified Arabic" w:hAnsi="Simplified Arabic" w:cs="Simplified Arabic"/>
                                <w:b/>
                                <w:bCs/>
                                <w:sz w:val="32"/>
                                <w:szCs w:val="32"/>
                                <w:rtl/>
                                <w:lang w:bidi="ar-EG"/>
                              </w:rPr>
                              <w:t>التضخم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33FD32" id="Rectangle: Rounded Corners 8" o:spid="_x0000_s1029" style="position:absolute;left:0;text-align:left;margin-left:0;margin-top:0;width:414.75pt;height:118.5pt;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" fillcolor="white [3201]" strokecolor="#c9c9c9 [1942]" strokeweight="1pt">
                <v:fill color2="#dbdbdb [1302]" focus="100%" type="gradient"/>
                <v:shadow on="t" color="#525252 [1606]" opacity=".5" offset="1pt"/>
                <v:textbox>
                  <w:txbxContent>
                    <w:p w14:paraId="1E85225C" w14:textId="77777777" w:rsidR="00270E6A" w:rsidRPr="000703BD" w:rsidRDefault="00270E6A" w:rsidP="002959BC">
                      <w:pPr>
                        <w:jc w:val="center"/>
                        <w:rPr>
                          <w:rFonts w:ascii="Simplified Arabic" w:hAnsi="Simplified Arabic" w:cs="Simplified Arabic"/>
                          <w:b/>
                          <w:bCs/>
                          <w:sz w:val="32"/>
                          <w:szCs w:val="32"/>
                          <w:rtl/>
                          <w:lang w:bidi="ar-EG"/>
                        </w:rPr>
                      </w:pPr>
                      <w:r w:rsidRPr="000703BD">
                        <w:rPr>
                          <w:rFonts w:ascii="Simplified Arabic" w:hAnsi="Simplified Arabic" w:cs="Simplified Arabic"/>
                          <w:b/>
                          <w:bCs/>
                          <w:sz w:val="32"/>
                          <w:szCs w:val="32"/>
                          <w:rtl/>
                          <w:lang w:bidi="ar-EG"/>
                        </w:rPr>
                        <w:t>الفص</w:t>
                      </w:r>
                      <w:r w:rsidRPr="000703BD">
                        <w:rPr>
                          <w:rFonts w:ascii="Simplified Arabic" w:hAnsi="Simplified Arabic" w:cs="Simplified Arabic" w:hint="cs"/>
                          <w:b/>
                          <w:bCs/>
                          <w:sz w:val="32"/>
                          <w:szCs w:val="32"/>
                          <w:rtl/>
                          <w:lang w:bidi="ar-EG"/>
                        </w:rPr>
                        <w:t>ـــ</w:t>
                      </w:r>
                      <w:r w:rsidRPr="000703BD">
                        <w:rPr>
                          <w:rFonts w:ascii="Simplified Arabic" w:hAnsi="Simplified Arabic" w:cs="Simplified Arabic"/>
                          <w:b/>
                          <w:bCs/>
                          <w:sz w:val="32"/>
                          <w:szCs w:val="32"/>
                          <w:rtl/>
                          <w:lang w:bidi="ar-EG"/>
                        </w:rPr>
                        <w:t>ل الأول</w:t>
                      </w:r>
                      <w:r w:rsidRPr="000703BD">
                        <w:rPr>
                          <w:rFonts w:ascii="Simplified Arabic" w:hAnsi="Simplified Arabic" w:cs="Simplified Arabic" w:hint="cs"/>
                          <w:b/>
                          <w:bCs/>
                          <w:sz w:val="32"/>
                          <w:szCs w:val="32"/>
                          <w:rtl/>
                          <w:lang w:bidi="ar-EG"/>
                        </w:rPr>
                        <w:t>:</w:t>
                      </w:r>
                    </w:p>
                    <w:p w14:paraId="7483E9ED" w14:textId="77777777" w:rsidR="00270E6A" w:rsidRPr="000703BD" w:rsidRDefault="00270E6A" w:rsidP="002959BC">
                      <w:pPr>
                        <w:jc w:val="center"/>
                        <w:rPr>
                          <w:rFonts w:ascii="Simplified Arabic" w:hAnsi="Simplified Arabic" w:cs="Simplified Arabic"/>
                          <w:b/>
                          <w:bCs/>
                          <w:sz w:val="32"/>
                          <w:szCs w:val="32"/>
                          <w:rtl/>
                          <w:lang w:bidi="ar-EG"/>
                        </w:rPr>
                      </w:pPr>
                      <w:r w:rsidRPr="000703BD">
                        <w:rPr>
                          <w:rFonts w:ascii="Simplified Arabic" w:hAnsi="Simplified Arabic" w:cs="Simplified Arabic" w:hint="cs"/>
                          <w:b/>
                          <w:bCs/>
                          <w:sz w:val="32"/>
                          <w:szCs w:val="32"/>
                          <w:rtl/>
                          <w:lang w:bidi="ar-EG"/>
                        </w:rPr>
                        <w:t>الإطار النظري للعلاقة بين</w:t>
                      </w:r>
                    </w:p>
                    <w:p w14:paraId="03B22662" w14:textId="77777777" w:rsidR="00270E6A" w:rsidRPr="000703BD" w:rsidRDefault="00270E6A" w:rsidP="002959BC">
                      <w:pPr>
                        <w:jc w:val="center"/>
                        <w:rPr>
                          <w:rFonts w:ascii="Simplified Arabic" w:hAnsi="Simplified Arabic" w:cs="Simplified Arabic"/>
                          <w:b/>
                          <w:bCs/>
                          <w:sz w:val="32"/>
                          <w:szCs w:val="32"/>
                          <w:lang w:bidi="ar-EG"/>
                        </w:rPr>
                      </w:pPr>
                      <w:r w:rsidRPr="000703BD">
                        <w:rPr>
                          <w:rFonts w:ascii="Simplified Arabic" w:hAnsi="Simplified Arabic" w:cs="Simplified Arabic" w:hint="cs"/>
                          <w:b/>
                          <w:bCs/>
                          <w:sz w:val="32"/>
                          <w:szCs w:val="32"/>
                          <w:rtl/>
                          <w:lang w:bidi="ar-EG"/>
                        </w:rPr>
                        <w:t>آليات تمويل عجز الموازنة العامة للدولة و</w:t>
                      </w:r>
                      <w:r w:rsidRPr="000703BD">
                        <w:rPr>
                          <w:rFonts w:ascii="Simplified Arabic" w:hAnsi="Simplified Arabic" w:cs="Simplified Arabic"/>
                          <w:b/>
                          <w:bCs/>
                          <w:sz w:val="32"/>
                          <w:szCs w:val="32"/>
                          <w:rtl/>
                          <w:lang w:bidi="ar-EG"/>
                        </w:rPr>
                        <w:t>التضخم</w:t>
                      </w:r>
                    </w:p>
                  </w:txbxContent>
                </v:textbox>
                <w10:wrap anchorx="margin" anchory="margin"/>
              </v:roundrect>
            </w:pict>
          </mc:Fallback>
        </mc:AlternateContent>
      </w:r>
    </w:p>
    <w:p w14:paraId="3EC2FA32" w14:textId="77777777" w:rsidR="002959BC" w:rsidRPr="00585E80" w:rsidRDefault="002959BC" w:rsidP="002959BC">
      <w:pPr>
        <w:spacing w:before="120" w:after="120" w:line="288" w:lineRule="auto"/>
        <w:jc w:val="center"/>
        <w:rPr>
          <w:rFonts w:asciiTheme="minorBidi" w:hAnsiTheme="minorBidi"/>
          <w:b/>
          <w:bCs/>
          <w:sz w:val="28"/>
          <w:szCs w:val="28"/>
          <w:rtl/>
          <w:lang w:bidi="ar-EG"/>
        </w:rPr>
      </w:pPr>
    </w:p>
    <w:p w14:paraId="5905322B" w14:textId="77777777" w:rsidR="002959BC" w:rsidRPr="00585E80" w:rsidRDefault="002959BC" w:rsidP="002959BC">
      <w:pPr>
        <w:spacing w:before="120" w:after="120" w:line="288" w:lineRule="auto"/>
        <w:rPr>
          <w:rFonts w:asciiTheme="minorBidi" w:hAnsiTheme="minorBidi"/>
          <w:b/>
          <w:bCs/>
          <w:sz w:val="28"/>
          <w:szCs w:val="28"/>
          <w:lang w:bidi="ar-EG"/>
        </w:rPr>
      </w:pPr>
    </w:p>
    <w:p w14:paraId="37628BF0" w14:textId="77777777" w:rsidR="002959BC" w:rsidRPr="00585E80" w:rsidRDefault="002959BC" w:rsidP="002959BC">
      <w:pPr>
        <w:spacing w:before="60" w:after="60"/>
        <w:ind w:left="709"/>
        <w:jc w:val="lowKashida"/>
        <w:rPr>
          <w:rFonts w:asciiTheme="minorBidi" w:hAnsiTheme="minorBidi"/>
          <w:b/>
          <w:bCs/>
          <w:sz w:val="28"/>
          <w:szCs w:val="28"/>
          <w:lang w:bidi="ar-KW"/>
        </w:rPr>
      </w:pPr>
    </w:p>
    <w:p w14:paraId="5A9F5ABD" w14:textId="77777777" w:rsidR="002959BC" w:rsidRDefault="002959BC" w:rsidP="002959BC">
      <w:pPr>
        <w:rPr>
          <w:rFonts w:asciiTheme="minorBidi" w:hAnsiTheme="minorBidi"/>
          <w:color w:val="FF0000"/>
          <w:lang w:bidi="ar-EG"/>
        </w:rPr>
      </w:pPr>
    </w:p>
    <w:p w14:paraId="2E68FBB9" w14:textId="77777777" w:rsidR="002959BC" w:rsidRPr="00585E80" w:rsidRDefault="002959BC" w:rsidP="002959BC">
      <w:pPr>
        <w:rPr>
          <w:rFonts w:asciiTheme="minorBidi" w:hAnsiTheme="minorBidi"/>
          <w:lang w:bidi="ar-EG"/>
        </w:rPr>
      </w:pPr>
    </w:p>
    <w:p w14:paraId="0C8DB3BD" w14:textId="77777777" w:rsidR="002959BC" w:rsidRPr="00585E80" w:rsidRDefault="002959BC" w:rsidP="002959BC">
      <w:pPr>
        <w:rPr>
          <w:rFonts w:asciiTheme="minorBidi" w:hAnsiTheme="minorBidi"/>
          <w:b/>
          <w:bCs/>
          <w:sz w:val="28"/>
          <w:szCs w:val="28"/>
          <w:lang w:bidi="ar-EG"/>
        </w:rPr>
      </w:pPr>
      <w:r w:rsidRPr="00585E80">
        <w:rPr>
          <w:rFonts w:asciiTheme="minorBidi" w:hAnsiTheme="minorBidi"/>
          <w:b/>
          <w:bCs/>
          <w:sz w:val="28"/>
          <w:szCs w:val="28"/>
          <w:rtl/>
          <w:lang w:bidi="ar-EG"/>
        </w:rPr>
        <w:br w:type="page"/>
      </w:r>
    </w:p>
    <w:p w14:paraId="333510BC" w14:textId="77777777" w:rsidR="002959BC" w:rsidRPr="000703BD" w:rsidRDefault="002959BC" w:rsidP="002959BC">
      <w:pPr>
        <w:spacing w:before="120" w:after="120" w:line="288" w:lineRule="auto"/>
        <w:rPr>
          <w:rFonts w:ascii="Simplified Arabic" w:hAnsi="Simplified Arabic" w:cs="Simplified Arabic"/>
          <w:b/>
          <w:bCs/>
          <w:sz w:val="30"/>
          <w:szCs w:val="30"/>
          <w:rtl/>
          <w:lang w:bidi="ar-EG"/>
        </w:rPr>
      </w:pPr>
      <w:r w:rsidRPr="000703BD">
        <w:rPr>
          <w:rFonts w:ascii="Simplified Arabic" w:hAnsi="Simplified Arabic" w:cs="Simplified Arabic"/>
          <w:b/>
          <w:bCs/>
          <w:sz w:val="30"/>
          <w:szCs w:val="30"/>
          <w:rtl/>
          <w:lang w:bidi="ar-EG"/>
        </w:rPr>
        <w:lastRenderedPageBreak/>
        <w:t>تمهيد:</w:t>
      </w:r>
    </w:p>
    <w:p w14:paraId="15CFC32F" w14:textId="77777777" w:rsidR="002959BC" w:rsidRPr="000703BD" w:rsidRDefault="002959BC" w:rsidP="002959BC">
      <w:pPr>
        <w:ind w:firstLine="510"/>
        <w:jc w:val="both"/>
        <w:rPr>
          <w:rFonts w:ascii="Simplified Arabic" w:hAnsi="Simplified Arabic" w:cs="Simplified Arabic"/>
          <w:sz w:val="28"/>
          <w:szCs w:val="28"/>
          <w:rtl/>
          <w:lang w:bidi="ar-EG"/>
        </w:rPr>
      </w:pPr>
      <w:r w:rsidRPr="000703BD">
        <w:rPr>
          <w:rFonts w:ascii="Simplified Arabic" w:hAnsi="Simplified Arabic" w:cs="Simplified Arabic"/>
          <w:sz w:val="28"/>
          <w:szCs w:val="28"/>
          <w:rtl/>
          <w:lang w:bidi="ar-EG"/>
        </w:rPr>
        <w:t xml:space="preserve">أكدت عدة دراسات أن هناك علاقة تأثير متبادل بين كل من عجز الموازنة العامة للدولة وظاهرة التضخم حيث يؤثر كل منهما في الآخر فعجز الموازنة العامة سوف يؤدي إلى ظهور معدلات مرتفعة من التضخم كما أن التضخم المرتفع سوف يؤدي إلى زيادة عجز الموازنة العامة، وهو ما بات يعرف بأثر (أوليفرا - تانزي) </w:t>
      </w:r>
      <w:r w:rsidRPr="00A16350">
        <w:rPr>
          <w:rFonts w:ascii="Simplified Arabic" w:hAnsi="Simplified Arabic" w:cs="Simplified Arabic"/>
          <w:sz w:val="28"/>
          <w:szCs w:val="28"/>
          <w:vertAlign w:val="superscript"/>
          <w:rtl/>
          <w:lang w:bidi="ar-EG"/>
        </w:rPr>
        <w:t>(</w:t>
      </w:r>
      <w:r w:rsidRPr="00A16350">
        <w:rPr>
          <w:rFonts w:ascii="Simplified Arabic" w:hAnsi="Simplified Arabic" w:cs="Simplified Arabic"/>
          <w:sz w:val="28"/>
          <w:szCs w:val="28"/>
          <w:vertAlign w:val="superscript"/>
          <w:rtl/>
          <w:lang w:bidi="ar-EG"/>
        </w:rPr>
        <w:footnoteReference w:id="26"/>
      </w:r>
      <w:r w:rsidRPr="00A16350">
        <w:rPr>
          <w:rFonts w:ascii="Simplified Arabic" w:hAnsi="Simplified Arabic" w:cs="Simplified Arabic"/>
          <w:sz w:val="28"/>
          <w:szCs w:val="28"/>
          <w:vertAlign w:val="superscript"/>
          <w:rtl/>
          <w:lang w:bidi="ar-EG"/>
        </w:rPr>
        <w:t>)</w:t>
      </w:r>
      <w:r w:rsidRPr="000703BD">
        <w:rPr>
          <w:rFonts w:ascii="Simplified Arabic" w:hAnsi="Simplified Arabic" w:cs="Simplified Arabic"/>
          <w:sz w:val="28"/>
          <w:szCs w:val="28"/>
          <w:rtl/>
          <w:lang w:bidi="ar-EG"/>
        </w:rPr>
        <w:t>.</w:t>
      </w:r>
    </w:p>
    <w:p w14:paraId="5E7F8F1B" w14:textId="77777777" w:rsidR="002959BC" w:rsidRDefault="002959BC" w:rsidP="002959BC">
      <w:pPr>
        <w:ind w:firstLine="510"/>
        <w:jc w:val="both"/>
        <w:rPr>
          <w:rFonts w:ascii="Simplified Arabic" w:hAnsi="Simplified Arabic" w:cs="Simplified Arabic"/>
          <w:sz w:val="28"/>
          <w:szCs w:val="28"/>
          <w:lang w:bidi="ar-EG"/>
        </w:rPr>
      </w:pPr>
    </w:p>
    <w:p w14:paraId="5EA1DF04" w14:textId="77777777" w:rsidR="002959BC" w:rsidRPr="000703BD" w:rsidRDefault="002959BC" w:rsidP="002959BC">
      <w:pPr>
        <w:ind w:firstLine="510"/>
        <w:jc w:val="both"/>
        <w:rPr>
          <w:rFonts w:ascii="Simplified Arabic" w:hAnsi="Simplified Arabic" w:cs="Simplified Arabic"/>
          <w:sz w:val="28"/>
          <w:szCs w:val="28"/>
          <w:rtl/>
          <w:lang w:bidi="ar-EG"/>
        </w:rPr>
      </w:pPr>
      <w:r w:rsidRPr="000703BD">
        <w:rPr>
          <w:rFonts w:ascii="Simplified Arabic" w:hAnsi="Simplified Arabic" w:cs="Simplified Arabic"/>
          <w:sz w:val="28"/>
          <w:szCs w:val="28"/>
          <w:rtl/>
          <w:lang w:bidi="ar-EG"/>
        </w:rPr>
        <w:t xml:space="preserve">وعلى الجانب الآخر فإن اتباع سياسة مالية انكماشية يؤدي إلى خفض الإنفاق والاستثمار الحكومي مما يؤدي إلى انخفاض الطلب الكلي والذي سوف يؤدي بدوره إلى انخفاض التضخم الناشئ عن جذب الطلب </w:t>
      </w:r>
      <w:r w:rsidRPr="000703BD">
        <w:rPr>
          <w:lang w:bidi="ar-EG"/>
        </w:rPr>
        <w:t>Demand</w:t>
      </w:r>
      <w:r w:rsidRPr="000703BD">
        <w:rPr>
          <w:rFonts w:ascii="Simplified Arabic" w:hAnsi="Simplified Arabic" w:cs="Simplified Arabic"/>
          <w:sz w:val="28"/>
          <w:szCs w:val="28"/>
          <w:lang w:bidi="ar-EG"/>
        </w:rPr>
        <w:t>-Pull </w:t>
      </w:r>
      <w:r w:rsidRPr="000703BD">
        <w:rPr>
          <w:lang w:bidi="ar-EG"/>
        </w:rPr>
        <w:t>Inflation</w:t>
      </w:r>
      <w:r w:rsidRPr="000703BD">
        <w:rPr>
          <w:rFonts w:ascii="Simplified Arabic" w:hAnsi="Simplified Arabic" w:cs="Simplified Arabic"/>
          <w:sz w:val="28"/>
          <w:szCs w:val="28"/>
          <w:rtl/>
          <w:lang w:bidi="ar-EG"/>
        </w:rPr>
        <w:t xml:space="preserve">، كما أن انتهاج البنك المركزي لسياسة استهداف التضخم سوف يؤدي إلى التوقف عن الإصدار النقدي الجديد الذي لا يقابله زيادة في الناتج الحقيقي وهو الأمر الذي من شأنه أن يضع قيداً على ارتفاع عجز الموازنة العامة للدولة. </w:t>
      </w:r>
    </w:p>
    <w:p w14:paraId="02F57EFD" w14:textId="77777777" w:rsidR="002959BC" w:rsidRDefault="002959BC" w:rsidP="002959BC">
      <w:pPr>
        <w:ind w:firstLine="510"/>
        <w:jc w:val="both"/>
        <w:rPr>
          <w:rFonts w:ascii="Simplified Arabic" w:hAnsi="Simplified Arabic" w:cs="Simplified Arabic"/>
          <w:sz w:val="28"/>
          <w:szCs w:val="28"/>
          <w:lang w:bidi="ar-EG"/>
        </w:rPr>
      </w:pPr>
    </w:p>
    <w:p w14:paraId="1F155DEB" w14:textId="77777777" w:rsidR="002959BC" w:rsidRPr="000703BD" w:rsidRDefault="002959BC" w:rsidP="002959BC">
      <w:pPr>
        <w:ind w:firstLine="510"/>
        <w:jc w:val="both"/>
        <w:rPr>
          <w:rFonts w:ascii="Simplified Arabic" w:hAnsi="Simplified Arabic" w:cs="Simplified Arabic"/>
          <w:sz w:val="28"/>
          <w:szCs w:val="28"/>
          <w:rtl/>
          <w:lang w:bidi="ar-EG"/>
        </w:rPr>
      </w:pPr>
      <w:r w:rsidRPr="000703BD">
        <w:rPr>
          <w:rFonts w:ascii="Simplified Arabic" w:hAnsi="Simplified Arabic" w:cs="Simplified Arabic"/>
          <w:sz w:val="28"/>
          <w:szCs w:val="28"/>
          <w:rtl/>
          <w:lang w:bidi="ar-EG"/>
        </w:rPr>
        <w:t>وكما هو معروف فإن التضخم يرتبط ارتباطاً وثيقاً بثلاثة أنواع من الاختلالات. أولها الاختلالات في الاقتصاد الحقيقي أو العيني، وثانيهما: الاختلالات في المالية العامة، وثالثها: الاختلالات في عرض النقود والائتمان، وهذه الاختلالات ليست منفصلة عن بعضها البعض، بل أن بينها قنوات اتصال مهمة.</w:t>
      </w:r>
      <w:r w:rsidRPr="00A16350">
        <w:rPr>
          <w:rFonts w:ascii="Simplified Arabic" w:hAnsi="Simplified Arabic" w:cs="Simplified Arabic"/>
          <w:sz w:val="28"/>
          <w:szCs w:val="28"/>
          <w:vertAlign w:val="superscript"/>
          <w:rtl/>
          <w:lang w:bidi="ar-EG"/>
        </w:rPr>
        <w:t>(</w:t>
      </w:r>
      <w:r w:rsidRPr="00A16350">
        <w:rPr>
          <w:rFonts w:ascii="Simplified Arabic" w:hAnsi="Simplified Arabic" w:cs="Simplified Arabic"/>
          <w:sz w:val="28"/>
          <w:szCs w:val="28"/>
          <w:vertAlign w:val="superscript"/>
          <w:rtl/>
          <w:lang w:bidi="ar-EG"/>
        </w:rPr>
        <w:footnoteReference w:id="27"/>
      </w:r>
      <w:r w:rsidRPr="00A16350">
        <w:rPr>
          <w:rFonts w:ascii="Simplified Arabic" w:hAnsi="Simplified Arabic" w:cs="Simplified Arabic"/>
          <w:sz w:val="28"/>
          <w:szCs w:val="28"/>
          <w:vertAlign w:val="superscript"/>
          <w:rtl/>
          <w:lang w:bidi="ar-EG"/>
        </w:rPr>
        <w:t>)</w:t>
      </w:r>
      <w:r w:rsidRPr="000703BD">
        <w:rPr>
          <w:rFonts w:ascii="Simplified Arabic" w:hAnsi="Simplified Arabic" w:cs="Simplified Arabic"/>
          <w:sz w:val="28"/>
          <w:szCs w:val="28"/>
          <w:rtl/>
          <w:lang w:bidi="ar-EG"/>
        </w:rPr>
        <w:t xml:space="preserve"> </w:t>
      </w:r>
    </w:p>
    <w:p w14:paraId="11C0C815" w14:textId="77777777" w:rsidR="002959BC" w:rsidRDefault="002959BC" w:rsidP="002959BC">
      <w:pPr>
        <w:ind w:firstLine="510"/>
        <w:jc w:val="both"/>
        <w:rPr>
          <w:rFonts w:ascii="Simplified Arabic" w:hAnsi="Simplified Arabic" w:cs="Simplified Arabic"/>
          <w:sz w:val="28"/>
          <w:szCs w:val="28"/>
          <w:lang w:bidi="ar-EG"/>
        </w:rPr>
      </w:pPr>
    </w:p>
    <w:p w14:paraId="2BC89197" w14:textId="77777777" w:rsidR="002959BC" w:rsidRPr="000703BD" w:rsidRDefault="002959BC" w:rsidP="002959BC">
      <w:pPr>
        <w:ind w:firstLine="510"/>
        <w:jc w:val="both"/>
        <w:rPr>
          <w:rFonts w:ascii="Simplified Arabic" w:hAnsi="Simplified Arabic" w:cs="Simplified Arabic"/>
          <w:sz w:val="28"/>
          <w:szCs w:val="28"/>
          <w:rtl/>
          <w:lang w:bidi="ar-EG"/>
        </w:rPr>
      </w:pPr>
      <w:r w:rsidRPr="000703BD">
        <w:rPr>
          <w:rFonts w:ascii="Simplified Arabic" w:hAnsi="Simplified Arabic" w:cs="Simplified Arabic"/>
          <w:sz w:val="28"/>
          <w:szCs w:val="28"/>
          <w:rtl/>
          <w:lang w:bidi="ar-EG"/>
        </w:rPr>
        <w:t>وتُعد اختلالات المالية العامة واحدة من أهم الاختلالات الهيكلية التي يُعاني منها الاقتصاد المصري والتي تظهر بجلاء في العجز المزمن للموازنة العامة للدولة والذي يتزايد بدوره عاماً بعد عام، حيث وصل عجز الموازنة العامة للدولة خلال العام المالي 2018/2019 لمبلغ 429.9 مليار جنيه بنسبة (8.1% من الناتج المجلي الإجمالي)</w:t>
      </w:r>
      <w:r w:rsidRPr="00A16350">
        <w:rPr>
          <w:rFonts w:ascii="Simplified Arabic" w:hAnsi="Simplified Arabic" w:cs="Simplified Arabic"/>
          <w:sz w:val="28"/>
          <w:szCs w:val="28"/>
          <w:vertAlign w:val="superscript"/>
          <w:rtl/>
          <w:lang w:bidi="ar-EG"/>
        </w:rPr>
        <w:t>(</w:t>
      </w:r>
      <w:r w:rsidRPr="00A16350">
        <w:rPr>
          <w:rFonts w:ascii="Simplified Arabic" w:hAnsi="Simplified Arabic" w:cs="Simplified Arabic"/>
          <w:sz w:val="28"/>
          <w:szCs w:val="28"/>
          <w:vertAlign w:val="superscript"/>
          <w:rtl/>
          <w:lang w:bidi="ar-EG"/>
        </w:rPr>
        <w:footnoteReference w:id="28"/>
      </w:r>
      <w:r w:rsidRPr="00A16350">
        <w:rPr>
          <w:rFonts w:ascii="Simplified Arabic" w:hAnsi="Simplified Arabic" w:cs="Simplified Arabic"/>
          <w:sz w:val="28"/>
          <w:szCs w:val="28"/>
          <w:vertAlign w:val="superscript"/>
          <w:rtl/>
          <w:lang w:bidi="ar-EG"/>
        </w:rPr>
        <w:t>)</w:t>
      </w:r>
      <w:r w:rsidRPr="000703BD">
        <w:rPr>
          <w:rFonts w:ascii="Simplified Arabic" w:hAnsi="Simplified Arabic" w:cs="Simplified Arabic"/>
          <w:sz w:val="28"/>
          <w:szCs w:val="28"/>
          <w:rtl/>
          <w:lang w:bidi="ar-EG"/>
        </w:rPr>
        <w:t>.</w:t>
      </w:r>
    </w:p>
    <w:p w14:paraId="48861E07" w14:textId="77777777" w:rsidR="002959BC" w:rsidRDefault="002959BC" w:rsidP="002959BC">
      <w:pPr>
        <w:ind w:firstLine="510"/>
        <w:jc w:val="both"/>
        <w:rPr>
          <w:rFonts w:ascii="Simplified Arabic" w:hAnsi="Simplified Arabic" w:cs="Simplified Arabic"/>
          <w:sz w:val="28"/>
          <w:szCs w:val="28"/>
          <w:lang w:bidi="ar-EG"/>
        </w:rPr>
      </w:pPr>
    </w:p>
    <w:p w14:paraId="5C3ADA04" w14:textId="77777777" w:rsidR="002959BC" w:rsidRPr="000703BD" w:rsidRDefault="002959BC" w:rsidP="002959BC">
      <w:pPr>
        <w:ind w:firstLine="510"/>
        <w:jc w:val="both"/>
        <w:rPr>
          <w:rFonts w:ascii="Simplified Arabic" w:hAnsi="Simplified Arabic" w:cs="Simplified Arabic"/>
          <w:sz w:val="28"/>
          <w:szCs w:val="28"/>
          <w:rtl/>
          <w:lang w:bidi="ar-EG"/>
        </w:rPr>
      </w:pPr>
      <w:r w:rsidRPr="000703BD">
        <w:rPr>
          <w:rFonts w:ascii="Simplified Arabic" w:hAnsi="Simplified Arabic" w:cs="Simplified Arabic"/>
          <w:sz w:val="28"/>
          <w:szCs w:val="28"/>
          <w:rtl/>
          <w:lang w:bidi="ar-EG"/>
        </w:rPr>
        <w:t>وبطبيعة الحال فإن المشكلة ليست في وجود عجز مرتفع في الموازنة العامة فحسب، بل يضاف إلى ذلك ارتباط هذا العجز بمعدلات مرتفعة من التضخم والذي يُعد أيضاً واحداً من أبرز مظاهر الخلل في التوازن الداخلي للاقتصاد المصري.</w:t>
      </w:r>
    </w:p>
    <w:p w14:paraId="58CAC5BC" w14:textId="77777777" w:rsidR="002959BC" w:rsidRDefault="002959BC" w:rsidP="002959BC">
      <w:pPr>
        <w:ind w:firstLine="510"/>
        <w:jc w:val="both"/>
        <w:rPr>
          <w:rFonts w:ascii="Simplified Arabic" w:hAnsi="Simplified Arabic" w:cs="Simplified Arabic"/>
          <w:sz w:val="28"/>
          <w:szCs w:val="28"/>
          <w:lang w:bidi="ar-EG"/>
        </w:rPr>
      </w:pPr>
    </w:p>
    <w:p w14:paraId="7610A7EB" w14:textId="77777777" w:rsidR="002959BC" w:rsidRPr="000703BD" w:rsidRDefault="002959BC" w:rsidP="002959BC">
      <w:pPr>
        <w:ind w:firstLine="510"/>
        <w:jc w:val="both"/>
        <w:rPr>
          <w:rFonts w:ascii="Simplified Arabic" w:hAnsi="Simplified Arabic" w:cs="Simplified Arabic"/>
          <w:sz w:val="28"/>
          <w:szCs w:val="28"/>
          <w:rtl/>
          <w:lang w:bidi="ar-EG"/>
        </w:rPr>
      </w:pPr>
      <w:r w:rsidRPr="000703BD">
        <w:rPr>
          <w:rFonts w:ascii="Simplified Arabic" w:hAnsi="Simplified Arabic" w:cs="Simplified Arabic"/>
          <w:sz w:val="28"/>
          <w:szCs w:val="28"/>
          <w:rtl/>
          <w:lang w:bidi="ar-EG"/>
        </w:rPr>
        <w:t>ولما كان أثر عجز الموازنة العامة للدولة على التضخم لا يتعلق بالعجز في حد ذاته وإنما يتعلق بآليات التمويل المستخدمة لتمويل ذلك العجز، فسوف تحاول هذه الدراسة تحليل وقياس آثر الآليات المالية المستخدمة لتمويل عجز الموازنة على التضخم في مصر خلال الفترة من العام المالي 1991/1992 وحتى العام المالي 2018/2019، للوصول إلى أفضل آلية لتمويل العجز من حيث كونها ذات أقل تأثير ممكن على التضخم.</w:t>
      </w:r>
    </w:p>
    <w:p w14:paraId="7806CE6A" w14:textId="77777777" w:rsidR="002959BC" w:rsidRDefault="002959BC" w:rsidP="002959BC">
      <w:pPr>
        <w:ind w:firstLine="510"/>
        <w:jc w:val="both"/>
        <w:rPr>
          <w:rFonts w:ascii="Simplified Arabic" w:hAnsi="Simplified Arabic" w:cs="Simplified Arabic"/>
          <w:sz w:val="28"/>
          <w:szCs w:val="28"/>
          <w:lang w:bidi="ar-EG"/>
        </w:rPr>
      </w:pPr>
    </w:p>
    <w:p w14:paraId="3829B603" w14:textId="77777777" w:rsidR="002959BC" w:rsidRPr="000703BD" w:rsidRDefault="002959BC" w:rsidP="002959BC">
      <w:pPr>
        <w:ind w:firstLine="510"/>
        <w:jc w:val="both"/>
        <w:rPr>
          <w:rFonts w:ascii="Simplified Arabic" w:hAnsi="Simplified Arabic" w:cs="Simplified Arabic"/>
          <w:sz w:val="28"/>
          <w:szCs w:val="28"/>
          <w:lang w:bidi="ar-EG"/>
        </w:rPr>
      </w:pPr>
      <w:r w:rsidRPr="000703BD">
        <w:rPr>
          <w:rFonts w:ascii="Simplified Arabic" w:hAnsi="Simplified Arabic" w:cs="Simplified Arabic"/>
          <w:sz w:val="28"/>
          <w:szCs w:val="28"/>
          <w:rtl/>
          <w:lang w:bidi="ar-EG"/>
        </w:rPr>
        <w:t>ومن ثم فإن هذا الفصل سوف يتناول الإطار النظري للعلاقة بين آليات تمويل عجز الموازنة العامة للدولة وظاهرة التضخم، وفي سبيل ذلك سوف يتناول المبحث الأول سوف يتناول بشيء من التفصيل ظاهرة التضخم من حيث تقديم أهم تعريفاته وأنواعه كما يتناول النظريات المفسرة لظاهرة لتضخم، ومن ثم التعرف على آثاره والسياسات العلاجية للتضخم، ثم يتناول المبحث الثاني التعرف على ماهية عجز الموازنة العامة وأهم أنواعه ونبذة عن أهم أسباب عجز الموازنة العامة، وأخيراً فإن المبحث الثالث يتناول الآليات المالية لتمويل عجز الموازنة وأثر كل آلية من هذه الآليات على معدلات التضخم.</w:t>
      </w:r>
    </w:p>
    <w:p w14:paraId="33387485" w14:textId="77777777" w:rsidR="002959BC" w:rsidRPr="000703BD" w:rsidRDefault="002959BC" w:rsidP="002959BC">
      <w:pPr>
        <w:ind w:firstLine="510"/>
        <w:jc w:val="both"/>
        <w:rPr>
          <w:rFonts w:ascii="Simplified Arabic" w:hAnsi="Simplified Arabic" w:cs="Simplified Arabic"/>
          <w:sz w:val="28"/>
          <w:szCs w:val="28"/>
          <w:rtl/>
          <w:lang w:bidi="ar-EG"/>
        </w:rPr>
      </w:pPr>
    </w:p>
    <w:p w14:paraId="17DAED95" w14:textId="77777777" w:rsidR="002959BC" w:rsidRPr="000703BD" w:rsidRDefault="002959BC" w:rsidP="002959BC">
      <w:pPr>
        <w:ind w:firstLine="510"/>
        <w:jc w:val="both"/>
        <w:rPr>
          <w:rFonts w:ascii="Simplified Arabic" w:hAnsi="Simplified Arabic" w:cs="Simplified Arabic"/>
          <w:sz w:val="28"/>
          <w:szCs w:val="28"/>
          <w:rtl/>
          <w:lang w:bidi="ar-EG"/>
        </w:rPr>
      </w:pPr>
    </w:p>
    <w:p w14:paraId="44D929BF" w14:textId="77777777" w:rsidR="002959BC" w:rsidRPr="000703BD" w:rsidRDefault="002959BC" w:rsidP="002959BC">
      <w:pPr>
        <w:ind w:firstLine="510"/>
        <w:jc w:val="both"/>
        <w:rPr>
          <w:rFonts w:ascii="Simplified Arabic" w:hAnsi="Simplified Arabic" w:cs="Simplified Arabic"/>
          <w:sz w:val="28"/>
          <w:szCs w:val="28"/>
          <w:rtl/>
          <w:lang w:bidi="ar-EG"/>
        </w:rPr>
      </w:pPr>
    </w:p>
    <w:p w14:paraId="59B768F0" w14:textId="621CE627" w:rsidR="002959BC" w:rsidRDefault="002959BC">
      <w:pPr>
        <w:bidi w:val="0"/>
        <w:spacing w:after="160" w:line="259" w:lineRule="auto"/>
        <w:rPr>
          <w:rtl/>
          <w:lang w:bidi="ar-EG"/>
        </w:rPr>
      </w:pPr>
      <w:r>
        <w:rPr>
          <w:rtl/>
          <w:lang w:bidi="ar-EG"/>
        </w:rPr>
        <w:br w:type="page"/>
      </w:r>
    </w:p>
    <w:p w14:paraId="109EECEB" w14:textId="77777777" w:rsidR="002959BC" w:rsidRPr="00683457" w:rsidRDefault="002959BC" w:rsidP="002959BC">
      <w:pPr>
        <w:shd w:val="clear" w:color="auto" w:fill="C5E0B3" w:themeFill="accent6" w:themeFillTint="66"/>
        <w:ind w:firstLine="28"/>
        <w:jc w:val="center"/>
        <w:rPr>
          <w:rFonts w:ascii="Simplified Arabic" w:hAnsi="Simplified Arabic" w:cs="Simplified Arabic"/>
          <w:b/>
          <w:bCs/>
          <w:sz w:val="32"/>
          <w:szCs w:val="32"/>
          <w:rtl/>
          <w:lang w:bidi="ar-EG"/>
        </w:rPr>
      </w:pPr>
      <w:r w:rsidRPr="00683457">
        <w:rPr>
          <w:rFonts w:ascii="Simplified Arabic" w:hAnsi="Simplified Arabic" w:cs="Simplified Arabic"/>
          <w:b/>
          <w:bCs/>
          <w:sz w:val="32"/>
          <w:szCs w:val="32"/>
          <w:rtl/>
          <w:lang w:bidi="ar-EG"/>
        </w:rPr>
        <w:lastRenderedPageBreak/>
        <w:t>المبحث الأول:</w:t>
      </w:r>
    </w:p>
    <w:p w14:paraId="3BF3B0BD" w14:textId="77777777" w:rsidR="002959BC" w:rsidRPr="00683457" w:rsidRDefault="002959BC" w:rsidP="002959BC">
      <w:pPr>
        <w:shd w:val="clear" w:color="auto" w:fill="C5E0B3" w:themeFill="accent6" w:themeFillTint="66"/>
        <w:ind w:firstLine="28"/>
        <w:jc w:val="center"/>
        <w:rPr>
          <w:rFonts w:ascii="Simplified Arabic" w:hAnsi="Simplified Arabic" w:cs="Simplified Arabic"/>
          <w:b/>
          <w:bCs/>
          <w:sz w:val="32"/>
          <w:szCs w:val="32"/>
          <w:rtl/>
          <w:lang w:bidi="ar-EG"/>
        </w:rPr>
      </w:pPr>
      <w:r w:rsidRPr="00683457">
        <w:rPr>
          <w:rFonts w:ascii="Simplified Arabic" w:hAnsi="Simplified Arabic" w:cs="Simplified Arabic"/>
          <w:b/>
          <w:bCs/>
          <w:sz w:val="32"/>
          <w:szCs w:val="32"/>
          <w:rtl/>
          <w:lang w:bidi="ar-EG"/>
        </w:rPr>
        <w:t>ظاهرة التضخم</w:t>
      </w:r>
    </w:p>
    <w:p w14:paraId="0ED01370" w14:textId="77777777" w:rsidR="002959BC" w:rsidRDefault="002959BC" w:rsidP="002959BC">
      <w:pPr>
        <w:ind w:firstLine="709"/>
        <w:jc w:val="lowKashida"/>
        <w:rPr>
          <w:rFonts w:asciiTheme="minorBidi" w:hAnsiTheme="minorBidi"/>
          <w:sz w:val="28"/>
          <w:szCs w:val="28"/>
          <w:rtl/>
          <w:lang w:bidi="ar-EG"/>
        </w:rPr>
      </w:pPr>
    </w:p>
    <w:p w14:paraId="5F865BD2" w14:textId="77777777" w:rsidR="002959BC" w:rsidRPr="00683457" w:rsidRDefault="002959BC" w:rsidP="002959BC">
      <w:pPr>
        <w:ind w:firstLine="453"/>
        <w:jc w:val="both"/>
        <w:rPr>
          <w:rFonts w:ascii="Simplified Arabic" w:hAnsi="Simplified Arabic" w:cs="Simplified Arabic"/>
          <w:sz w:val="28"/>
          <w:szCs w:val="28"/>
          <w:rtl/>
          <w:lang w:bidi="ar-EG"/>
        </w:rPr>
      </w:pPr>
      <w:r w:rsidRPr="00683457">
        <w:rPr>
          <w:rFonts w:ascii="Simplified Arabic" w:hAnsi="Simplified Arabic" w:cs="Simplified Arabic"/>
          <w:sz w:val="28"/>
          <w:szCs w:val="28"/>
          <w:rtl/>
          <w:lang w:bidi="ar-EG"/>
        </w:rPr>
        <w:t xml:space="preserve">حظيت ظاهرة التضخم باهتمام بالغ من الاقتصاديين وصانعي السياسات نظراً لما لها من آثار سلبية على معدلات نمو الناتج المحلى وتحقيق التنمية الاقتصادية، كما أن له آثاراً أسوأ على توزيع الدخل والثروة، وآثاراً أشد سوءً على النواحي الاجتماعية والأخلاقية خاصة في البلدان النامية التي تميزت بصفة عامة بمعاناتها من هذه الظاهرة بشكل أكثر حدة من البلدان المتقدمة اقتصادياً. </w:t>
      </w:r>
    </w:p>
    <w:p w14:paraId="407D609B" w14:textId="77777777" w:rsidR="002959BC" w:rsidRPr="00F31787" w:rsidRDefault="002959BC" w:rsidP="002959BC">
      <w:pPr>
        <w:ind w:firstLine="709"/>
        <w:jc w:val="both"/>
        <w:rPr>
          <w:rFonts w:ascii="Simplified Arabic" w:hAnsi="Simplified Arabic" w:cs="Simplified Arabic"/>
          <w:rtl/>
          <w:lang w:bidi="ar-EG"/>
        </w:rPr>
      </w:pPr>
    </w:p>
    <w:p w14:paraId="24EFE191" w14:textId="77777777" w:rsidR="002959BC" w:rsidRPr="00683457" w:rsidRDefault="002959BC" w:rsidP="002959BC">
      <w:pPr>
        <w:ind w:firstLine="453"/>
        <w:jc w:val="both"/>
        <w:rPr>
          <w:rFonts w:ascii="Simplified Arabic" w:hAnsi="Simplified Arabic" w:cs="Simplified Arabic"/>
          <w:sz w:val="28"/>
          <w:szCs w:val="28"/>
          <w:rtl/>
          <w:lang w:bidi="ar-EG"/>
        </w:rPr>
      </w:pPr>
      <w:r w:rsidRPr="00683457">
        <w:rPr>
          <w:rFonts w:ascii="Simplified Arabic" w:hAnsi="Simplified Arabic" w:cs="Simplified Arabic"/>
          <w:sz w:val="28"/>
          <w:szCs w:val="28"/>
          <w:rtl/>
          <w:lang w:bidi="ar-EG"/>
        </w:rPr>
        <w:t xml:space="preserve">لذا فإن علاج مشكلة التضخم والسيطرة عليه يتربع على رأس أولويات صانعي السياسات الاقتصادية، ويحتل مكاناً بارزاً في برامج الإصلاح الاقتصادي وأهداف السياسات الاقتصادية والاجتماعية، ويجب أن نلاحظ أنه مما يزيد من مشكلة التضخم تعقيداً أنها ذات طبيعة ديناميكية تنشأ ابتداء لسبب معين ثم لا تلبث أن تتحول إلى عملية تتراكم آثارها خلال بعد زمني معين كما أنها تظهر وتستمر نتيجة تفاعل مجموعة متداخلة من العوامل النقدية والحقيقية والهيكلية والسيكولوجية. </w:t>
      </w:r>
    </w:p>
    <w:p w14:paraId="21AD478D" w14:textId="77777777" w:rsidR="002959BC" w:rsidRPr="00F31787" w:rsidRDefault="002959BC" w:rsidP="002959BC">
      <w:pPr>
        <w:ind w:firstLine="453"/>
        <w:jc w:val="both"/>
        <w:rPr>
          <w:rFonts w:ascii="Simplified Arabic" w:hAnsi="Simplified Arabic" w:cs="Simplified Arabic"/>
          <w:rtl/>
          <w:lang w:bidi="ar-EG"/>
        </w:rPr>
      </w:pPr>
    </w:p>
    <w:p w14:paraId="0F9EB7D4" w14:textId="77777777" w:rsidR="002959BC" w:rsidRPr="00683457" w:rsidRDefault="002959BC" w:rsidP="0041332D">
      <w:pPr>
        <w:pStyle w:val="ListParagraph"/>
        <w:numPr>
          <w:ilvl w:val="0"/>
          <w:numId w:val="17"/>
        </w:numPr>
        <w:spacing w:after="0" w:line="240" w:lineRule="auto"/>
        <w:ind w:left="453"/>
        <w:contextualSpacing w:val="0"/>
        <w:jc w:val="both"/>
        <w:rPr>
          <w:rFonts w:ascii="Simplified Arabic" w:hAnsi="Simplified Arabic" w:cs="Simplified Arabic"/>
          <w:b/>
          <w:bCs/>
          <w:sz w:val="30"/>
          <w:szCs w:val="30"/>
          <w:rtl/>
          <w:lang w:bidi="ar-EG"/>
        </w:rPr>
      </w:pPr>
      <w:r w:rsidRPr="00683457">
        <w:rPr>
          <w:rFonts w:ascii="Simplified Arabic" w:hAnsi="Simplified Arabic" w:cs="Simplified Arabic"/>
          <w:b/>
          <w:bCs/>
          <w:sz w:val="30"/>
          <w:szCs w:val="30"/>
          <w:rtl/>
          <w:lang w:bidi="ar-EG"/>
        </w:rPr>
        <w:t xml:space="preserve">تعريف التضخم:- </w:t>
      </w:r>
    </w:p>
    <w:p w14:paraId="56FEFE0E" w14:textId="77777777" w:rsidR="002959BC" w:rsidRPr="00683457" w:rsidRDefault="002959BC" w:rsidP="002959BC">
      <w:pPr>
        <w:ind w:firstLine="453"/>
        <w:jc w:val="both"/>
        <w:rPr>
          <w:rFonts w:ascii="Simplified Arabic" w:hAnsi="Simplified Arabic" w:cs="Simplified Arabic"/>
          <w:sz w:val="28"/>
          <w:szCs w:val="28"/>
          <w:rtl/>
          <w:lang w:bidi="ar-EG"/>
        </w:rPr>
      </w:pPr>
      <w:r w:rsidRPr="00683457">
        <w:rPr>
          <w:rFonts w:ascii="Simplified Arabic" w:hAnsi="Simplified Arabic" w:cs="Simplified Arabic"/>
          <w:sz w:val="28"/>
          <w:szCs w:val="28"/>
          <w:rtl/>
          <w:lang w:bidi="ar-EG"/>
        </w:rPr>
        <w:t>بالرغم من التداول واسع النطاق لمصطلح التضخم بين الاقتصاديين وغيرهم، إلا أنه ليس هناك تعريف متفق عليه للتضخم، حيث تختلف تعريفات التضخم حسب النظرة إلى هذه الظاهرة من حيث أسبابها أو مظهرها ودرجة شدتها أو نتائجها وآثارها، لذلك فإن هناك اتجاهات عدة لتعريف التضخم.</w:t>
      </w:r>
    </w:p>
    <w:p w14:paraId="0F654837" w14:textId="77777777" w:rsidR="002959BC" w:rsidRPr="00F31787" w:rsidRDefault="002959BC" w:rsidP="002959BC">
      <w:pPr>
        <w:pStyle w:val="ListParagraph"/>
        <w:spacing w:after="0" w:line="240" w:lineRule="auto"/>
        <w:ind w:left="453"/>
        <w:contextualSpacing w:val="0"/>
        <w:jc w:val="both"/>
        <w:rPr>
          <w:rFonts w:ascii="Simplified Arabic" w:hAnsi="Simplified Arabic" w:cs="Simplified Arabic"/>
          <w:color w:val="538135" w:themeColor="accent6" w:themeShade="BF"/>
          <w:rtl/>
          <w:lang w:bidi="ar-EG"/>
        </w:rPr>
      </w:pPr>
    </w:p>
    <w:p w14:paraId="3B901363" w14:textId="1B95893C" w:rsidR="002959BC" w:rsidRPr="00683457" w:rsidRDefault="002959BC" w:rsidP="002959BC">
      <w:pPr>
        <w:ind w:firstLine="453"/>
        <w:jc w:val="both"/>
        <w:rPr>
          <w:rFonts w:ascii="Simplified Arabic" w:hAnsi="Simplified Arabic" w:cs="Simplified Arabic"/>
          <w:sz w:val="28"/>
          <w:szCs w:val="28"/>
          <w:rtl/>
          <w:lang w:bidi="ar-EG"/>
        </w:rPr>
      </w:pPr>
      <w:r w:rsidRPr="00683457">
        <w:rPr>
          <w:rFonts w:ascii="Simplified Arabic" w:hAnsi="Simplified Arabic" w:cs="Simplified Arabic"/>
          <w:sz w:val="28"/>
          <w:szCs w:val="28"/>
          <w:rtl/>
          <w:lang w:bidi="ar-EG"/>
        </w:rPr>
        <w:t>حيث انصب التعريف الكلاسيكي للتضخم على أنه "زيادة كمية النقود في ظروف التوظيف الكامل" وفي ذات الإطار فقد كان تعريف النقديون الجدد للتضخم بأنه "زيادة كمية النقود بمعدلات تفوق معدلات نمو الناتج القومي الحقيقي"، بينما رأي فريق آخر أن التضخم يأتي نتيجة للخلل في جانبي العرض والطلب حيث يعرفون التضخم بأنه "الزيادة في الطلب الكلي بمعدلات تفوق معدلات نمو العرض الحقيقي من السلع والخدمات"، كما يعرفه البعض بأنه "اختلال بين التدفقات النقدية الجزئية والتدفقات الحقيقية الجزئية"، ويرى آخرون أن السبب الأساسي للتضخم هو اختلال الهيكل الإنتاجي إذ ترتفع الأهمية النسبية لقطاعات ونشاطات محددة بينما تنخفض الأهمية النسبية لمعظم القطاعات والنشاطات الاقتصادية الأخرى في توليد الإنتاج، وبذلك تضعف قدرة الاقتصاد على توفير العرض من المنتجات الذي يلبي الاحتياجات.</w:t>
      </w:r>
      <w:r w:rsidRPr="00683457">
        <w:rPr>
          <w:rFonts w:ascii="Simplified Arabic" w:hAnsi="Simplified Arabic" w:cs="Simplified Arabic"/>
          <w:sz w:val="28"/>
          <w:szCs w:val="28"/>
          <w:vertAlign w:val="superscript"/>
          <w:rtl/>
          <w:lang w:bidi="ar-EG"/>
        </w:rPr>
        <w:t xml:space="preserve"> (</w:t>
      </w:r>
      <w:r w:rsidRPr="00683457">
        <w:rPr>
          <w:rFonts w:ascii="Simplified Arabic" w:hAnsi="Simplified Arabic" w:cs="Simplified Arabic"/>
          <w:sz w:val="28"/>
          <w:szCs w:val="28"/>
          <w:vertAlign w:val="superscript"/>
          <w:rtl/>
          <w:lang w:bidi="ar-EG"/>
        </w:rPr>
        <w:footnoteReference w:id="29"/>
      </w:r>
      <w:r w:rsidRPr="00683457">
        <w:rPr>
          <w:rFonts w:ascii="Simplified Arabic" w:hAnsi="Simplified Arabic" w:cs="Simplified Arabic"/>
          <w:sz w:val="28"/>
          <w:szCs w:val="28"/>
          <w:vertAlign w:val="superscript"/>
          <w:rtl/>
          <w:lang w:bidi="ar-EG"/>
        </w:rPr>
        <w:t>)</w:t>
      </w:r>
    </w:p>
    <w:p w14:paraId="214499A7" w14:textId="77777777" w:rsidR="002959BC" w:rsidRPr="00683457" w:rsidRDefault="002959BC" w:rsidP="002959BC">
      <w:pPr>
        <w:ind w:firstLine="453"/>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lastRenderedPageBreak/>
        <w:t xml:space="preserve">ويعرف صندوق النقد الدولي التضخم بأنه معدل الزيادة في الأسعار على مدى فترة زمنية معينة عادة ما تكون سنة واحدة. كما أعتبر أن التضخم عادة مقياساً واسعاً للزيادة العامة في الأسعار أو الزيادة في تكلفة المعيشة في بلد ما. </w:t>
      </w:r>
      <w:r w:rsidRPr="00683457">
        <w:rPr>
          <w:rFonts w:ascii="Simplified Arabic" w:hAnsi="Simplified Arabic" w:cs="Simplified Arabic"/>
          <w:sz w:val="28"/>
          <w:szCs w:val="28"/>
          <w:vertAlign w:val="superscript"/>
          <w:rtl/>
          <w:lang w:bidi="ar-EG"/>
        </w:rPr>
        <w:t>(</w:t>
      </w:r>
      <w:r w:rsidRPr="00683457">
        <w:rPr>
          <w:rFonts w:ascii="Simplified Arabic" w:hAnsi="Simplified Arabic" w:cs="Simplified Arabic"/>
          <w:sz w:val="28"/>
          <w:szCs w:val="28"/>
          <w:vertAlign w:val="superscript"/>
          <w:rtl/>
          <w:lang w:bidi="ar-EG"/>
        </w:rPr>
        <w:footnoteReference w:id="30"/>
      </w:r>
      <w:r w:rsidRPr="00683457">
        <w:rPr>
          <w:rFonts w:ascii="Simplified Arabic" w:hAnsi="Simplified Arabic" w:cs="Simplified Arabic"/>
          <w:sz w:val="28"/>
          <w:szCs w:val="28"/>
          <w:vertAlign w:val="superscript"/>
          <w:rtl/>
          <w:lang w:bidi="ar-EG"/>
        </w:rPr>
        <w:t>)</w:t>
      </w:r>
      <w:r>
        <w:rPr>
          <w:rFonts w:ascii="Simplified Arabic" w:hAnsi="Simplified Arabic" w:cs="Simplified Arabic" w:hint="cs"/>
          <w:sz w:val="28"/>
          <w:szCs w:val="28"/>
          <w:rtl/>
          <w:lang w:bidi="ar-EG"/>
        </w:rPr>
        <w:t xml:space="preserve"> وتعتمد معدلات التضخم عل التغير السنوي في الرقم القياسي لأسعار المستهلكين، </w:t>
      </w:r>
      <w:r w:rsidRPr="00683457">
        <w:rPr>
          <w:rFonts w:ascii="Simplified Arabic" w:hAnsi="Simplified Arabic" w:cs="Simplified Arabic"/>
          <w:sz w:val="28"/>
          <w:szCs w:val="28"/>
          <w:rtl/>
          <w:lang w:bidi="ar-EG"/>
        </w:rPr>
        <w:t>وطبقاً لهذا التعريف يجب توافر الشروط التالية:</w:t>
      </w:r>
    </w:p>
    <w:p w14:paraId="5FC76997" w14:textId="77777777" w:rsidR="002959BC" w:rsidRPr="00683457" w:rsidRDefault="002959BC" w:rsidP="002959BC">
      <w:pPr>
        <w:ind w:firstLine="709"/>
        <w:jc w:val="both"/>
        <w:rPr>
          <w:rFonts w:ascii="Simplified Arabic" w:hAnsi="Simplified Arabic" w:cs="Simplified Arabic"/>
          <w:color w:val="525252" w:themeColor="accent3" w:themeShade="80"/>
          <w:sz w:val="28"/>
          <w:szCs w:val="28"/>
          <w:rtl/>
          <w:lang w:bidi="ar-EG"/>
        </w:rPr>
      </w:pPr>
    </w:p>
    <w:p w14:paraId="002AC277" w14:textId="77777777" w:rsidR="002959BC" w:rsidRDefault="002959BC" w:rsidP="0041332D">
      <w:pPr>
        <w:pStyle w:val="ListParagraph"/>
        <w:numPr>
          <w:ilvl w:val="0"/>
          <w:numId w:val="14"/>
        </w:numPr>
        <w:spacing w:after="0" w:line="240" w:lineRule="auto"/>
        <w:contextualSpacing w:val="0"/>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يجب أن يكون الارتفاع في الأسعار ارتفاعاً عاماً لمعظم السلع والخدمات في اقتصاد ما، كما يجب أن يكون ارتفاعاً عاماً لكافة المناطق التابعة لاقتصاد ما.</w:t>
      </w:r>
    </w:p>
    <w:p w14:paraId="03730555" w14:textId="77777777" w:rsidR="002959BC" w:rsidRPr="00683457" w:rsidRDefault="002959BC" w:rsidP="002959BC">
      <w:pPr>
        <w:pStyle w:val="ListParagraph"/>
        <w:spacing w:after="0" w:line="240" w:lineRule="auto"/>
        <w:ind w:left="360"/>
        <w:contextualSpacing w:val="0"/>
        <w:jc w:val="both"/>
        <w:rPr>
          <w:rFonts w:ascii="Simplified Arabic" w:hAnsi="Simplified Arabic" w:cs="Simplified Arabic"/>
          <w:sz w:val="28"/>
          <w:szCs w:val="28"/>
          <w:lang w:bidi="ar-EG"/>
        </w:rPr>
      </w:pPr>
    </w:p>
    <w:p w14:paraId="6EA046E6" w14:textId="77777777" w:rsidR="002959BC" w:rsidRDefault="002959BC" w:rsidP="0041332D">
      <w:pPr>
        <w:pStyle w:val="ListParagraph"/>
        <w:numPr>
          <w:ilvl w:val="0"/>
          <w:numId w:val="14"/>
        </w:numPr>
        <w:spacing w:after="0" w:line="240" w:lineRule="auto"/>
        <w:contextualSpacing w:val="0"/>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أن يكون ارتفاع الأسعار مستمراً أي أن يتواصل ارتفاع الأسعار خلال فترة زمنية معينة.</w:t>
      </w:r>
    </w:p>
    <w:p w14:paraId="15CCD689" w14:textId="77777777" w:rsidR="002959BC" w:rsidRPr="001B5DAD" w:rsidRDefault="002959BC" w:rsidP="002959BC">
      <w:pPr>
        <w:pStyle w:val="ListParagraph"/>
        <w:rPr>
          <w:rFonts w:ascii="Simplified Arabic" w:hAnsi="Simplified Arabic" w:cs="Simplified Arabic"/>
          <w:sz w:val="28"/>
          <w:szCs w:val="28"/>
          <w:rtl/>
          <w:lang w:bidi="ar-EG"/>
        </w:rPr>
      </w:pPr>
    </w:p>
    <w:p w14:paraId="6E4F0588" w14:textId="77777777" w:rsidR="002959BC" w:rsidRPr="00683457" w:rsidRDefault="002959BC" w:rsidP="0041332D">
      <w:pPr>
        <w:pStyle w:val="ListParagraph"/>
        <w:numPr>
          <w:ilvl w:val="0"/>
          <w:numId w:val="14"/>
        </w:numPr>
        <w:spacing w:after="0" w:line="240" w:lineRule="auto"/>
        <w:contextualSpacing w:val="0"/>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 xml:space="preserve">أن يكون هذا الارتفاع ملموس ليشعر المواطن بارتفاع السعر ويترك أثر فيه ويشكل عبئاً على دخله، والرأي الغالب أن الارتفاع الملموس في الأسعار يكون أكبر من 5%. </w:t>
      </w:r>
      <w:r w:rsidRPr="00683457">
        <w:rPr>
          <w:rFonts w:ascii="Simplified Arabic" w:hAnsi="Simplified Arabic" w:cs="Simplified Arabic"/>
          <w:sz w:val="28"/>
          <w:szCs w:val="28"/>
          <w:vertAlign w:val="superscript"/>
          <w:rtl/>
          <w:lang w:bidi="ar-EG"/>
        </w:rPr>
        <w:t>(</w:t>
      </w:r>
      <w:r w:rsidRPr="00683457">
        <w:rPr>
          <w:rFonts w:ascii="Simplified Arabic" w:hAnsi="Simplified Arabic" w:cs="Simplified Arabic"/>
          <w:sz w:val="28"/>
          <w:szCs w:val="28"/>
          <w:vertAlign w:val="superscript"/>
          <w:rtl/>
          <w:lang w:bidi="ar-EG"/>
        </w:rPr>
        <w:footnoteReference w:id="31"/>
      </w:r>
      <w:r w:rsidRPr="00683457">
        <w:rPr>
          <w:rFonts w:ascii="Simplified Arabic" w:hAnsi="Simplified Arabic" w:cs="Simplified Arabic"/>
          <w:sz w:val="28"/>
          <w:szCs w:val="28"/>
          <w:vertAlign w:val="superscript"/>
          <w:rtl/>
          <w:lang w:bidi="ar-EG"/>
        </w:rPr>
        <w:t>)</w:t>
      </w:r>
    </w:p>
    <w:p w14:paraId="68942259" w14:textId="77777777" w:rsidR="002959BC" w:rsidRPr="00683457" w:rsidRDefault="002959BC" w:rsidP="002959BC">
      <w:pPr>
        <w:pStyle w:val="ListParagraph"/>
        <w:spacing w:after="0" w:line="240" w:lineRule="auto"/>
        <w:ind w:left="1069"/>
        <w:contextualSpacing w:val="0"/>
        <w:jc w:val="both"/>
        <w:rPr>
          <w:rFonts w:ascii="Simplified Arabic" w:hAnsi="Simplified Arabic" w:cs="Simplified Arabic"/>
          <w:sz w:val="28"/>
          <w:szCs w:val="28"/>
          <w:lang w:bidi="ar-EG"/>
        </w:rPr>
      </w:pPr>
    </w:p>
    <w:p w14:paraId="15F6988F" w14:textId="77777777" w:rsidR="002959BC" w:rsidRPr="00683457" w:rsidRDefault="002959BC" w:rsidP="0041332D">
      <w:pPr>
        <w:pStyle w:val="ListParagraph"/>
        <w:numPr>
          <w:ilvl w:val="0"/>
          <w:numId w:val="17"/>
        </w:numPr>
        <w:spacing w:after="0" w:line="240" w:lineRule="auto"/>
        <w:ind w:left="453"/>
        <w:contextualSpacing w:val="0"/>
        <w:jc w:val="both"/>
        <w:rPr>
          <w:rFonts w:ascii="Simplified Arabic" w:hAnsi="Simplified Arabic" w:cs="Simplified Arabic"/>
          <w:b/>
          <w:bCs/>
          <w:sz w:val="30"/>
          <w:szCs w:val="30"/>
          <w:lang w:bidi="ar-EG"/>
        </w:rPr>
      </w:pPr>
      <w:r w:rsidRPr="00683457">
        <w:rPr>
          <w:rFonts w:ascii="Simplified Arabic" w:hAnsi="Simplified Arabic" w:cs="Simplified Arabic"/>
          <w:b/>
          <w:bCs/>
          <w:sz w:val="30"/>
          <w:szCs w:val="30"/>
          <w:rtl/>
          <w:lang w:bidi="ar-EG"/>
        </w:rPr>
        <w:t>أنواع التضخم:</w:t>
      </w:r>
    </w:p>
    <w:p w14:paraId="304772D4" w14:textId="77777777" w:rsidR="002959BC" w:rsidRPr="00683457" w:rsidRDefault="002959BC" w:rsidP="002959BC">
      <w:pPr>
        <w:ind w:firstLine="453"/>
        <w:jc w:val="both"/>
        <w:rPr>
          <w:rFonts w:ascii="Simplified Arabic" w:hAnsi="Simplified Arabic" w:cs="Simplified Arabic"/>
          <w:sz w:val="28"/>
          <w:szCs w:val="28"/>
          <w:rtl/>
          <w:lang w:bidi="ar-EG"/>
        </w:rPr>
      </w:pPr>
      <w:r w:rsidRPr="00683457">
        <w:rPr>
          <w:rFonts w:ascii="Simplified Arabic" w:hAnsi="Simplified Arabic" w:cs="Simplified Arabic"/>
          <w:sz w:val="28"/>
          <w:szCs w:val="28"/>
          <w:rtl/>
          <w:lang w:bidi="ar-EG"/>
        </w:rPr>
        <w:t xml:space="preserve">هناك عدة أنواع للتضخم تختلف على أساس شدتها ومصدرها وأثرها، ويمكن تصنيف هذه الأنواع وفقاً لما يلي </w:t>
      </w:r>
      <w:r w:rsidRPr="00683457">
        <w:rPr>
          <w:rFonts w:ascii="Simplified Arabic" w:hAnsi="Simplified Arabic" w:cs="Simplified Arabic"/>
          <w:sz w:val="28"/>
          <w:szCs w:val="28"/>
          <w:vertAlign w:val="superscript"/>
          <w:rtl/>
          <w:lang w:bidi="ar-EG"/>
        </w:rPr>
        <w:t>(</w:t>
      </w:r>
      <w:r w:rsidRPr="00683457">
        <w:rPr>
          <w:rFonts w:ascii="Simplified Arabic" w:hAnsi="Simplified Arabic" w:cs="Simplified Arabic"/>
          <w:sz w:val="28"/>
          <w:szCs w:val="28"/>
          <w:vertAlign w:val="superscript"/>
          <w:rtl/>
          <w:lang w:bidi="ar-EG"/>
        </w:rPr>
        <w:footnoteReference w:id="32"/>
      </w:r>
      <w:r w:rsidRPr="00683457">
        <w:rPr>
          <w:rFonts w:ascii="Simplified Arabic" w:hAnsi="Simplified Arabic" w:cs="Simplified Arabic"/>
          <w:sz w:val="28"/>
          <w:szCs w:val="28"/>
          <w:vertAlign w:val="superscript"/>
          <w:rtl/>
          <w:lang w:bidi="ar-EG"/>
        </w:rPr>
        <w:t>)</w:t>
      </w:r>
      <w:r w:rsidRPr="00683457">
        <w:rPr>
          <w:rFonts w:ascii="Simplified Arabic" w:hAnsi="Simplified Arabic" w:cs="Simplified Arabic"/>
          <w:sz w:val="28"/>
          <w:szCs w:val="28"/>
          <w:rtl/>
          <w:lang w:bidi="ar-EG"/>
        </w:rPr>
        <w:t>:</w:t>
      </w:r>
    </w:p>
    <w:p w14:paraId="400CF06E" w14:textId="77777777" w:rsidR="002959BC" w:rsidRPr="00683457" w:rsidRDefault="002959BC" w:rsidP="002959BC">
      <w:pPr>
        <w:ind w:firstLine="453"/>
        <w:jc w:val="both"/>
        <w:rPr>
          <w:rFonts w:ascii="Simplified Arabic" w:hAnsi="Simplified Arabic" w:cs="Simplified Arabic"/>
          <w:sz w:val="28"/>
          <w:szCs w:val="28"/>
          <w:rtl/>
          <w:lang w:bidi="ar-EG"/>
        </w:rPr>
      </w:pPr>
    </w:p>
    <w:p w14:paraId="4B707564" w14:textId="77777777" w:rsidR="002959BC" w:rsidRDefault="002959BC" w:rsidP="0041332D">
      <w:pPr>
        <w:pStyle w:val="ListParagraph"/>
        <w:numPr>
          <w:ilvl w:val="0"/>
          <w:numId w:val="14"/>
        </w:numPr>
        <w:spacing w:after="0" w:line="240" w:lineRule="auto"/>
        <w:contextualSpacing w:val="0"/>
        <w:jc w:val="both"/>
        <w:rPr>
          <w:rFonts w:ascii="Simplified Arabic" w:hAnsi="Simplified Arabic" w:cs="Simplified Arabic"/>
          <w:b/>
          <w:bCs/>
          <w:sz w:val="28"/>
          <w:szCs w:val="28"/>
          <w:u w:val="single"/>
          <w:lang w:bidi="ar-EG"/>
        </w:rPr>
      </w:pPr>
      <w:r w:rsidRPr="00683457">
        <w:rPr>
          <w:rFonts w:ascii="Simplified Arabic" w:hAnsi="Simplified Arabic" w:cs="Simplified Arabic"/>
          <w:b/>
          <w:bCs/>
          <w:sz w:val="28"/>
          <w:szCs w:val="28"/>
          <w:u w:val="single"/>
          <w:rtl/>
          <w:lang w:bidi="ar-EG"/>
        </w:rPr>
        <w:t>وفقاً لشدة الارتفاع في معدلات التضخم:</w:t>
      </w:r>
    </w:p>
    <w:p w14:paraId="34545778" w14:textId="77777777" w:rsidR="002959BC" w:rsidRPr="00683457" w:rsidRDefault="002959BC" w:rsidP="002959BC">
      <w:pPr>
        <w:pStyle w:val="ListParagraph"/>
        <w:spacing w:after="0" w:line="240" w:lineRule="auto"/>
        <w:ind w:left="360"/>
        <w:contextualSpacing w:val="0"/>
        <w:jc w:val="both"/>
        <w:rPr>
          <w:rFonts w:ascii="Simplified Arabic" w:hAnsi="Simplified Arabic" w:cs="Simplified Arabic"/>
          <w:b/>
          <w:bCs/>
          <w:sz w:val="28"/>
          <w:szCs w:val="28"/>
          <w:u w:val="single"/>
          <w:lang w:bidi="ar-EG"/>
        </w:rPr>
      </w:pPr>
    </w:p>
    <w:p w14:paraId="22AC5DC7" w14:textId="77777777" w:rsidR="002959BC" w:rsidRPr="00683457" w:rsidRDefault="002959BC" w:rsidP="0041332D">
      <w:pPr>
        <w:pStyle w:val="ListParagraph"/>
        <w:numPr>
          <w:ilvl w:val="0"/>
          <w:numId w:val="16"/>
        </w:numPr>
        <w:spacing w:after="0" w:line="240" w:lineRule="auto"/>
        <w:ind w:left="567" w:hanging="190"/>
        <w:contextualSpacing w:val="0"/>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التضخم الزاحف</w:t>
      </w:r>
      <w:r w:rsidRPr="00683457">
        <w:rPr>
          <w:rFonts w:ascii="Simplified Arabic" w:hAnsi="Simplified Arabic" w:cs="Simplified Arabic"/>
          <w:sz w:val="28"/>
          <w:szCs w:val="28"/>
          <w:lang w:bidi="ar-EG"/>
        </w:rPr>
        <w:t xml:space="preserve">Creeping Inflation </w:t>
      </w:r>
      <w:r w:rsidRPr="00683457">
        <w:rPr>
          <w:rFonts w:ascii="Simplified Arabic" w:hAnsi="Simplified Arabic" w:cs="Simplified Arabic"/>
          <w:sz w:val="28"/>
          <w:szCs w:val="28"/>
          <w:rtl/>
          <w:lang w:bidi="ar-EG"/>
        </w:rPr>
        <w:t>:</w:t>
      </w:r>
    </w:p>
    <w:p w14:paraId="49966433" w14:textId="77777777" w:rsidR="002959BC" w:rsidRDefault="002959BC" w:rsidP="002959BC">
      <w:pPr>
        <w:pStyle w:val="ListParagraph"/>
        <w:spacing w:after="0" w:line="240" w:lineRule="auto"/>
        <w:ind w:left="567"/>
        <w:contextualSpacing w:val="0"/>
        <w:jc w:val="both"/>
        <w:rPr>
          <w:rFonts w:ascii="Simplified Arabic" w:hAnsi="Simplified Arabic" w:cs="Simplified Arabic"/>
          <w:sz w:val="28"/>
          <w:szCs w:val="28"/>
          <w:rtl/>
          <w:lang w:bidi="ar-EG"/>
        </w:rPr>
      </w:pPr>
      <w:r w:rsidRPr="00683457">
        <w:rPr>
          <w:rFonts w:ascii="Simplified Arabic" w:hAnsi="Simplified Arabic" w:cs="Simplified Arabic"/>
          <w:sz w:val="28"/>
          <w:szCs w:val="28"/>
          <w:rtl/>
          <w:lang w:bidi="ar-EG"/>
        </w:rPr>
        <w:t>ويعرف أيضاً بالتضخم المتسلق أو الدائم، وهي الحالة التي يرتفع فيها المستوى العام للأسعار بشكل مستمر ولكن تكون الزيادة بمعدلات منخفضة خلال فترة زمنية طويلة نسبياً مقترنة بالقوى الطبيعية للنمو الاقتصادي، فهذا التضخم ليس ناتجاً عن زيادة الإصدار النقدي أو التوسع في الائتمان المصرفي.</w:t>
      </w:r>
    </w:p>
    <w:p w14:paraId="298EC841" w14:textId="77777777" w:rsidR="002959BC" w:rsidRPr="00683457" w:rsidRDefault="002959BC" w:rsidP="0041332D">
      <w:pPr>
        <w:pStyle w:val="ListParagraph"/>
        <w:numPr>
          <w:ilvl w:val="0"/>
          <w:numId w:val="16"/>
        </w:numPr>
        <w:spacing w:after="0" w:line="238" w:lineRule="auto"/>
        <w:ind w:left="567" w:hanging="190"/>
        <w:contextualSpacing w:val="0"/>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التضخم الجامح</w:t>
      </w:r>
      <w:r w:rsidRPr="00683457">
        <w:rPr>
          <w:rFonts w:ascii="Simplified Arabic" w:hAnsi="Simplified Arabic" w:cs="Simplified Arabic"/>
          <w:sz w:val="28"/>
          <w:szCs w:val="28"/>
          <w:lang w:bidi="ar-EG"/>
        </w:rPr>
        <w:t xml:space="preserve">Hyper Inflation </w:t>
      </w:r>
      <w:r w:rsidRPr="00683457">
        <w:rPr>
          <w:rFonts w:ascii="Simplified Arabic" w:hAnsi="Simplified Arabic" w:cs="Simplified Arabic"/>
          <w:sz w:val="28"/>
          <w:szCs w:val="28"/>
          <w:rtl/>
          <w:lang w:bidi="ar-EG"/>
        </w:rPr>
        <w:t>:</w:t>
      </w:r>
    </w:p>
    <w:p w14:paraId="65A52347" w14:textId="77777777" w:rsidR="002959BC" w:rsidRDefault="002959BC" w:rsidP="002959BC">
      <w:pPr>
        <w:pStyle w:val="ListParagraph"/>
        <w:spacing w:after="0" w:line="238" w:lineRule="auto"/>
        <w:ind w:left="567"/>
        <w:contextualSpacing w:val="0"/>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lastRenderedPageBreak/>
        <w:t>يعتبر التضخم الجامح أكثر أنواع التضخم ضرراً بالاقتصاد القومي، حيث تكون الزيادة في المستوى العام للأسعار بمعدلات متسارعة مدفوعاً بقوة التوقعات من استمرار التضخم في المستقبل، وفي مثل هذه الحالات تكاد تفقد النقود قوتها الشرائية كلية، مما يؤدي إلى فقد النقود لقبولها المجتمعي وتفقد كل وظائفها، وربما يلجأ الأفراد إلى استخدام وسائط أخرى للتبادل كما يلجأون إلى استخدام الذهب أو السلع كمخزن للقيمة بدلاً من النقود، وهو ما قد يؤدي في النهاية إلى انهيار النظام النقدي ورفض الأفراد التعامل بالعملة.</w:t>
      </w:r>
    </w:p>
    <w:p w14:paraId="0B474771" w14:textId="77777777" w:rsidR="002959BC" w:rsidRPr="005B2A83" w:rsidRDefault="002959BC" w:rsidP="002959BC">
      <w:pPr>
        <w:pStyle w:val="ListParagraph"/>
        <w:spacing w:after="0" w:line="238" w:lineRule="auto"/>
        <w:ind w:left="1020"/>
        <w:contextualSpacing w:val="0"/>
        <w:jc w:val="both"/>
        <w:rPr>
          <w:rFonts w:ascii="Simplified Arabic" w:hAnsi="Simplified Arabic" w:cs="Simplified Arabic"/>
          <w:rtl/>
          <w:lang w:bidi="ar-EG"/>
        </w:rPr>
      </w:pPr>
    </w:p>
    <w:p w14:paraId="488C7C10" w14:textId="77777777" w:rsidR="002959BC" w:rsidRPr="00683457" w:rsidRDefault="002959BC" w:rsidP="0041332D">
      <w:pPr>
        <w:pStyle w:val="ListParagraph"/>
        <w:numPr>
          <w:ilvl w:val="0"/>
          <w:numId w:val="14"/>
        </w:numPr>
        <w:spacing w:after="0" w:line="238" w:lineRule="auto"/>
        <w:contextualSpacing w:val="0"/>
        <w:jc w:val="both"/>
        <w:rPr>
          <w:rFonts w:ascii="Simplified Arabic" w:hAnsi="Simplified Arabic" w:cs="Simplified Arabic"/>
          <w:b/>
          <w:bCs/>
          <w:sz w:val="28"/>
          <w:szCs w:val="28"/>
          <w:u w:val="single"/>
          <w:lang w:bidi="ar-EG"/>
        </w:rPr>
      </w:pPr>
      <w:r w:rsidRPr="00683457">
        <w:rPr>
          <w:rFonts w:ascii="Simplified Arabic" w:hAnsi="Simplified Arabic" w:cs="Simplified Arabic"/>
          <w:b/>
          <w:bCs/>
          <w:sz w:val="28"/>
          <w:szCs w:val="28"/>
          <w:u w:val="single"/>
          <w:rtl/>
          <w:lang w:bidi="ar-EG"/>
        </w:rPr>
        <w:t>وفقاً لمدى تدخل الدولة في تحديد الأسعار:</w:t>
      </w:r>
    </w:p>
    <w:p w14:paraId="50804CA0" w14:textId="77777777" w:rsidR="002959BC" w:rsidRPr="00683457" w:rsidRDefault="002959BC" w:rsidP="0041332D">
      <w:pPr>
        <w:pStyle w:val="ListParagraph"/>
        <w:numPr>
          <w:ilvl w:val="0"/>
          <w:numId w:val="16"/>
        </w:numPr>
        <w:spacing w:after="0" w:line="238" w:lineRule="auto"/>
        <w:ind w:left="567" w:hanging="190"/>
        <w:contextualSpacing w:val="0"/>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التضخم المكبوت</w:t>
      </w:r>
      <w:r w:rsidRPr="00683457">
        <w:rPr>
          <w:rFonts w:ascii="Simplified Arabic" w:hAnsi="Simplified Arabic" w:cs="Simplified Arabic"/>
          <w:sz w:val="28"/>
          <w:szCs w:val="28"/>
          <w:lang w:bidi="ar-EG"/>
        </w:rPr>
        <w:t xml:space="preserve">Suppressed Inflation </w:t>
      </w:r>
      <w:r w:rsidRPr="00683457">
        <w:rPr>
          <w:rFonts w:ascii="Simplified Arabic" w:hAnsi="Simplified Arabic" w:cs="Simplified Arabic"/>
          <w:sz w:val="28"/>
          <w:szCs w:val="28"/>
          <w:rtl/>
          <w:lang w:bidi="ar-EG"/>
        </w:rPr>
        <w:t xml:space="preserve">: </w:t>
      </w:r>
    </w:p>
    <w:p w14:paraId="650875A8" w14:textId="77777777" w:rsidR="002959BC" w:rsidRDefault="002959BC" w:rsidP="002959BC">
      <w:pPr>
        <w:pStyle w:val="ListParagraph"/>
        <w:spacing w:after="0" w:line="238" w:lineRule="auto"/>
        <w:ind w:left="567"/>
        <w:contextualSpacing w:val="0"/>
        <w:jc w:val="both"/>
        <w:rPr>
          <w:rFonts w:ascii="Simplified Arabic" w:hAnsi="Simplified Arabic" w:cs="Simplified Arabic"/>
          <w:sz w:val="28"/>
          <w:szCs w:val="28"/>
          <w:vertAlign w:val="superscript"/>
          <w:lang w:bidi="ar-EG"/>
        </w:rPr>
      </w:pPr>
      <w:r w:rsidRPr="00683457">
        <w:rPr>
          <w:rFonts w:ascii="Simplified Arabic" w:hAnsi="Simplified Arabic" w:cs="Simplified Arabic"/>
          <w:sz w:val="28"/>
          <w:szCs w:val="28"/>
          <w:rtl/>
          <w:lang w:bidi="ar-EG"/>
        </w:rPr>
        <w:t xml:space="preserve">حيث تتدخل الدولة لتحديد أسعار بعض السلع والخدمات خاصة الضرورية منها، ونتيجة لذلك فإن الضغوط التضخمية لا تنعكس بالكامل على ارتفاع الأسعار، مما يؤدي إلى حدوث تشوه في جهاز الأسعار وهو الأمر الذي ينتج عنه إساءة تخصيص الموارد وتخفيض الكفاءة الاقتصادية. </w:t>
      </w:r>
      <w:r w:rsidRPr="00683457">
        <w:rPr>
          <w:rFonts w:ascii="Simplified Arabic" w:hAnsi="Simplified Arabic" w:cs="Simplified Arabic"/>
          <w:sz w:val="28"/>
          <w:szCs w:val="28"/>
          <w:vertAlign w:val="superscript"/>
          <w:rtl/>
          <w:lang w:bidi="ar-EG"/>
        </w:rPr>
        <w:t>(</w:t>
      </w:r>
      <w:r w:rsidRPr="00683457">
        <w:rPr>
          <w:rFonts w:ascii="Simplified Arabic" w:hAnsi="Simplified Arabic" w:cs="Simplified Arabic"/>
          <w:sz w:val="28"/>
          <w:szCs w:val="28"/>
          <w:vertAlign w:val="superscript"/>
          <w:rtl/>
          <w:lang w:bidi="ar-EG"/>
        </w:rPr>
        <w:footnoteReference w:id="33"/>
      </w:r>
      <w:r w:rsidRPr="00683457">
        <w:rPr>
          <w:rFonts w:ascii="Simplified Arabic" w:hAnsi="Simplified Arabic" w:cs="Simplified Arabic"/>
          <w:sz w:val="28"/>
          <w:szCs w:val="28"/>
          <w:vertAlign w:val="superscript"/>
          <w:rtl/>
          <w:lang w:bidi="ar-EG"/>
        </w:rPr>
        <w:t>)</w:t>
      </w:r>
    </w:p>
    <w:p w14:paraId="10969E94" w14:textId="77777777" w:rsidR="002959BC" w:rsidRPr="005B2A83" w:rsidRDefault="002959BC" w:rsidP="002959BC">
      <w:pPr>
        <w:pStyle w:val="ListParagraph"/>
        <w:spacing w:after="0" w:line="238" w:lineRule="auto"/>
        <w:ind w:left="1020"/>
        <w:contextualSpacing w:val="0"/>
        <w:jc w:val="both"/>
        <w:rPr>
          <w:rFonts w:ascii="Simplified Arabic" w:hAnsi="Simplified Arabic" w:cs="Simplified Arabic"/>
          <w:sz w:val="16"/>
          <w:szCs w:val="16"/>
          <w:rtl/>
          <w:lang w:bidi="ar-EG"/>
        </w:rPr>
      </w:pPr>
    </w:p>
    <w:p w14:paraId="7D4E407F" w14:textId="77777777" w:rsidR="002959BC" w:rsidRPr="00683457" w:rsidRDefault="002959BC" w:rsidP="0041332D">
      <w:pPr>
        <w:pStyle w:val="ListParagraph"/>
        <w:numPr>
          <w:ilvl w:val="0"/>
          <w:numId w:val="16"/>
        </w:numPr>
        <w:spacing w:after="0" w:line="238" w:lineRule="auto"/>
        <w:ind w:left="567" w:hanging="190"/>
        <w:contextualSpacing w:val="0"/>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التضخم الصريح</w:t>
      </w:r>
      <w:r w:rsidRPr="00683457">
        <w:rPr>
          <w:rFonts w:ascii="Simplified Arabic" w:hAnsi="Simplified Arabic" w:cs="Simplified Arabic"/>
          <w:sz w:val="28"/>
          <w:szCs w:val="28"/>
          <w:lang w:bidi="ar-EG"/>
        </w:rPr>
        <w:t xml:space="preserve">Open inflation </w:t>
      </w:r>
      <w:r w:rsidRPr="00683457">
        <w:rPr>
          <w:rFonts w:ascii="Simplified Arabic" w:hAnsi="Simplified Arabic" w:cs="Simplified Arabic"/>
          <w:sz w:val="28"/>
          <w:szCs w:val="28"/>
          <w:rtl/>
          <w:lang w:bidi="ar-EG"/>
        </w:rPr>
        <w:t>:</w:t>
      </w:r>
    </w:p>
    <w:p w14:paraId="3E0D32D6" w14:textId="77777777" w:rsidR="002959BC" w:rsidRDefault="002959BC" w:rsidP="002959BC">
      <w:pPr>
        <w:pStyle w:val="ListParagraph"/>
        <w:spacing w:after="0" w:line="238" w:lineRule="auto"/>
        <w:ind w:left="567"/>
        <w:contextualSpacing w:val="0"/>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ويقصد بهذا النوع من التضخم أن يترك تحديد الأسعار لعوامل السوق من العرض والطلب فيسمح للضغوط التضخمية ان تعبر عن نفسها في شكل ارتفاع في المستوى العام للأسعار دون تدخل من الدولة.</w:t>
      </w:r>
    </w:p>
    <w:p w14:paraId="1B640865" w14:textId="77777777" w:rsidR="002959BC" w:rsidRPr="005B2A83" w:rsidRDefault="002959BC" w:rsidP="002959BC">
      <w:pPr>
        <w:pStyle w:val="ListParagraph"/>
        <w:spacing w:after="0" w:line="238" w:lineRule="auto"/>
        <w:ind w:left="1020"/>
        <w:contextualSpacing w:val="0"/>
        <w:jc w:val="both"/>
        <w:rPr>
          <w:rFonts w:ascii="Simplified Arabic" w:hAnsi="Simplified Arabic" w:cs="Simplified Arabic"/>
          <w:rtl/>
          <w:lang w:bidi="ar-EG"/>
        </w:rPr>
      </w:pPr>
    </w:p>
    <w:p w14:paraId="67A2DD8F" w14:textId="77777777" w:rsidR="002959BC" w:rsidRPr="00683457" w:rsidRDefault="002959BC" w:rsidP="0041332D">
      <w:pPr>
        <w:pStyle w:val="ListParagraph"/>
        <w:numPr>
          <w:ilvl w:val="0"/>
          <w:numId w:val="14"/>
        </w:numPr>
        <w:spacing w:after="0" w:line="238" w:lineRule="auto"/>
        <w:contextualSpacing w:val="0"/>
        <w:jc w:val="both"/>
        <w:rPr>
          <w:rFonts w:ascii="Simplified Arabic" w:hAnsi="Simplified Arabic" w:cs="Simplified Arabic"/>
          <w:b/>
          <w:bCs/>
          <w:sz w:val="28"/>
          <w:szCs w:val="28"/>
          <w:u w:val="single"/>
          <w:lang w:bidi="ar-EG"/>
        </w:rPr>
      </w:pPr>
      <w:r w:rsidRPr="00683457">
        <w:rPr>
          <w:rFonts w:ascii="Simplified Arabic" w:hAnsi="Simplified Arabic" w:cs="Simplified Arabic"/>
          <w:b/>
          <w:bCs/>
          <w:sz w:val="28"/>
          <w:szCs w:val="28"/>
          <w:u w:val="single"/>
          <w:rtl/>
          <w:lang w:bidi="ar-EG"/>
        </w:rPr>
        <w:t>وفقاً لمصدر الضغط التضخمي:</w:t>
      </w:r>
    </w:p>
    <w:p w14:paraId="6E1AB31A" w14:textId="77777777" w:rsidR="002959BC" w:rsidRPr="00683457" w:rsidRDefault="002959BC" w:rsidP="0041332D">
      <w:pPr>
        <w:pStyle w:val="ListParagraph"/>
        <w:numPr>
          <w:ilvl w:val="0"/>
          <w:numId w:val="16"/>
        </w:numPr>
        <w:spacing w:after="0" w:line="238" w:lineRule="auto"/>
        <w:ind w:left="567" w:hanging="190"/>
        <w:contextualSpacing w:val="0"/>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 xml:space="preserve">تضخم جذب الطلب </w:t>
      </w:r>
      <w:r w:rsidRPr="00683457">
        <w:rPr>
          <w:rFonts w:ascii="Simplified Arabic" w:hAnsi="Simplified Arabic" w:cs="Simplified Arabic"/>
          <w:sz w:val="28"/>
          <w:szCs w:val="28"/>
          <w:lang w:bidi="ar-EG"/>
        </w:rPr>
        <w:t>Demand-Pull Inflation</w:t>
      </w:r>
      <w:r w:rsidRPr="00683457">
        <w:rPr>
          <w:rFonts w:ascii="Simplified Arabic" w:hAnsi="Simplified Arabic" w:cs="Simplified Arabic"/>
          <w:sz w:val="28"/>
          <w:szCs w:val="28"/>
          <w:rtl/>
          <w:lang w:bidi="ar-EG"/>
        </w:rPr>
        <w:t>:</w:t>
      </w:r>
    </w:p>
    <w:p w14:paraId="1155EBD4" w14:textId="77777777" w:rsidR="002959BC" w:rsidRDefault="002959BC" w:rsidP="002959BC">
      <w:pPr>
        <w:pStyle w:val="ListParagraph"/>
        <w:spacing w:after="0" w:line="238" w:lineRule="auto"/>
        <w:ind w:left="567"/>
        <w:contextualSpacing w:val="0"/>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الذي ينتج عن زيادة الطلب الكلي عن العرض الكلي، فهو ينشأ نتيجة قصور الإنتاج عن تلبية الطلب على السلع والخدمات، حيث إن الزيادة الإنفاق الكلي لا يقابلها زيادة في الإنتاج الحقيقي.</w:t>
      </w:r>
    </w:p>
    <w:p w14:paraId="2844CF67" w14:textId="77777777" w:rsidR="002959BC" w:rsidRPr="005B2A83" w:rsidRDefault="002959BC" w:rsidP="002959BC">
      <w:pPr>
        <w:pStyle w:val="ListParagraph"/>
        <w:spacing w:after="0" w:line="238" w:lineRule="auto"/>
        <w:ind w:left="567"/>
        <w:contextualSpacing w:val="0"/>
        <w:jc w:val="both"/>
        <w:rPr>
          <w:rFonts w:ascii="Simplified Arabic" w:hAnsi="Simplified Arabic" w:cs="Simplified Arabic"/>
          <w:sz w:val="16"/>
          <w:szCs w:val="16"/>
          <w:lang w:bidi="ar-EG"/>
        </w:rPr>
      </w:pPr>
    </w:p>
    <w:p w14:paraId="72D55C69" w14:textId="77777777" w:rsidR="002959BC" w:rsidRPr="00683457" w:rsidRDefault="002959BC" w:rsidP="0041332D">
      <w:pPr>
        <w:pStyle w:val="ListParagraph"/>
        <w:numPr>
          <w:ilvl w:val="0"/>
          <w:numId w:val="16"/>
        </w:numPr>
        <w:spacing w:after="0" w:line="238" w:lineRule="auto"/>
        <w:ind w:left="567" w:hanging="190"/>
        <w:contextualSpacing w:val="0"/>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تضخم دفع النفقة</w:t>
      </w:r>
      <w:r w:rsidRPr="00683457">
        <w:rPr>
          <w:rFonts w:ascii="Simplified Arabic" w:hAnsi="Simplified Arabic" w:cs="Simplified Arabic"/>
          <w:sz w:val="28"/>
          <w:szCs w:val="28"/>
          <w:lang w:bidi="ar-EG"/>
        </w:rPr>
        <w:t xml:space="preserve">Cost-Push Inflation </w:t>
      </w:r>
      <w:r w:rsidRPr="00683457">
        <w:rPr>
          <w:rFonts w:ascii="Simplified Arabic" w:hAnsi="Simplified Arabic" w:cs="Simplified Arabic"/>
          <w:sz w:val="28"/>
          <w:szCs w:val="28"/>
          <w:rtl/>
          <w:lang w:bidi="ar-EG"/>
        </w:rPr>
        <w:t>:</w:t>
      </w:r>
    </w:p>
    <w:p w14:paraId="7E47189C" w14:textId="77777777" w:rsidR="002959BC" w:rsidRDefault="002959BC" w:rsidP="002959BC">
      <w:pPr>
        <w:pStyle w:val="ListParagraph"/>
        <w:spacing w:after="0" w:line="238" w:lineRule="auto"/>
        <w:ind w:left="567"/>
        <w:contextualSpacing w:val="0"/>
        <w:jc w:val="both"/>
        <w:rPr>
          <w:rFonts w:ascii="Simplified Arabic" w:hAnsi="Simplified Arabic" w:cs="Simplified Arabic"/>
          <w:sz w:val="28"/>
          <w:szCs w:val="28"/>
          <w:vertAlign w:val="superscript"/>
          <w:lang w:bidi="ar-EG"/>
        </w:rPr>
      </w:pPr>
      <w:r w:rsidRPr="00683457">
        <w:rPr>
          <w:rFonts w:ascii="Simplified Arabic" w:hAnsi="Simplified Arabic" w:cs="Simplified Arabic"/>
          <w:sz w:val="28"/>
          <w:szCs w:val="28"/>
          <w:rtl/>
          <w:lang w:bidi="ar-EG"/>
        </w:rPr>
        <w:t>ويتعلق بالتضخم الناشئ عن ارتفاع قيمة أحد أو بعض عناصر التكلفة وبصفة خاصة الأجور والواردات، بالإضافة إلى بعض العناصر الأخرى مثل ارتفاع أسعار الطاقة، أسعار الفائدة، وجود طاقات عاطلة وتخفيض قيمة العملة وغيره.</w:t>
      </w:r>
      <w:r w:rsidRPr="00683457">
        <w:rPr>
          <w:rFonts w:ascii="Simplified Arabic" w:hAnsi="Simplified Arabic" w:cs="Simplified Arabic"/>
          <w:color w:val="FF0000"/>
          <w:sz w:val="28"/>
          <w:szCs w:val="28"/>
          <w:rtl/>
          <w:lang w:bidi="ar-EG"/>
        </w:rPr>
        <w:t xml:space="preserve"> </w:t>
      </w:r>
      <w:r w:rsidRPr="00683457">
        <w:rPr>
          <w:rFonts w:ascii="Simplified Arabic" w:hAnsi="Simplified Arabic" w:cs="Simplified Arabic"/>
          <w:sz w:val="28"/>
          <w:szCs w:val="28"/>
          <w:vertAlign w:val="superscript"/>
          <w:rtl/>
          <w:lang w:bidi="ar-EG"/>
        </w:rPr>
        <w:t>(</w:t>
      </w:r>
      <w:r w:rsidRPr="00683457">
        <w:rPr>
          <w:rFonts w:ascii="Simplified Arabic" w:hAnsi="Simplified Arabic" w:cs="Simplified Arabic"/>
          <w:sz w:val="28"/>
          <w:szCs w:val="28"/>
          <w:vertAlign w:val="superscript"/>
          <w:rtl/>
          <w:lang w:bidi="ar-EG"/>
        </w:rPr>
        <w:footnoteReference w:id="34"/>
      </w:r>
      <w:r w:rsidRPr="00683457">
        <w:rPr>
          <w:rFonts w:ascii="Simplified Arabic" w:hAnsi="Simplified Arabic" w:cs="Simplified Arabic"/>
          <w:sz w:val="28"/>
          <w:szCs w:val="28"/>
          <w:vertAlign w:val="superscript"/>
          <w:rtl/>
          <w:lang w:bidi="ar-EG"/>
        </w:rPr>
        <w:t>)</w:t>
      </w:r>
    </w:p>
    <w:p w14:paraId="08880B3E" w14:textId="77777777" w:rsidR="002959BC" w:rsidRDefault="002959BC" w:rsidP="002959BC">
      <w:pPr>
        <w:pStyle w:val="ListParagraph"/>
        <w:spacing w:after="0" w:line="240" w:lineRule="auto"/>
        <w:ind w:left="567"/>
        <w:contextualSpacing w:val="0"/>
        <w:jc w:val="both"/>
        <w:rPr>
          <w:rFonts w:ascii="Simplified Arabic" w:hAnsi="Simplified Arabic" w:cs="Simplified Arabic"/>
          <w:sz w:val="28"/>
          <w:szCs w:val="28"/>
          <w:lang w:bidi="ar-EG"/>
        </w:rPr>
      </w:pPr>
    </w:p>
    <w:p w14:paraId="6623F2A8" w14:textId="77777777" w:rsidR="002959BC" w:rsidRPr="00683457" w:rsidRDefault="002959BC" w:rsidP="0041332D">
      <w:pPr>
        <w:pStyle w:val="ListParagraph"/>
        <w:numPr>
          <w:ilvl w:val="0"/>
          <w:numId w:val="16"/>
        </w:numPr>
        <w:spacing w:after="0" w:line="240" w:lineRule="auto"/>
        <w:ind w:left="567" w:hanging="190"/>
        <w:contextualSpacing w:val="0"/>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التضخم الهيكلي</w:t>
      </w:r>
      <w:r w:rsidRPr="00683457">
        <w:rPr>
          <w:rFonts w:ascii="Simplified Arabic" w:hAnsi="Simplified Arabic" w:cs="Simplified Arabic"/>
          <w:sz w:val="28"/>
          <w:szCs w:val="28"/>
          <w:lang w:bidi="ar-EG"/>
        </w:rPr>
        <w:t xml:space="preserve">Structural Inflation </w:t>
      </w:r>
      <w:r w:rsidRPr="00683457">
        <w:rPr>
          <w:rFonts w:ascii="Simplified Arabic" w:hAnsi="Simplified Arabic" w:cs="Simplified Arabic"/>
          <w:sz w:val="28"/>
          <w:szCs w:val="28"/>
          <w:rtl/>
          <w:lang w:bidi="ar-EG"/>
        </w:rPr>
        <w:t>:</w:t>
      </w:r>
    </w:p>
    <w:p w14:paraId="0C210C86" w14:textId="77777777" w:rsidR="002959BC" w:rsidRDefault="002959BC" w:rsidP="002959BC">
      <w:pPr>
        <w:pStyle w:val="ListParagraph"/>
        <w:spacing w:after="0" w:line="240" w:lineRule="auto"/>
        <w:ind w:left="567"/>
        <w:contextualSpacing w:val="0"/>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lastRenderedPageBreak/>
        <w:t xml:space="preserve">ويفترض أن التضخم ينشأ نتيجة عوامل هيكلية في الاقتصاد مثل اختلال علاقات النمو بين القطاعات المختلفة، بطء نمو قطاع الزراعة، اختناقات سوق العمل، عجز حصيلة النقد الأجنبي، نقص العرض في أسواق المنتجات والموارد </w:t>
      </w:r>
      <w:r w:rsidRPr="00683457">
        <w:rPr>
          <w:rFonts w:ascii="Simplified Arabic" w:hAnsi="Simplified Arabic" w:cs="Simplified Arabic"/>
          <w:sz w:val="28"/>
          <w:szCs w:val="28"/>
          <w:vertAlign w:val="superscript"/>
          <w:rtl/>
          <w:lang w:bidi="ar-EG"/>
        </w:rPr>
        <w:t>(</w:t>
      </w:r>
      <w:r w:rsidRPr="00683457">
        <w:rPr>
          <w:rFonts w:ascii="Simplified Arabic" w:hAnsi="Simplified Arabic" w:cs="Simplified Arabic"/>
          <w:sz w:val="28"/>
          <w:szCs w:val="28"/>
          <w:vertAlign w:val="superscript"/>
          <w:rtl/>
          <w:lang w:bidi="ar-EG"/>
        </w:rPr>
        <w:footnoteReference w:id="35"/>
      </w:r>
      <w:r w:rsidRPr="00683457">
        <w:rPr>
          <w:rFonts w:ascii="Simplified Arabic" w:hAnsi="Simplified Arabic" w:cs="Simplified Arabic"/>
          <w:sz w:val="28"/>
          <w:szCs w:val="28"/>
          <w:vertAlign w:val="superscript"/>
          <w:rtl/>
          <w:lang w:bidi="ar-EG"/>
        </w:rPr>
        <w:t>)</w:t>
      </w:r>
      <w:r w:rsidRPr="00683457">
        <w:rPr>
          <w:rFonts w:ascii="Simplified Arabic" w:hAnsi="Simplified Arabic" w:cs="Simplified Arabic"/>
          <w:sz w:val="28"/>
          <w:szCs w:val="28"/>
          <w:rtl/>
          <w:lang w:bidi="ar-EG"/>
        </w:rPr>
        <w:t xml:space="preserve">، وغيره. </w:t>
      </w:r>
    </w:p>
    <w:p w14:paraId="6AEA1CF6" w14:textId="77777777" w:rsidR="002959BC" w:rsidRPr="008252EA" w:rsidRDefault="002959BC" w:rsidP="002959BC">
      <w:pPr>
        <w:pStyle w:val="ListParagraph"/>
        <w:spacing w:after="0" w:line="240" w:lineRule="auto"/>
        <w:ind w:left="1020"/>
        <w:contextualSpacing w:val="0"/>
        <w:jc w:val="both"/>
        <w:rPr>
          <w:rFonts w:ascii="Simplified Arabic" w:hAnsi="Simplified Arabic" w:cs="Simplified Arabic"/>
          <w:rtl/>
          <w:lang w:bidi="ar-EG"/>
        </w:rPr>
      </w:pPr>
    </w:p>
    <w:p w14:paraId="3265F09F" w14:textId="77777777" w:rsidR="002959BC" w:rsidRPr="00683457" w:rsidRDefault="002959BC" w:rsidP="0041332D">
      <w:pPr>
        <w:pStyle w:val="ListParagraph"/>
        <w:numPr>
          <w:ilvl w:val="0"/>
          <w:numId w:val="16"/>
        </w:numPr>
        <w:spacing w:after="0" w:line="240" w:lineRule="auto"/>
        <w:ind w:left="567" w:hanging="190"/>
        <w:contextualSpacing w:val="0"/>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التضخم المستورد</w:t>
      </w:r>
      <w:r w:rsidRPr="00683457">
        <w:rPr>
          <w:rFonts w:ascii="Simplified Arabic" w:hAnsi="Simplified Arabic" w:cs="Simplified Arabic"/>
          <w:sz w:val="28"/>
          <w:szCs w:val="28"/>
          <w:lang w:bidi="ar-EG"/>
        </w:rPr>
        <w:t xml:space="preserve">Imported Inflation </w:t>
      </w:r>
      <w:r w:rsidRPr="00683457">
        <w:rPr>
          <w:rFonts w:ascii="Simplified Arabic" w:hAnsi="Simplified Arabic" w:cs="Simplified Arabic"/>
          <w:sz w:val="28"/>
          <w:szCs w:val="28"/>
          <w:rtl/>
          <w:lang w:bidi="ar-EG"/>
        </w:rPr>
        <w:t>:</w:t>
      </w:r>
    </w:p>
    <w:p w14:paraId="0BCCC2EE" w14:textId="77777777" w:rsidR="002959BC" w:rsidRPr="00683457" w:rsidRDefault="002959BC" w:rsidP="002959BC">
      <w:pPr>
        <w:pStyle w:val="ListParagraph"/>
        <w:spacing w:after="0" w:line="240" w:lineRule="auto"/>
        <w:ind w:left="567"/>
        <w:contextualSpacing w:val="0"/>
        <w:jc w:val="both"/>
        <w:rPr>
          <w:rFonts w:ascii="Simplified Arabic" w:hAnsi="Simplified Arabic" w:cs="Simplified Arabic"/>
          <w:sz w:val="28"/>
          <w:szCs w:val="28"/>
          <w:rtl/>
          <w:lang w:bidi="ar-EG"/>
        </w:rPr>
      </w:pPr>
      <w:r w:rsidRPr="00683457">
        <w:rPr>
          <w:rFonts w:ascii="Simplified Arabic" w:hAnsi="Simplified Arabic" w:cs="Simplified Arabic"/>
          <w:sz w:val="28"/>
          <w:szCs w:val="28"/>
          <w:rtl/>
          <w:lang w:bidi="ar-EG"/>
        </w:rPr>
        <w:t>ارتفاع الأسعار نتيجة انسياب التضخم العالمي من خلال الواردات، حيث تؤدي ارتفاع أسعار السلع المستوردة سواء أكانت تامة الصنع أم أنها مدخلات لسلع يتم تصنيعها محلياً إلى ارتفاع معدلات التضخم.</w:t>
      </w:r>
    </w:p>
    <w:p w14:paraId="495EDCA8" w14:textId="77777777" w:rsidR="002959BC" w:rsidRPr="008252EA" w:rsidRDefault="002959BC" w:rsidP="002959BC">
      <w:pPr>
        <w:pStyle w:val="ListParagraph"/>
        <w:spacing w:after="0" w:line="240" w:lineRule="auto"/>
        <w:ind w:left="1020"/>
        <w:contextualSpacing w:val="0"/>
        <w:jc w:val="both"/>
        <w:rPr>
          <w:rFonts w:ascii="Simplified Arabic" w:hAnsi="Simplified Arabic" w:cs="Simplified Arabic"/>
          <w:rtl/>
          <w:lang w:bidi="ar-EG"/>
        </w:rPr>
      </w:pPr>
    </w:p>
    <w:p w14:paraId="5743FBB6" w14:textId="77777777" w:rsidR="002959BC" w:rsidRPr="00683457" w:rsidRDefault="002959BC" w:rsidP="0041332D">
      <w:pPr>
        <w:pStyle w:val="ListParagraph"/>
        <w:numPr>
          <w:ilvl w:val="0"/>
          <w:numId w:val="17"/>
        </w:numPr>
        <w:spacing w:after="0" w:line="240" w:lineRule="auto"/>
        <w:ind w:left="453"/>
        <w:contextualSpacing w:val="0"/>
        <w:jc w:val="both"/>
        <w:rPr>
          <w:rFonts w:ascii="Simplified Arabic" w:hAnsi="Simplified Arabic" w:cs="Simplified Arabic"/>
          <w:b/>
          <w:bCs/>
          <w:sz w:val="30"/>
          <w:szCs w:val="30"/>
          <w:lang w:bidi="ar-EG"/>
        </w:rPr>
      </w:pPr>
      <w:r w:rsidRPr="00683457">
        <w:rPr>
          <w:rFonts w:ascii="Simplified Arabic" w:hAnsi="Simplified Arabic" w:cs="Simplified Arabic"/>
          <w:b/>
          <w:bCs/>
          <w:sz w:val="30"/>
          <w:szCs w:val="30"/>
          <w:rtl/>
          <w:lang w:bidi="ar-EG"/>
        </w:rPr>
        <w:t>النظريات المفسرة للتضخم:</w:t>
      </w:r>
    </w:p>
    <w:p w14:paraId="661C576C" w14:textId="77777777" w:rsidR="002959BC" w:rsidRDefault="002959BC" w:rsidP="002959BC">
      <w:pPr>
        <w:ind w:firstLine="453"/>
        <w:jc w:val="both"/>
        <w:rPr>
          <w:rFonts w:ascii="Simplified Arabic" w:hAnsi="Simplified Arabic" w:cs="Simplified Arabic"/>
          <w:sz w:val="28"/>
          <w:szCs w:val="28"/>
          <w:rtl/>
          <w:lang w:bidi="ar-EG"/>
        </w:rPr>
      </w:pPr>
      <w:r w:rsidRPr="00683457">
        <w:rPr>
          <w:rFonts w:ascii="Simplified Arabic" w:hAnsi="Simplified Arabic" w:cs="Simplified Arabic"/>
          <w:sz w:val="28"/>
          <w:szCs w:val="28"/>
          <w:rtl/>
          <w:lang w:bidi="ar-EG"/>
        </w:rPr>
        <w:t>تتعدد النظريات الاقتصادية المفسرة للتضخم حيث تنظر كل نظرية من تلك النظريات إلى سبب ما تراه هو المصدر الرئيسي لنشوء الضغوط التضخمية، ورغم الانتقادات التي وجهت لكل نظرية من تلك النظريات إلا أن كل نظرية قد ساهمت في إلقاء الضوء على أحد مسببات التضخم، ويمكن إيجاز هذه النظريات فيما يلي:</w:t>
      </w:r>
    </w:p>
    <w:p w14:paraId="6852B00F" w14:textId="77777777" w:rsidR="002959BC" w:rsidRDefault="002959BC" w:rsidP="002959BC">
      <w:pPr>
        <w:ind w:firstLine="453"/>
        <w:jc w:val="both"/>
        <w:rPr>
          <w:rFonts w:ascii="Simplified Arabic" w:hAnsi="Simplified Arabic" w:cs="Simplified Arabic"/>
          <w:sz w:val="28"/>
          <w:szCs w:val="28"/>
          <w:lang w:bidi="ar-EG"/>
        </w:rPr>
      </w:pPr>
    </w:p>
    <w:p w14:paraId="473929E2" w14:textId="77777777" w:rsidR="002959BC" w:rsidRPr="00683457" w:rsidRDefault="002959BC" w:rsidP="0041332D">
      <w:pPr>
        <w:pStyle w:val="ListParagraph"/>
        <w:numPr>
          <w:ilvl w:val="0"/>
          <w:numId w:val="14"/>
        </w:numPr>
        <w:spacing w:after="0" w:line="240" w:lineRule="auto"/>
        <w:contextualSpacing w:val="0"/>
        <w:jc w:val="both"/>
        <w:rPr>
          <w:rFonts w:ascii="Simplified Arabic" w:hAnsi="Simplified Arabic" w:cs="Simplified Arabic"/>
          <w:b/>
          <w:bCs/>
          <w:sz w:val="28"/>
          <w:szCs w:val="28"/>
          <w:lang w:bidi="ar-EG"/>
        </w:rPr>
      </w:pPr>
      <w:r w:rsidRPr="00683457">
        <w:rPr>
          <w:rFonts w:ascii="Simplified Arabic" w:hAnsi="Simplified Arabic" w:cs="Simplified Arabic"/>
          <w:b/>
          <w:bCs/>
          <w:sz w:val="28"/>
          <w:szCs w:val="28"/>
          <w:rtl/>
          <w:lang w:bidi="ar-EG"/>
        </w:rPr>
        <w:t>نظرية كمية النقود كمفسر للتضخم:</w:t>
      </w:r>
    </w:p>
    <w:p w14:paraId="7708954B" w14:textId="77777777" w:rsidR="002959BC" w:rsidRPr="00683457" w:rsidRDefault="002959BC" w:rsidP="002959BC">
      <w:pPr>
        <w:ind w:firstLine="311"/>
        <w:jc w:val="both"/>
        <w:rPr>
          <w:rFonts w:ascii="Simplified Arabic" w:hAnsi="Simplified Arabic" w:cs="Simplified Arabic"/>
          <w:sz w:val="28"/>
          <w:szCs w:val="28"/>
          <w:rtl/>
          <w:lang w:bidi="ar-EG"/>
        </w:rPr>
      </w:pPr>
      <w:r w:rsidRPr="00683457">
        <w:rPr>
          <w:rFonts w:ascii="Simplified Arabic" w:hAnsi="Simplified Arabic" w:cs="Simplified Arabic"/>
          <w:sz w:val="28"/>
          <w:szCs w:val="28"/>
          <w:rtl/>
          <w:lang w:bidi="ar-EG"/>
        </w:rPr>
        <w:t>اعتمدت تلك النظرية على الفروض التالية</w:t>
      </w:r>
      <w:r w:rsidRPr="00683457">
        <w:rPr>
          <w:rFonts w:ascii="Simplified Arabic" w:hAnsi="Simplified Arabic" w:cs="Simplified Arabic"/>
          <w:sz w:val="28"/>
          <w:szCs w:val="28"/>
          <w:vertAlign w:val="superscript"/>
          <w:rtl/>
          <w:lang w:bidi="ar-EG"/>
        </w:rPr>
        <w:t>(</w:t>
      </w:r>
      <w:r w:rsidRPr="00683457">
        <w:rPr>
          <w:rFonts w:ascii="Simplified Arabic" w:hAnsi="Simplified Arabic" w:cs="Simplified Arabic"/>
          <w:sz w:val="28"/>
          <w:szCs w:val="28"/>
          <w:vertAlign w:val="superscript"/>
          <w:rtl/>
          <w:lang w:bidi="ar-EG"/>
        </w:rPr>
        <w:footnoteReference w:id="36"/>
      </w:r>
      <w:r w:rsidRPr="00683457">
        <w:rPr>
          <w:rFonts w:ascii="Simplified Arabic" w:hAnsi="Simplified Arabic" w:cs="Simplified Arabic"/>
          <w:sz w:val="28"/>
          <w:szCs w:val="28"/>
          <w:vertAlign w:val="superscript"/>
          <w:rtl/>
          <w:lang w:bidi="ar-EG"/>
        </w:rPr>
        <w:t>)</w:t>
      </w:r>
      <w:r w:rsidRPr="00683457">
        <w:rPr>
          <w:rFonts w:ascii="Simplified Arabic" w:hAnsi="Simplified Arabic" w:cs="Simplified Arabic"/>
          <w:sz w:val="28"/>
          <w:szCs w:val="28"/>
          <w:rtl/>
          <w:lang w:bidi="ar-EG"/>
        </w:rPr>
        <w:t>:</w:t>
      </w:r>
    </w:p>
    <w:p w14:paraId="1F54686B" w14:textId="77777777" w:rsidR="002959BC" w:rsidRPr="00683457" w:rsidRDefault="002959BC" w:rsidP="0041332D">
      <w:pPr>
        <w:pStyle w:val="ListParagraph"/>
        <w:numPr>
          <w:ilvl w:val="0"/>
          <w:numId w:val="16"/>
        </w:numPr>
        <w:spacing w:after="0" w:line="240" w:lineRule="auto"/>
        <w:ind w:left="595" w:hanging="249"/>
        <w:contextualSpacing w:val="0"/>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إن كمية النقود هي المفسر الرئيسي للتقلبات التي تحدث في المستوى العام للأسعار.</w:t>
      </w:r>
    </w:p>
    <w:p w14:paraId="04368241" w14:textId="77777777" w:rsidR="002959BC" w:rsidRPr="00683457" w:rsidRDefault="002959BC" w:rsidP="0041332D">
      <w:pPr>
        <w:pStyle w:val="ListParagraph"/>
        <w:numPr>
          <w:ilvl w:val="0"/>
          <w:numId w:val="16"/>
        </w:numPr>
        <w:spacing w:after="0" w:line="240" w:lineRule="auto"/>
        <w:ind w:left="595" w:hanging="249"/>
        <w:contextualSpacing w:val="0"/>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تتناسب كمية النقود تناسباً طردياً مع الأسعار.</w:t>
      </w:r>
    </w:p>
    <w:p w14:paraId="3A2F9FA0" w14:textId="77777777" w:rsidR="002959BC" w:rsidRPr="00683457" w:rsidRDefault="002959BC" w:rsidP="0041332D">
      <w:pPr>
        <w:pStyle w:val="ListParagraph"/>
        <w:numPr>
          <w:ilvl w:val="0"/>
          <w:numId w:val="16"/>
        </w:numPr>
        <w:spacing w:after="0" w:line="240" w:lineRule="auto"/>
        <w:ind w:left="595" w:hanging="249"/>
        <w:contextualSpacing w:val="0"/>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تتناسب كمية النقود تناسباً عكسياً مع قيمة النقود التي تمثلها فهي العامل الرئيسي والهام في التأثير على القوة الشرائية للوحدة النقدية.</w:t>
      </w:r>
    </w:p>
    <w:p w14:paraId="500B96D0" w14:textId="77777777" w:rsidR="002959BC" w:rsidRPr="00683457" w:rsidRDefault="002959BC" w:rsidP="0041332D">
      <w:pPr>
        <w:pStyle w:val="ListParagraph"/>
        <w:numPr>
          <w:ilvl w:val="0"/>
          <w:numId w:val="16"/>
        </w:numPr>
        <w:spacing w:after="0" w:line="240" w:lineRule="auto"/>
        <w:ind w:left="595" w:hanging="249"/>
        <w:contextualSpacing w:val="0"/>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تتناسب الكمية النقدية تناسباً طردياً مع الطلب على السلع وعكسياً مع العرض.</w:t>
      </w:r>
    </w:p>
    <w:p w14:paraId="67A593A9" w14:textId="77777777" w:rsidR="002959BC" w:rsidRDefault="002959BC" w:rsidP="0041332D">
      <w:pPr>
        <w:pStyle w:val="ListParagraph"/>
        <w:numPr>
          <w:ilvl w:val="0"/>
          <w:numId w:val="16"/>
        </w:numPr>
        <w:spacing w:after="0" w:line="240" w:lineRule="auto"/>
        <w:ind w:left="595" w:hanging="249"/>
        <w:contextualSpacing w:val="0"/>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التشغيل الكامل لعناصر الإنتاج مما يعني ثبات حجم الإنتاج الكلي، وثبات سرعة دوران النقود.</w:t>
      </w:r>
    </w:p>
    <w:p w14:paraId="561E9C06" w14:textId="77777777" w:rsidR="002959BC" w:rsidRDefault="002959BC" w:rsidP="002959BC">
      <w:pPr>
        <w:jc w:val="both"/>
        <w:rPr>
          <w:rFonts w:ascii="Simplified Arabic" w:hAnsi="Simplified Arabic" w:cs="Simplified Arabic"/>
          <w:sz w:val="28"/>
          <w:szCs w:val="28"/>
          <w:rtl/>
          <w:lang w:bidi="ar-EG"/>
        </w:rPr>
      </w:pPr>
    </w:p>
    <w:p w14:paraId="0ABB4A8A" w14:textId="77777777" w:rsidR="00270E6A" w:rsidRDefault="00270E6A" w:rsidP="002959BC">
      <w:pPr>
        <w:pStyle w:val="ListParagraph"/>
        <w:spacing w:after="0" w:line="233" w:lineRule="auto"/>
        <w:ind w:left="28" w:hanging="63"/>
        <w:contextualSpacing w:val="0"/>
        <w:jc w:val="center"/>
        <w:rPr>
          <w:rFonts w:ascii="Simplified Arabic" w:eastAsia="Times New Roman" w:hAnsi="Simplified Arabic" w:cs="Simplified Arabic"/>
          <w:b/>
          <w:bCs/>
          <w:sz w:val="24"/>
          <w:szCs w:val="24"/>
          <w:rtl/>
        </w:rPr>
      </w:pPr>
    </w:p>
    <w:p w14:paraId="533CCAA3" w14:textId="77777777" w:rsidR="00270E6A" w:rsidRDefault="00270E6A" w:rsidP="002959BC">
      <w:pPr>
        <w:pStyle w:val="ListParagraph"/>
        <w:spacing w:after="0" w:line="233" w:lineRule="auto"/>
        <w:ind w:left="28" w:hanging="63"/>
        <w:contextualSpacing w:val="0"/>
        <w:jc w:val="center"/>
        <w:rPr>
          <w:rFonts w:ascii="Simplified Arabic" w:eastAsia="Times New Roman" w:hAnsi="Simplified Arabic" w:cs="Simplified Arabic"/>
          <w:b/>
          <w:bCs/>
          <w:sz w:val="24"/>
          <w:szCs w:val="24"/>
          <w:rtl/>
        </w:rPr>
      </w:pPr>
    </w:p>
    <w:p w14:paraId="725C4B9E" w14:textId="77777777" w:rsidR="00270E6A" w:rsidRDefault="00270E6A" w:rsidP="002959BC">
      <w:pPr>
        <w:pStyle w:val="ListParagraph"/>
        <w:spacing w:after="0" w:line="233" w:lineRule="auto"/>
        <w:ind w:left="28" w:hanging="63"/>
        <w:contextualSpacing w:val="0"/>
        <w:jc w:val="center"/>
        <w:rPr>
          <w:rFonts w:ascii="Simplified Arabic" w:eastAsia="Times New Roman" w:hAnsi="Simplified Arabic" w:cs="Simplified Arabic"/>
          <w:b/>
          <w:bCs/>
          <w:sz w:val="24"/>
          <w:szCs w:val="24"/>
          <w:rtl/>
        </w:rPr>
      </w:pPr>
    </w:p>
    <w:p w14:paraId="49657F70" w14:textId="77777777" w:rsidR="00270E6A" w:rsidRDefault="00270E6A" w:rsidP="002959BC">
      <w:pPr>
        <w:pStyle w:val="ListParagraph"/>
        <w:spacing w:after="0" w:line="233" w:lineRule="auto"/>
        <w:ind w:left="28" w:hanging="63"/>
        <w:contextualSpacing w:val="0"/>
        <w:jc w:val="center"/>
        <w:rPr>
          <w:rFonts w:ascii="Simplified Arabic" w:eastAsia="Times New Roman" w:hAnsi="Simplified Arabic" w:cs="Simplified Arabic"/>
          <w:b/>
          <w:bCs/>
          <w:sz w:val="24"/>
          <w:szCs w:val="24"/>
          <w:rtl/>
        </w:rPr>
      </w:pPr>
    </w:p>
    <w:p w14:paraId="6F548604" w14:textId="59CDDB5E" w:rsidR="002959BC" w:rsidRPr="00B65769" w:rsidRDefault="002959BC" w:rsidP="002959BC">
      <w:pPr>
        <w:pStyle w:val="ListParagraph"/>
        <w:spacing w:after="0" w:line="233" w:lineRule="auto"/>
        <w:ind w:left="28" w:hanging="63"/>
        <w:contextualSpacing w:val="0"/>
        <w:jc w:val="center"/>
        <w:rPr>
          <w:rFonts w:ascii="Simplified Arabic" w:eastAsia="Times New Roman" w:hAnsi="Simplified Arabic" w:cs="Simplified Arabic"/>
          <w:b/>
          <w:bCs/>
          <w:sz w:val="24"/>
          <w:szCs w:val="24"/>
          <w:rtl/>
        </w:rPr>
      </w:pPr>
      <w:r w:rsidRPr="00B65769">
        <w:rPr>
          <w:rFonts w:ascii="Simplified Arabic" w:eastAsia="Times New Roman" w:hAnsi="Simplified Arabic" w:cs="Simplified Arabic"/>
          <w:b/>
          <w:bCs/>
          <w:sz w:val="24"/>
          <w:szCs w:val="24"/>
          <w:rtl/>
        </w:rPr>
        <w:lastRenderedPageBreak/>
        <w:t>شكل رقم (1-1)</w:t>
      </w:r>
    </w:p>
    <w:p w14:paraId="18A6409D" w14:textId="77777777" w:rsidR="002959BC" w:rsidRPr="00B65769" w:rsidRDefault="002959BC" w:rsidP="002959BC">
      <w:pPr>
        <w:spacing w:line="233" w:lineRule="auto"/>
        <w:ind w:left="28" w:hanging="63"/>
        <w:jc w:val="center"/>
        <w:rPr>
          <w:rFonts w:ascii="Simplified Arabic" w:hAnsi="Simplified Arabic" w:cs="Simplified Arabic"/>
          <w:b/>
          <w:bCs/>
          <w:sz w:val="24"/>
          <w:szCs w:val="24"/>
          <w:rtl/>
        </w:rPr>
      </w:pPr>
      <w:r w:rsidRPr="00B65769">
        <w:rPr>
          <w:rFonts w:ascii="Simplified Arabic" w:hAnsi="Simplified Arabic" w:cs="Simplified Arabic"/>
          <w:b/>
          <w:bCs/>
          <w:sz w:val="24"/>
          <w:szCs w:val="24"/>
          <w:rtl/>
        </w:rPr>
        <w:t>أثر زيادة كمية النقود على ارتفاع المستوى العام للأسعار</w:t>
      </w:r>
    </w:p>
    <w:p w14:paraId="3D0995EF" w14:textId="6B5205DF" w:rsidR="002959BC" w:rsidRPr="00683457" w:rsidRDefault="002959BC" w:rsidP="002959BC">
      <w:pPr>
        <w:spacing w:line="233" w:lineRule="auto"/>
        <w:ind w:firstLine="453"/>
        <w:jc w:val="center"/>
        <w:rPr>
          <w:rFonts w:ascii="Simplified Arabic" w:hAnsi="Simplified Arabic" w:cs="Simplified Arabic"/>
          <w:sz w:val="28"/>
          <w:szCs w:val="28"/>
          <w:rtl/>
          <w:lang w:bidi="ar-EG"/>
        </w:rPr>
      </w:pPr>
      <w:r>
        <w:rPr>
          <w:rFonts w:ascii="Simplified Arabic" w:hAnsi="Simplified Arabic" w:cs="Simplified Arabic"/>
          <w:sz w:val="28"/>
          <w:szCs w:val="28"/>
          <w:rtl/>
        </w:rPr>
        <mc:AlternateContent>
          <mc:Choice Requires="wpg">
            <w:drawing>
              <wp:anchor distT="0" distB="0" distL="114300" distR="114300" simplePos="0" relativeHeight="251666432" behindDoc="1" locked="0" layoutInCell="1" allowOverlap="1" wp14:anchorId="78EABBCC" wp14:editId="253B344C">
                <wp:simplePos x="0" y="0"/>
                <wp:positionH relativeFrom="margin">
                  <wp:posOffset>897255</wp:posOffset>
                </wp:positionH>
                <wp:positionV relativeFrom="paragraph">
                  <wp:posOffset>97155</wp:posOffset>
                </wp:positionV>
                <wp:extent cx="3713480" cy="1894840"/>
                <wp:effectExtent l="0" t="4445" r="3175" b="0"/>
                <wp:wrapTight wrapText="bothSides">
                  <wp:wrapPolygon edited="0">
                    <wp:start x="8362" y="1057"/>
                    <wp:lineTo x="8307" y="2751"/>
                    <wp:lineTo x="3657" y="2968"/>
                    <wp:lineTo x="3435" y="3069"/>
                    <wp:lineTo x="3435" y="18632"/>
                    <wp:lineTo x="18774" y="18632"/>
                    <wp:lineTo x="18885" y="18422"/>
                    <wp:lineTo x="11077" y="18002"/>
                    <wp:lineTo x="17057" y="16410"/>
                    <wp:lineTo x="17168" y="16200"/>
                    <wp:lineTo x="14069" y="14615"/>
                    <wp:lineTo x="17279" y="13869"/>
                    <wp:lineTo x="17389" y="13659"/>
                    <wp:lineTo x="15842" y="12921"/>
                    <wp:lineTo x="13349" y="11227"/>
                    <wp:lineTo x="11631" y="9526"/>
                    <wp:lineTo x="11077" y="7832"/>
                    <wp:lineTo x="11188" y="3069"/>
                    <wp:lineTo x="10911" y="2968"/>
                    <wp:lineTo x="8584" y="2751"/>
                    <wp:lineTo x="8584" y="1057"/>
                    <wp:lineTo x="8362" y="1057"/>
                  </wp:wrapPolygon>
                </wp:wrapTight>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3480" cy="1894840"/>
                          <a:chOff x="1402" y="8824"/>
                          <a:chExt cx="5848" cy="3060"/>
                        </a:xfrm>
                      </wpg:grpSpPr>
                      <wps:wsp>
                        <wps:cNvPr id="51" name="AutoShape 9"/>
                        <wps:cNvCnPr>
                          <a:cxnSpLocks noChangeShapeType="1"/>
                        </wps:cNvCnPr>
                        <wps:spPr bwMode="auto">
                          <a:xfrm flipH="1">
                            <a:off x="2379" y="11470"/>
                            <a:ext cx="407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10"/>
                        <wps:cNvCnPr>
                          <a:cxnSpLocks noChangeShapeType="1"/>
                        </wps:cNvCnPr>
                        <wps:spPr bwMode="auto">
                          <a:xfrm flipV="1">
                            <a:off x="2379" y="9279"/>
                            <a:ext cx="0" cy="21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Arc 11"/>
                        <wps:cNvSpPr>
                          <a:spLocks/>
                        </wps:cNvSpPr>
                        <wps:spPr bwMode="auto">
                          <a:xfrm rot="11489862">
                            <a:off x="3071" y="9543"/>
                            <a:ext cx="3084" cy="128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Arc 12"/>
                        <wps:cNvSpPr>
                          <a:spLocks/>
                        </wps:cNvSpPr>
                        <wps:spPr bwMode="auto">
                          <a:xfrm rot="11489862">
                            <a:off x="3552" y="9237"/>
                            <a:ext cx="2671" cy="128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AutoShape 13"/>
                        <wps:cNvCnPr>
                          <a:cxnSpLocks noChangeShapeType="1"/>
                        </wps:cNvCnPr>
                        <wps:spPr bwMode="auto">
                          <a:xfrm flipV="1">
                            <a:off x="4370" y="9279"/>
                            <a:ext cx="0" cy="21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14"/>
                        <wps:cNvCnPr>
                          <a:cxnSpLocks noChangeShapeType="1"/>
                        </wps:cNvCnPr>
                        <wps:spPr bwMode="auto">
                          <a:xfrm flipH="1">
                            <a:off x="2379" y="10563"/>
                            <a:ext cx="19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15"/>
                        <wps:cNvCnPr>
                          <a:cxnSpLocks noChangeShapeType="1"/>
                        </wps:cNvCnPr>
                        <wps:spPr bwMode="auto">
                          <a:xfrm flipH="1">
                            <a:off x="2366" y="10093"/>
                            <a:ext cx="19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Text Box 16"/>
                        <wps:cNvSpPr txBox="1">
                          <a:spLocks noChangeArrowheads="1"/>
                        </wps:cNvSpPr>
                        <wps:spPr bwMode="auto">
                          <a:xfrm>
                            <a:off x="4433" y="9041"/>
                            <a:ext cx="601"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9C2F4" w14:textId="77777777" w:rsidR="00270E6A" w:rsidRPr="00D9516A" w:rsidRDefault="00270E6A" w:rsidP="002959BC">
                              <w:pPr>
                                <w:widowControl w:val="0"/>
                                <w:rPr>
                                  <w:lang w:bidi="ar-EG"/>
                                </w:rPr>
                              </w:pPr>
                              <w:r w:rsidRPr="00D9516A">
                                <w:rPr>
                                  <w:rFonts w:hint="cs"/>
                                  <w:rtl/>
                                  <w:lang w:bidi="ar-EG"/>
                                </w:rPr>
                                <w:t xml:space="preserve">ع ك </w:t>
                              </w:r>
                            </w:p>
                          </w:txbxContent>
                        </wps:txbx>
                        <wps:bodyPr rot="0" vert="horz" wrap="square" lIns="91440" tIns="45720" rIns="91440" bIns="45720" anchor="t" anchorCtr="0" upright="1">
                          <a:noAutofit/>
                        </wps:bodyPr>
                      </wps:wsp>
                      <wps:wsp>
                        <wps:cNvPr id="59" name="Text Box 17"/>
                        <wps:cNvSpPr txBox="1">
                          <a:spLocks noChangeArrowheads="1"/>
                        </wps:cNvSpPr>
                        <wps:spPr bwMode="auto">
                          <a:xfrm>
                            <a:off x="4345" y="9779"/>
                            <a:ext cx="689"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BD216" w14:textId="77777777" w:rsidR="00270E6A" w:rsidRPr="00D9516A" w:rsidRDefault="00270E6A" w:rsidP="002959BC">
                              <w:pPr>
                                <w:widowControl w:val="0"/>
                                <w:rPr>
                                  <w:lang w:bidi="ar-EG"/>
                                </w:rPr>
                              </w:pPr>
                              <w:r>
                                <w:rPr>
                                  <w:rFonts w:hint="cs"/>
                                  <w:rtl/>
                                  <w:lang w:bidi="ar-EG"/>
                                </w:rPr>
                                <w:t>ت1</w:t>
                              </w:r>
                            </w:p>
                          </w:txbxContent>
                        </wps:txbx>
                        <wps:bodyPr rot="0" vert="horz" wrap="square" lIns="91440" tIns="45720" rIns="91440" bIns="45720" anchor="t" anchorCtr="0" upright="1">
                          <a:noAutofit/>
                        </wps:bodyPr>
                      </wps:wsp>
                      <wps:wsp>
                        <wps:cNvPr id="60" name="Text Box 18"/>
                        <wps:cNvSpPr txBox="1">
                          <a:spLocks noChangeArrowheads="1"/>
                        </wps:cNvSpPr>
                        <wps:spPr bwMode="auto">
                          <a:xfrm>
                            <a:off x="4233" y="10669"/>
                            <a:ext cx="601"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9CFBD" w14:textId="77777777" w:rsidR="00270E6A" w:rsidRPr="00D9516A" w:rsidRDefault="00270E6A" w:rsidP="002959BC">
                              <w:pPr>
                                <w:widowControl w:val="0"/>
                                <w:rPr>
                                  <w:lang w:bidi="ar-EG"/>
                                </w:rPr>
                              </w:pPr>
                              <w:r>
                                <w:rPr>
                                  <w:rFonts w:hint="cs"/>
                                  <w:rtl/>
                                  <w:lang w:bidi="ar-EG"/>
                                </w:rPr>
                                <w:t>ت</w:t>
                              </w:r>
                            </w:p>
                          </w:txbxContent>
                        </wps:txbx>
                        <wps:bodyPr rot="0" vert="horz" wrap="square" lIns="91440" tIns="45720" rIns="91440" bIns="45720" anchor="t" anchorCtr="0" upright="1">
                          <a:noAutofit/>
                        </wps:bodyPr>
                      </wps:wsp>
                      <wps:wsp>
                        <wps:cNvPr id="61" name="Text Box 19"/>
                        <wps:cNvSpPr txBox="1">
                          <a:spLocks noChangeArrowheads="1"/>
                        </wps:cNvSpPr>
                        <wps:spPr bwMode="auto">
                          <a:xfrm>
                            <a:off x="1690" y="9917"/>
                            <a:ext cx="601"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71116" w14:textId="77777777" w:rsidR="00270E6A" w:rsidRPr="00D9516A" w:rsidRDefault="00270E6A" w:rsidP="002959BC">
                              <w:pPr>
                                <w:widowControl w:val="0"/>
                                <w:rPr>
                                  <w:lang w:bidi="ar-EG"/>
                                </w:rPr>
                              </w:pPr>
                              <w:r>
                                <w:rPr>
                                  <w:rFonts w:hint="cs"/>
                                  <w:rtl/>
                                  <w:lang w:bidi="ar-EG"/>
                                </w:rPr>
                                <w:t>س1</w:t>
                              </w:r>
                            </w:p>
                          </w:txbxContent>
                        </wps:txbx>
                        <wps:bodyPr rot="0" vert="horz" wrap="square" lIns="91440" tIns="45720" rIns="91440" bIns="45720" anchor="t" anchorCtr="0" upright="1">
                          <a:noAutofit/>
                        </wps:bodyPr>
                      </wps:wsp>
                      <wps:wsp>
                        <wps:cNvPr id="62" name="Text Box 20"/>
                        <wps:cNvSpPr txBox="1">
                          <a:spLocks noChangeArrowheads="1"/>
                        </wps:cNvSpPr>
                        <wps:spPr bwMode="auto">
                          <a:xfrm>
                            <a:off x="1690" y="10417"/>
                            <a:ext cx="601"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6E11F" w14:textId="77777777" w:rsidR="00270E6A" w:rsidRPr="00D9516A" w:rsidRDefault="00270E6A" w:rsidP="002959BC">
                              <w:pPr>
                                <w:widowControl w:val="0"/>
                                <w:rPr>
                                  <w:lang w:bidi="ar-EG"/>
                                </w:rPr>
                              </w:pPr>
                              <w:r>
                                <w:rPr>
                                  <w:rFonts w:hint="cs"/>
                                  <w:rtl/>
                                  <w:lang w:bidi="ar-EG"/>
                                </w:rPr>
                                <w:t>س</w:t>
                              </w:r>
                            </w:p>
                          </w:txbxContent>
                        </wps:txbx>
                        <wps:bodyPr rot="0" vert="horz" wrap="square" lIns="91440" tIns="45720" rIns="91440" bIns="45720" anchor="t" anchorCtr="0" upright="1">
                          <a:noAutofit/>
                        </wps:bodyPr>
                      </wps:wsp>
                      <wps:wsp>
                        <wps:cNvPr id="63" name="Text Box 21"/>
                        <wps:cNvSpPr txBox="1">
                          <a:spLocks noChangeArrowheads="1"/>
                        </wps:cNvSpPr>
                        <wps:spPr bwMode="auto">
                          <a:xfrm>
                            <a:off x="3552" y="8824"/>
                            <a:ext cx="80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E96B7" w14:textId="77777777" w:rsidR="00270E6A" w:rsidRPr="00D9516A" w:rsidRDefault="00270E6A" w:rsidP="002959BC">
                              <w:pPr>
                                <w:widowControl w:val="0"/>
                                <w:rPr>
                                  <w:lang w:bidi="ar-EG"/>
                                </w:rPr>
                              </w:pPr>
                              <w:r>
                                <w:rPr>
                                  <w:rFonts w:hint="cs"/>
                                  <w:rtl/>
                                  <w:lang w:bidi="ar-EG"/>
                                </w:rPr>
                                <w:t>ط1</w:t>
                              </w:r>
                              <w:r w:rsidRPr="00D9516A">
                                <w:rPr>
                                  <w:rFonts w:hint="cs"/>
                                  <w:rtl/>
                                  <w:lang w:bidi="ar-EG"/>
                                </w:rPr>
                                <w:t xml:space="preserve"> ك </w:t>
                              </w:r>
                            </w:p>
                          </w:txbxContent>
                        </wps:txbx>
                        <wps:bodyPr rot="0" vert="horz" wrap="square" lIns="91440" tIns="45720" rIns="91440" bIns="45720" anchor="t" anchorCtr="0" upright="1">
                          <a:noAutofit/>
                        </wps:bodyPr>
                      </wps:wsp>
                      <wps:wsp>
                        <wps:cNvPr id="64" name="Text Box 22"/>
                        <wps:cNvSpPr txBox="1">
                          <a:spLocks noChangeArrowheads="1"/>
                        </wps:cNvSpPr>
                        <wps:spPr bwMode="auto">
                          <a:xfrm>
                            <a:off x="2717" y="8866"/>
                            <a:ext cx="760"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59727" w14:textId="77777777" w:rsidR="00270E6A" w:rsidRPr="00D9516A" w:rsidRDefault="00270E6A" w:rsidP="002959BC">
                              <w:pPr>
                                <w:widowControl w:val="0"/>
                                <w:rPr>
                                  <w:lang w:bidi="ar-EG"/>
                                </w:rPr>
                              </w:pPr>
                              <w:r>
                                <w:rPr>
                                  <w:rFonts w:hint="cs"/>
                                  <w:rtl/>
                                  <w:lang w:bidi="ar-EG"/>
                                </w:rPr>
                                <w:t>ط</w:t>
                              </w:r>
                              <w:r w:rsidRPr="00D9516A">
                                <w:rPr>
                                  <w:rFonts w:hint="cs"/>
                                  <w:rtl/>
                                  <w:lang w:bidi="ar-EG"/>
                                </w:rPr>
                                <w:t xml:space="preserve"> ك </w:t>
                              </w:r>
                            </w:p>
                          </w:txbxContent>
                        </wps:txbx>
                        <wps:bodyPr rot="0" vert="horz" wrap="square" lIns="91440" tIns="45720" rIns="91440" bIns="45720" anchor="t" anchorCtr="0" upright="1">
                          <a:noAutofit/>
                        </wps:bodyPr>
                      </wps:wsp>
                      <wps:wsp>
                        <wps:cNvPr id="65" name="Text Box 23"/>
                        <wps:cNvSpPr txBox="1">
                          <a:spLocks noChangeArrowheads="1"/>
                        </wps:cNvSpPr>
                        <wps:spPr bwMode="auto">
                          <a:xfrm>
                            <a:off x="1402" y="8970"/>
                            <a:ext cx="977" cy="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E2381" w14:textId="77777777" w:rsidR="00270E6A" w:rsidRPr="00D9516A" w:rsidRDefault="00270E6A" w:rsidP="002959BC">
                              <w:pPr>
                                <w:widowControl w:val="0"/>
                                <w:rPr>
                                  <w:lang w:bidi="ar-EG"/>
                                </w:rPr>
                              </w:pPr>
                              <w:r>
                                <w:rPr>
                                  <w:rFonts w:hint="cs"/>
                                  <w:rtl/>
                                  <w:lang w:bidi="ar-EG"/>
                                </w:rPr>
                                <w:t>مستوى الأسعار</w:t>
                              </w:r>
                            </w:p>
                          </w:txbxContent>
                        </wps:txbx>
                        <wps:bodyPr rot="0" vert="horz" wrap="square" lIns="91440" tIns="45720" rIns="91440" bIns="45720" anchor="t" anchorCtr="0" upright="1">
                          <a:noAutofit/>
                        </wps:bodyPr>
                      </wps:wsp>
                      <wps:wsp>
                        <wps:cNvPr id="66" name="Text Box 24"/>
                        <wps:cNvSpPr txBox="1">
                          <a:spLocks noChangeArrowheads="1"/>
                        </wps:cNvSpPr>
                        <wps:spPr bwMode="auto">
                          <a:xfrm>
                            <a:off x="5535" y="11395"/>
                            <a:ext cx="17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CB77E" w14:textId="77777777" w:rsidR="00270E6A" w:rsidRPr="00D9516A" w:rsidRDefault="00270E6A" w:rsidP="002959BC">
                              <w:pPr>
                                <w:widowControl w:val="0"/>
                                <w:rPr>
                                  <w:lang w:bidi="ar-EG"/>
                                </w:rPr>
                              </w:pPr>
                              <w:r>
                                <w:rPr>
                                  <w:rFonts w:hint="cs"/>
                                  <w:rtl/>
                                  <w:lang w:bidi="ar-EG"/>
                                </w:rPr>
                                <w:t xml:space="preserve">الناتج القومي الحقيقي </w:t>
                              </w:r>
                              <w:r w:rsidRPr="00D9516A">
                                <w:rPr>
                                  <w:rFonts w:hint="cs"/>
                                  <w:rtl/>
                                  <w:lang w:bidi="ar-EG"/>
                                </w:rPr>
                                <w:t xml:space="preserve"> </w:t>
                              </w:r>
                            </w:p>
                          </w:txbxContent>
                        </wps:txbx>
                        <wps:bodyPr rot="0" vert="horz" wrap="square" lIns="91440" tIns="45720" rIns="91440" bIns="45720" anchor="t" anchorCtr="0" upright="1">
                          <a:noAutofit/>
                        </wps:bodyPr>
                      </wps:wsp>
                      <wps:wsp>
                        <wps:cNvPr id="67" name="Text Box 25"/>
                        <wps:cNvSpPr txBox="1">
                          <a:spLocks noChangeArrowheads="1"/>
                        </wps:cNvSpPr>
                        <wps:spPr bwMode="auto">
                          <a:xfrm>
                            <a:off x="4058" y="11471"/>
                            <a:ext cx="601"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4D8E9" w14:textId="77777777" w:rsidR="00270E6A" w:rsidRPr="00D9516A" w:rsidRDefault="00270E6A" w:rsidP="002959BC">
                              <w:pPr>
                                <w:widowControl w:val="0"/>
                                <w:rPr>
                                  <w:lang w:bidi="ar-EG"/>
                                </w:rPr>
                              </w:pPr>
                              <w:r>
                                <w:rPr>
                                  <w:rFonts w:hint="cs"/>
                                  <w:rtl/>
                                  <w:lang w:bidi="ar-EG"/>
                                </w:rPr>
                                <w:t>ي</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EABBCC" id="Group 50" o:spid="_x0000_s1030" style="position:absolute;left:0;text-align:left;margin-left:70.65pt;margin-top:7.65pt;width:292.4pt;height:149.2pt;z-index:-251650048;mso-position-horizontal-relative:margin" coordorigin="1402,8824" coordsize="5848,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">
                <v:shapetype id="_x0000_t32" coordsize="21600,21600" o:spt="32" o:oned="t" path="m,l21600,21600e" filled="f">
                  <v:path arrowok="t" fillok="f" o:connecttype="none"/>
                  <o:lock v:ext="edit" shapetype="t"/>
                </v:shapetype>
                <v:shape id="AutoShape 9" o:spid="_x0000_s1031" type="#_x0000_t32" style="position:absolute;left:2379;top:11470;width:4070;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"/>
                <v:shape id="AutoShape 10" o:spid="_x0000_s1032" type="#_x0000_t32" style="position:absolute;left:2379;top:9279;width:0;height:2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"/>
                <v:shape id="Arc 11" o:spid="_x0000_s1033" style="position:absolute;left:3071;top:9543;width:3084;height:1287;rotation:-11042967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" path="m,nfc11929,,21600,9670,21600,21600em,nsc11929,,21600,9670,21600,21600l,21600,,xe" filled="f">
                  <v:path arrowok="t" o:extrusionok="f" o:connecttype="custom" o:connectlocs="0,0;3084,1287;0,1287" o:connectangles="0,0,0"/>
                </v:shape>
                <v:shape id="Arc 12" o:spid="_x0000_s1034" style="position:absolute;left:3552;top:9237;width:2671;height:1287;rotation:-11042967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" path="m,nfc11929,,21600,9670,21600,21600em,nsc11929,,21600,9670,21600,21600l,21600,,xe" filled="f">
                  <v:stroke dashstyle="longDash"/>
                  <v:path arrowok="t" o:extrusionok="f" o:connecttype="custom" o:connectlocs="0,0;2671,1287;0,1287" o:connectangles="0,0,0"/>
                </v:shape>
                <v:shape id="AutoShape 13" o:spid="_x0000_s1035" type="#_x0000_t32" style="position:absolute;left:4370;top:9279;width:0;height:2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"/>
                <v:shape id="AutoShape 14" o:spid="_x0000_s1036" type="#_x0000_t32" style="position:absolute;left:2379;top:10563;width:199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"/>
                <v:shape id="AutoShape 15" o:spid="_x0000_s1037" type="#_x0000_t32" style="position:absolute;left:2366;top:10093;width:199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"/>
                <v:shapetype id="_x0000_t202" coordsize="21600,21600" o:spt="202" path="m,l,21600r21600,l21600,xe">
                  <v:stroke joinstyle="miter"/>
                  <v:path gradientshapeok="t" o:connecttype="rect"/>
                </v:shapetype>
                <v:shape id="Text Box 16" o:spid="_x0000_s1038" type="#_x0000_t202" style="position:absolute;left:4433;top:9041;width:601;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51C9C2F4" w14:textId="77777777" w:rsidR="00270E6A" w:rsidRPr="00D9516A" w:rsidRDefault="00270E6A" w:rsidP="002959BC">
                        <w:pPr>
                          <w:widowControl w:val="0"/>
                          <w:rPr>
                            <w:lang w:bidi="ar-EG"/>
                          </w:rPr>
                        </w:pPr>
                        <w:r w:rsidRPr="00D9516A">
                          <w:rPr>
                            <w:rFonts w:hint="cs"/>
                            <w:rtl/>
                            <w:lang w:bidi="ar-EG"/>
                          </w:rPr>
                          <w:t xml:space="preserve">ع ك </w:t>
                        </w:r>
                      </w:p>
                    </w:txbxContent>
                  </v:textbox>
                </v:shape>
                <v:shape id="Text Box 17" o:spid="_x0000_s1039" type="#_x0000_t202" style="position:absolute;left:4345;top:9779;width:689;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3E6BD216" w14:textId="77777777" w:rsidR="00270E6A" w:rsidRPr="00D9516A" w:rsidRDefault="00270E6A" w:rsidP="002959BC">
                        <w:pPr>
                          <w:widowControl w:val="0"/>
                          <w:rPr>
                            <w:lang w:bidi="ar-EG"/>
                          </w:rPr>
                        </w:pPr>
                        <w:r>
                          <w:rPr>
                            <w:rFonts w:hint="cs"/>
                            <w:rtl/>
                            <w:lang w:bidi="ar-EG"/>
                          </w:rPr>
                          <w:t>ت1</w:t>
                        </w:r>
                      </w:p>
                    </w:txbxContent>
                  </v:textbox>
                </v:shape>
                <v:shape id="Text Box 18" o:spid="_x0000_s1040" type="#_x0000_t202" style="position:absolute;left:4233;top:10669;width:601;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1D79CFBD" w14:textId="77777777" w:rsidR="00270E6A" w:rsidRPr="00D9516A" w:rsidRDefault="00270E6A" w:rsidP="002959BC">
                        <w:pPr>
                          <w:widowControl w:val="0"/>
                          <w:rPr>
                            <w:lang w:bidi="ar-EG"/>
                          </w:rPr>
                        </w:pPr>
                        <w:r>
                          <w:rPr>
                            <w:rFonts w:hint="cs"/>
                            <w:rtl/>
                            <w:lang w:bidi="ar-EG"/>
                          </w:rPr>
                          <w:t>ت</w:t>
                        </w:r>
                      </w:p>
                    </w:txbxContent>
                  </v:textbox>
                </v:shape>
                <v:shape id="Text Box 19" o:spid="_x0000_s1041" type="#_x0000_t202" style="position:absolute;left:1690;top:9917;width:601;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15171116" w14:textId="77777777" w:rsidR="00270E6A" w:rsidRPr="00D9516A" w:rsidRDefault="00270E6A" w:rsidP="002959BC">
                        <w:pPr>
                          <w:widowControl w:val="0"/>
                          <w:rPr>
                            <w:lang w:bidi="ar-EG"/>
                          </w:rPr>
                        </w:pPr>
                        <w:r>
                          <w:rPr>
                            <w:rFonts w:hint="cs"/>
                            <w:rtl/>
                            <w:lang w:bidi="ar-EG"/>
                          </w:rPr>
                          <w:t>س1</w:t>
                        </w:r>
                      </w:p>
                    </w:txbxContent>
                  </v:textbox>
                </v:shape>
                <v:shape id="Text Box 20" o:spid="_x0000_s1042" type="#_x0000_t202" style="position:absolute;left:1690;top:10417;width:601;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1626E11F" w14:textId="77777777" w:rsidR="00270E6A" w:rsidRPr="00D9516A" w:rsidRDefault="00270E6A" w:rsidP="002959BC">
                        <w:pPr>
                          <w:widowControl w:val="0"/>
                          <w:rPr>
                            <w:lang w:bidi="ar-EG"/>
                          </w:rPr>
                        </w:pPr>
                        <w:r>
                          <w:rPr>
                            <w:rFonts w:hint="cs"/>
                            <w:rtl/>
                            <w:lang w:bidi="ar-EG"/>
                          </w:rPr>
                          <w:t>س</w:t>
                        </w:r>
                      </w:p>
                    </w:txbxContent>
                  </v:textbox>
                </v:shape>
                <v:shape id="Text Box 21" o:spid="_x0000_s1043" type="#_x0000_t202" style="position:absolute;left:3552;top:8824;width:805;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7C6E96B7" w14:textId="77777777" w:rsidR="00270E6A" w:rsidRPr="00D9516A" w:rsidRDefault="00270E6A" w:rsidP="002959BC">
                        <w:pPr>
                          <w:widowControl w:val="0"/>
                          <w:rPr>
                            <w:lang w:bidi="ar-EG"/>
                          </w:rPr>
                        </w:pPr>
                        <w:r>
                          <w:rPr>
                            <w:rFonts w:hint="cs"/>
                            <w:rtl/>
                            <w:lang w:bidi="ar-EG"/>
                          </w:rPr>
                          <w:t>ط1</w:t>
                        </w:r>
                        <w:r w:rsidRPr="00D9516A">
                          <w:rPr>
                            <w:rFonts w:hint="cs"/>
                            <w:rtl/>
                            <w:lang w:bidi="ar-EG"/>
                          </w:rPr>
                          <w:t xml:space="preserve"> ك </w:t>
                        </w:r>
                      </w:p>
                    </w:txbxContent>
                  </v:textbox>
                </v:shape>
                <v:shape id="Text Box 22" o:spid="_x0000_s1044" type="#_x0000_t202" style="position:absolute;left:2717;top:8866;width:760;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39959727" w14:textId="77777777" w:rsidR="00270E6A" w:rsidRPr="00D9516A" w:rsidRDefault="00270E6A" w:rsidP="002959BC">
                        <w:pPr>
                          <w:widowControl w:val="0"/>
                          <w:rPr>
                            <w:lang w:bidi="ar-EG"/>
                          </w:rPr>
                        </w:pPr>
                        <w:r>
                          <w:rPr>
                            <w:rFonts w:hint="cs"/>
                            <w:rtl/>
                            <w:lang w:bidi="ar-EG"/>
                          </w:rPr>
                          <w:t>ط</w:t>
                        </w:r>
                        <w:r w:rsidRPr="00D9516A">
                          <w:rPr>
                            <w:rFonts w:hint="cs"/>
                            <w:rtl/>
                            <w:lang w:bidi="ar-EG"/>
                          </w:rPr>
                          <w:t xml:space="preserve"> ك </w:t>
                        </w:r>
                      </w:p>
                    </w:txbxContent>
                  </v:textbox>
                </v:shape>
                <v:shape id="Text Box 23" o:spid="_x0000_s1045" type="#_x0000_t202" style="position:absolute;left:1402;top:8970;width:977;height: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035E2381" w14:textId="77777777" w:rsidR="00270E6A" w:rsidRPr="00D9516A" w:rsidRDefault="00270E6A" w:rsidP="002959BC">
                        <w:pPr>
                          <w:widowControl w:val="0"/>
                          <w:rPr>
                            <w:lang w:bidi="ar-EG"/>
                          </w:rPr>
                        </w:pPr>
                        <w:r>
                          <w:rPr>
                            <w:rFonts w:hint="cs"/>
                            <w:rtl/>
                            <w:lang w:bidi="ar-EG"/>
                          </w:rPr>
                          <w:t>مستوى الأسعار</w:t>
                        </w:r>
                      </w:p>
                    </w:txbxContent>
                  </v:textbox>
                </v:shape>
                <v:shape id="Text Box 24" o:spid="_x0000_s1046" type="#_x0000_t202" style="position:absolute;left:5535;top:11395;width:1715;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767CB77E" w14:textId="77777777" w:rsidR="00270E6A" w:rsidRPr="00D9516A" w:rsidRDefault="00270E6A" w:rsidP="002959BC">
                        <w:pPr>
                          <w:widowControl w:val="0"/>
                          <w:rPr>
                            <w:lang w:bidi="ar-EG"/>
                          </w:rPr>
                        </w:pPr>
                        <w:r>
                          <w:rPr>
                            <w:rFonts w:hint="cs"/>
                            <w:rtl/>
                            <w:lang w:bidi="ar-EG"/>
                          </w:rPr>
                          <w:t xml:space="preserve">الناتج القومي الحقيقي </w:t>
                        </w:r>
                        <w:r w:rsidRPr="00D9516A">
                          <w:rPr>
                            <w:rFonts w:hint="cs"/>
                            <w:rtl/>
                            <w:lang w:bidi="ar-EG"/>
                          </w:rPr>
                          <w:t xml:space="preserve"> </w:t>
                        </w:r>
                      </w:p>
                    </w:txbxContent>
                  </v:textbox>
                </v:shape>
                <v:shape id="Text Box 25" o:spid="_x0000_s1047" type="#_x0000_t202" style="position:absolute;left:4058;top:11471;width:601;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14:paraId="54D4D8E9" w14:textId="77777777" w:rsidR="00270E6A" w:rsidRPr="00D9516A" w:rsidRDefault="00270E6A" w:rsidP="002959BC">
                        <w:pPr>
                          <w:widowControl w:val="0"/>
                          <w:rPr>
                            <w:lang w:bidi="ar-EG"/>
                          </w:rPr>
                        </w:pPr>
                        <w:r>
                          <w:rPr>
                            <w:rFonts w:hint="cs"/>
                            <w:rtl/>
                            <w:lang w:bidi="ar-EG"/>
                          </w:rPr>
                          <w:t>ي</w:t>
                        </w:r>
                      </w:p>
                    </w:txbxContent>
                  </v:textbox>
                </v:shape>
                <w10:wrap type="tight" anchorx="margin"/>
              </v:group>
            </w:pict>
          </mc:Fallback>
        </mc:AlternateContent>
      </w:r>
    </w:p>
    <w:p w14:paraId="33C9D5EE" w14:textId="77777777" w:rsidR="002959BC" w:rsidRPr="00683457" w:rsidRDefault="002959BC" w:rsidP="002959BC">
      <w:pPr>
        <w:spacing w:line="233" w:lineRule="auto"/>
        <w:ind w:firstLine="453"/>
        <w:jc w:val="center"/>
        <w:rPr>
          <w:rFonts w:ascii="Simplified Arabic" w:hAnsi="Simplified Arabic" w:cs="Simplified Arabic"/>
          <w:sz w:val="28"/>
          <w:szCs w:val="28"/>
          <w:rtl/>
          <w:lang w:bidi="ar-EG"/>
        </w:rPr>
      </w:pPr>
    </w:p>
    <w:p w14:paraId="6120D8B6" w14:textId="77777777" w:rsidR="002959BC" w:rsidRPr="00683457" w:rsidRDefault="002959BC" w:rsidP="002959BC">
      <w:pPr>
        <w:spacing w:line="233" w:lineRule="auto"/>
        <w:ind w:left="311" w:firstLine="426"/>
        <w:jc w:val="center"/>
        <w:rPr>
          <w:rFonts w:ascii="Simplified Arabic" w:hAnsi="Simplified Arabic" w:cs="Simplified Arabic"/>
          <w:sz w:val="28"/>
          <w:szCs w:val="28"/>
          <w:rtl/>
          <w:lang w:bidi="ar-EG"/>
        </w:rPr>
      </w:pPr>
    </w:p>
    <w:p w14:paraId="4426A25F" w14:textId="77777777" w:rsidR="002959BC" w:rsidRPr="00683457" w:rsidRDefault="002959BC" w:rsidP="002959BC">
      <w:pPr>
        <w:spacing w:line="233" w:lineRule="auto"/>
        <w:ind w:left="311" w:firstLine="426"/>
        <w:jc w:val="center"/>
        <w:rPr>
          <w:rFonts w:ascii="Simplified Arabic" w:hAnsi="Simplified Arabic" w:cs="Simplified Arabic"/>
          <w:sz w:val="28"/>
          <w:szCs w:val="28"/>
          <w:rtl/>
          <w:lang w:bidi="ar-EG"/>
        </w:rPr>
      </w:pPr>
    </w:p>
    <w:p w14:paraId="192FF1B4" w14:textId="77777777" w:rsidR="002959BC" w:rsidRPr="00683457" w:rsidRDefault="002959BC" w:rsidP="002959BC">
      <w:pPr>
        <w:spacing w:line="233" w:lineRule="auto"/>
        <w:ind w:left="311" w:firstLine="426"/>
        <w:jc w:val="center"/>
        <w:rPr>
          <w:rFonts w:ascii="Simplified Arabic" w:hAnsi="Simplified Arabic" w:cs="Simplified Arabic"/>
          <w:sz w:val="28"/>
          <w:szCs w:val="28"/>
          <w:rtl/>
          <w:lang w:bidi="ar-EG"/>
        </w:rPr>
      </w:pPr>
    </w:p>
    <w:p w14:paraId="5F583C0A" w14:textId="77777777" w:rsidR="002959BC" w:rsidRPr="00683457" w:rsidRDefault="002959BC" w:rsidP="002959BC">
      <w:pPr>
        <w:spacing w:line="233" w:lineRule="auto"/>
        <w:ind w:left="311" w:firstLine="426"/>
        <w:jc w:val="both"/>
        <w:rPr>
          <w:rFonts w:ascii="Simplified Arabic" w:hAnsi="Simplified Arabic" w:cs="Simplified Arabic"/>
          <w:sz w:val="28"/>
          <w:szCs w:val="28"/>
          <w:rtl/>
          <w:lang w:bidi="ar-EG"/>
        </w:rPr>
      </w:pPr>
    </w:p>
    <w:p w14:paraId="57042792" w14:textId="77777777" w:rsidR="002959BC" w:rsidRDefault="002959BC" w:rsidP="002959BC">
      <w:pPr>
        <w:spacing w:line="233" w:lineRule="auto"/>
        <w:ind w:firstLine="453"/>
        <w:jc w:val="both"/>
        <w:rPr>
          <w:rFonts w:ascii="Simplified Arabic" w:hAnsi="Simplified Arabic" w:cs="Simplified Arabic"/>
          <w:sz w:val="28"/>
          <w:szCs w:val="28"/>
          <w:lang w:bidi="ar-EG"/>
        </w:rPr>
      </w:pPr>
    </w:p>
    <w:p w14:paraId="556EE102" w14:textId="77777777" w:rsidR="002959BC" w:rsidRDefault="002959BC" w:rsidP="002959BC">
      <w:pPr>
        <w:spacing w:line="233" w:lineRule="auto"/>
        <w:ind w:firstLine="453"/>
        <w:jc w:val="both"/>
        <w:rPr>
          <w:rFonts w:ascii="Simplified Arabic" w:hAnsi="Simplified Arabic" w:cs="Simplified Arabic"/>
          <w:sz w:val="28"/>
          <w:szCs w:val="28"/>
          <w:rtl/>
          <w:lang w:bidi="ar-EG"/>
        </w:rPr>
      </w:pPr>
      <w:r w:rsidRPr="00683457">
        <w:rPr>
          <w:rFonts w:ascii="Simplified Arabic" w:hAnsi="Simplified Arabic" w:cs="Simplified Arabic"/>
          <w:sz w:val="28"/>
          <w:szCs w:val="28"/>
          <w:rtl/>
          <w:lang w:bidi="ar-EG"/>
        </w:rPr>
        <w:t>ويوضح الشكل رقم (1-1) أن الاختلاف في المستوى العام للأسعار إنما ينتج عن التغيرات بين كمية النقود المعروضة من جهة وحجم الناتج المتاح من السلع والخدمات من جهة أخرى.</w:t>
      </w:r>
    </w:p>
    <w:p w14:paraId="19BAE2D2" w14:textId="77777777" w:rsidR="002959BC" w:rsidRPr="00683457" w:rsidRDefault="002959BC" w:rsidP="002959BC">
      <w:pPr>
        <w:spacing w:line="233" w:lineRule="auto"/>
        <w:ind w:firstLine="453"/>
        <w:jc w:val="both"/>
        <w:rPr>
          <w:rFonts w:ascii="Simplified Arabic" w:hAnsi="Simplified Arabic" w:cs="Simplified Arabic"/>
          <w:sz w:val="28"/>
          <w:szCs w:val="28"/>
          <w:rtl/>
          <w:lang w:bidi="ar-EG"/>
        </w:rPr>
      </w:pPr>
    </w:p>
    <w:p w14:paraId="319C44A4" w14:textId="77777777" w:rsidR="002959BC" w:rsidRPr="00683457" w:rsidRDefault="002959BC" w:rsidP="002959BC">
      <w:pPr>
        <w:spacing w:line="233" w:lineRule="auto"/>
        <w:jc w:val="both"/>
        <w:rPr>
          <w:rFonts w:ascii="Simplified Arabic" w:hAnsi="Simplified Arabic" w:cs="Simplified Arabic"/>
          <w:sz w:val="28"/>
          <w:szCs w:val="28"/>
          <w:u w:val="single"/>
          <w:lang w:bidi="ar-EG"/>
        </w:rPr>
      </w:pPr>
      <w:r w:rsidRPr="00683457">
        <w:rPr>
          <w:rFonts w:ascii="Simplified Arabic" w:hAnsi="Simplified Arabic" w:cs="Simplified Arabic"/>
          <w:sz w:val="28"/>
          <w:szCs w:val="28"/>
          <w:u w:val="single"/>
          <w:rtl/>
          <w:lang w:bidi="ar-EG"/>
        </w:rPr>
        <w:t>تطور النظرية الكمية للنقود:</w:t>
      </w:r>
    </w:p>
    <w:p w14:paraId="530223D0" w14:textId="77777777" w:rsidR="002959BC" w:rsidRDefault="002959BC" w:rsidP="002959BC">
      <w:pPr>
        <w:spacing w:line="233" w:lineRule="auto"/>
        <w:ind w:firstLine="453"/>
        <w:jc w:val="both"/>
        <w:rPr>
          <w:rFonts w:ascii="Simplified Arabic" w:hAnsi="Simplified Arabic" w:cs="Simplified Arabic"/>
          <w:sz w:val="28"/>
          <w:szCs w:val="28"/>
          <w:rtl/>
          <w:lang w:bidi="ar-EG"/>
        </w:rPr>
      </w:pPr>
      <w:r w:rsidRPr="00683457">
        <w:rPr>
          <w:rFonts w:ascii="Simplified Arabic" w:hAnsi="Simplified Arabic" w:cs="Simplified Arabic"/>
          <w:sz w:val="28"/>
          <w:szCs w:val="28"/>
          <w:rtl/>
          <w:lang w:bidi="ar-EG"/>
        </w:rPr>
        <w:t>تم إحلال فكرة الطلب على النقود مكان سرعة الدوران، واستخدام الناتج القومي أو الدخل القومي بدلاً من حجم المعاملات، إلا أن هذا التطوير لم يغير كثيراً في العلاقة السببية المباشرة بين زيادة كمية النقود والمستوى العام للأسعار.</w:t>
      </w:r>
    </w:p>
    <w:p w14:paraId="1424D368" w14:textId="77777777" w:rsidR="002959BC" w:rsidRDefault="002959BC" w:rsidP="002959BC">
      <w:pPr>
        <w:spacing w:line="233" w:lineRule="auto"/>
        <w:ind w:firstLine="453"/>
        <w:jc w:val="both"/>
        <w:rPr>
          <w:rFonts w:ascii="Simplified Arabic" w:hAnsi="Simplified Arabic" w:cs="Simplified Arabic"/>
          <w:sz w:val="28"/>
          <w:szCs w:val="28"/>
          <w:lang w:bidi="ar-EG"/>
        </w:rPr>
      </w:pPr>
    </w:p>
    <w:p w14:paraId="63CF0563" w14:textId="77777777" w:rsidR="002959BC" w:rsidRPr="00683457" w:rsidRDefault="002959BC" w:rsidP="0041332D">
      <w:pPr>
        <w:pStyle w:val="ListParagraph"/>
        <w:numPr>
          <w:ilvl w:val="0"/>
          <w:numId w:val="14"/>
        </w:numPr>
        <w:spacing w:after="0" w:line="233" w:lineRule="auto"/>
        <w:ind w:left="357" w:hanging="357"/>
        <w:contextualSpacing w:val="0"/>
        <w:jc w:val="both"/>
        <w:rPr>
          <w:rFonts w:ascii="Simplified Arabic" w:hAnsi="Simplified Arabic" w:cs="Simplified Arabic"/>
          <w:b/>
          <w:bCs/>
          <w:sz w:val="28"/>
          <w:szCs w:val="28"/>
          <w:lang w:bidi="ar-EG"/>
        </w:rPr>
      </w:pPr>
      <w:r w:rsidRPr="00683457">
        <w:rPr>
          <w:rFonts w:ascii="Simplified Arabic" w:hAnsi="Simplified Arabic" w:cs="Simplified Arabic"/>
          <w:b/>
          <w:bCs/>
          <w:sz w:val="28"/>
          <w:szCs w:val="28"/>
          <w:rtl/>
          <w:lang w:bidi="ar-EG"/>
        </w:rPr>
        <w:t>النظرية المعاصرة لكمية النقود كمفسر للتضخم:</w:t>
      </w:r>
    </w:p>
    <w:p w14:paraId="180E812E" w14:textId="77777777" w:rsidR="002959BC" w:rsidRPr="00683457" w:rsidRDefault="002959BC" w:rsidP="002959BC">
      <w:pPr>
        <w:spacing w:line="233" w:lineRule="auto"/>
        <w:ind w:firstLine="453"/>
        <w:jc w:val="both"/>
        <w:rPr>
          <w:rFonts w:ascii="Simplified Arabic" w:hAnsi="Simplified Arabic" w:cs="Simplified Arabic"/>
          <w:sz w:val="28"/>
          <w:szCs w:val="28"/>
          <w:rtl/>
          <w:lang w:bidi="ar-EG"/>
        </w:rPr>
      </w:pPr>
      <w:r w:rsidRPr="00683457">
        <w:rPr>
          <w:rFonts w:ascii="Simplified Arabic" w:hAnsi="Simplified Arabic" w:cs="Simplified Arabic"/>
          <w:sz w:val="28"/>
          <w:szCs w:val="28"/>
          <w:rtl/>
          <w:lang w:bidi="ar-EG"/>
        </w:rPr>
        <w:t>تم إعادة صياغة العلاقة بين كمية النقود والمستوى العام للأسعار في صورة جديدة حيث تم الربط بين نصيب الوحدة المنتجة من السلع والخدمات من النقود وبين التغير في المستوى العام للأسعار، وذلك من خلال ما يطرأ على الطلب على النقود من تغيرات، حيث تقوم هذه النظرية على ركنين أساسيين هما:</w:t>
      </w:r>
      <w:r w:rsidRPr="00683457">
        <w:rPr>
          <w:rFonts w:ascii="Simplified Arabic" w:hAnsi="Simplified Arabic" w:cs="Simplified Arabic"/>
          <w:sz w:val="28"/>
          <w:szCs w:val="28"/>
          <w:vertAlign w:val="superscript"/>
          <w:rtl/>
          <w:lang w:bidi="ar-EG"/>
        </w:rPr>
        <w:t>(</w:t>
      </w:r>
      <w:r w:rsidRPr="00683457">
        <w:rPr>
          <w:rFonts w:ascii="Simplified Arabic" w:hAnsi="Simplified Arabic" w:cs="Simplified Arabic"/>
          <w:sz w:val="28"/>
          <w:szCs w:val="28"/>
          <w:vertAlign w:val="superscript"/>
          <w:rtl/>
          <w:lang w:bidi="ar-EG"/>
        </w:rPr>
        <w:footnoteReference w:id="37"/>
      </w:r>
      <w:r w:rsidRPr="00683457">
        <w:rPr>
          <w:rFonts w:ascii="Simplified Arabic" w:hAnsi="Simplified Arabic" w:cs="Simplified Arabic"/>
          <w:sz w:val="28"/>
          <w:szCs w:val="28"/>
          <w:vertAlign w:val="superscript"/>
          <w:rtl/>
          <w:lang w:bidi="ar-EG"/>
        </w:rPr>
        <w:t>)</w:t>
      </w:r>
    </w:p>
    <w:p w14:paraId="7F7E8FDC" w14:textId="77777777" w:rsidR="002959BC" w:rsidRPr="00683457" w:rsidRDefault="002959BC" w:rsidP="0041332D">
      <w:pPr>
        <w:pStyle w:val="ListParagraph"/>
        <w:numPr>
          <w:ilvl w:val="0"/>
          <w:numId w:val="16"/>
        </w:numPr>
        <w:spacing w:after="0" w:line="233" w:lineRule="auto"/>
        <w:ind w:left="283" w:hanging="284"/>
        <w:contextualSpacing w:val="0"/>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تطور التغير في كمية النقود إلى الناتج الوطني أو الدخل الوطني الحقيقي أي نصيب الوحدة من الناتج الوطني من كمية النقود وليس مجرد حجم كمية النقود.</w:t>
      </w:r>
    </w:p>
    <w:p w14:paraId="3561D612" w14:textId="77777777" w:rsidR="002959BC" w:rsidRPr="00683457" w:rsidRDefault="002959BC" w:rsidP="0041332D">
      <w:pPr>
        <w:pStyle w:val="ListParagraph"/>
        <w:numPr>
          <w:ilvl w:val="0"/>
          <w:numId w:val="16"/>
        </w:numPr>
        <w:spacing w:after="0" w:line="233" w:lineRule="auto"/>
        <w:ind w:left="283" w:hanging="284"/>
        <w:contextualSpacing w:val="0"/>
        <w:jc w:val="both"/>
        <w:rPr>
          <w:rFonts w:ascii="Simplified Arabic" w:hAnsi="Simplified Arabic" w:cs="Simplified Arabic"/>
          <w:b/>
          <w:bCs/>
          <w:sz w:val="28"/>
          <w:szCs w:val="28"/>
          <w:u w:val="single"/>
          <w:lang w:bidi="ar-EG"/>
        </w:rPr>
      </w:pPr>
      <w:r w:rsidRPr="00683457">
        <w:rPr>
          <w:rFonts w:ascii="Simplified Arabic" w:hAnsi="Simplified Arabic" w:cs="Simplified Arabic"/>
          <w:sz w:val="28"/>
          <w:szCs w:val="28"/>
          <w:rtl/>
          <w:lang w:bidi="ar-EG"/>
        </w:rPr>
        <w:t>التغير الذي يطرأ على سرعة دوران النقود أو مقلوبها يعبر عن الأرصدة النقدية التي يرغب الأفراد في الاحتفاظ بها من دخولهم.</w:t>
      </w:r>
    </w:p>
    <w:p w14:paraId="055E40CB" w14:textId="77777777" w:rsidR="002959BC" w:rsidRPr="00683457" w:rsidRDefault="002959BC" w:rsidP="002959BC">
      <w:pPr>
        <w:spacing w:line="233" w:lineRule="auto"/>
        <w:ind w:left="311"/>
        <w:jc w:val="both"/>
        <w:rPr>
          <w:rFonts w:ascii="Simplified Arabic" w:hAnsi="Simplified Arabic" w:cs="Simplified Arabic"/>
          <w:b/>
          <w:bCs/>
          <w:sz w:val="28"/>
          <w:szCs w:val="28"/>
          <w:rtl/>
          <w:lang w:bidi="ar-EG"/>
        </w:rPr>
      </w:pPr>
      <w:r w:rsidRPr="00683457">
        <w:rPr>
          <w:rFonts w:ascii="Simplified Arabic" w:hAnsi="Simplified Arabic" w:cs="Simplified Arabic"/>
          <w:b/>
          <w:bCs/>
          <w:sz w:val="28"/>
          <w:szCs w:val="28"/>
          <w:rtl/>
          <w:lang w:bidi="ar-EG"/>
        </w:rPr>
        <w:t>انتقادات النظرية الكمية للنقود:</w:t>
      </w:r>
    </w:p>
    <w:p w14:paraId="0BE84D78" w14:textId="77777777" w:rsidR="002959BC" w:rsidRPr="00683457" w:rsidRDefault="002959BC" w:rsidP="002959BC">
      <w:pPr>
        <w:spacing w:line="233" w:lineRule="auto"/>
        <w:ind w:firstLine="453"/>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وجهت عدة انتقادات للنظرية الكمية للنقود كمفسر للتضخم</w:t>
      </w:r>
      <w:r w:rsidRPr="00683457">
        <w:rPr>
          <w:rFonts w:ascii="Simplified Arabic" w:hAnsi="Simplified Arabic" w:cs="Simplified Arabic"/>
          <w:sz w:val="28"/>
          <w:szCs w:val="28"/>
          <w:vertAlign w:val="superscript"/>
          <w:rtl/>
          <w:lang w:bidi="ar-EG"/>
        </w:rPr>
        <w:t>(</w:t>
      </w:r>
      <w:r w:rsidRPr="00683457">
        <w:rPr>
          <w:rFonts w:ascii="Simplified Arabic" w:hAnsi="Simplified Arabic" w:cs="Simplified Arabic"/>
          <w:sz w:val="28"/>
          <w:szCs w:val="28"/>
          <w:vertAlign w:val="superscript"/>
          <w:rtl/>
          <w:lang w:bidi="ar-EG"/>
        </w:rPr>
        <w:footnoteReference w:id="38"/>
      </w:r>
      <w:r w:rsidRPr="00683457">
        <w:rPr>
          <w:rFonts w:ascii="Simplified Arabic" w:hAnsi="Simplified Arabic" w:cs="Simplified Arabic"/>
          <w:sz w:val="28"/>
          <w:szCs w:val="28"/>
          <w:vertAlign w:val="superscript"/>
          <w:rtl/>
          <w:lang w:bidi="ar-EG"/>
        </w:rPr>
        <w:t>)</w:t>
      </w:r>
      <w:r w:rsidRPr="00683457">
        <w:rPr>
          <w:rFonts w:ascii="Simplified Arabic" w:hAnsi="Simplified Arabic" w:cs="Simplified Arabic"/>
          <w:sz w:val="28"/>
          <w:szCs w:val="28"/>
          <w:rtl/>
          <w:lang w:bidi="ar-EG"/>
        </w:rPr>
        <w:t xml:space="preserve">، خاصة في صورتها التقليدية، ومن بين تلك الانتقادات أن الأسعار قد ترتفع لأسباب لا دخل لها بزيادة كمية النقود، كما أن النقود لا تطلب فقط في المجتمع للقيام بالمعاملات، بالإضافة إلى أن افتراض ثبات الناتج القومي يستند إلى افتراض حالة </w:t>
      </w:r>
      <w:r w:rsidRPr="00683457">
        <w:rPr>
          <w:rFonts w:ascii="Simplified Arabic" w:hAnsi="Simplified Arabic" w:cs="Simplified Arabic"/>
          <w:sz w:val="28"/>
          <w:szCs w:val="28"/>
          <w:rtl/>
          <w:lang w:bidi="ar-EG"/>
        </w:rPr>
        <w:lastRenderedPageBreak/>
        <w:t>التشغيل الكامل، وهذه حالة استثنائية خاصة بالدول الصناعية أو الدول التي تعاني من جمود في جهازها الإنتاجي.</w:t>
      </w:r>
    </w:p>
    <w:p w14:paraId="69F09E07" w14:textId="77777777" w:rsidR="002959BC" w:rsidRPr="00683457" w:rsidRDefault="002959BC" w:rsidP="002959BC">
      <w:pPr>
        <w:pStyle w:val="ListParagraph"/>
        <w:spacing w:after="0" w:line="240" w:lineRule="auto"/>
        <w:ind w:left="360"/>
        <w:contextualSpacing w:val="0"/>
        <w:jc w:val="both"/>
        <w:rPr>
          <w:rFonts w:ascii="Simplified Arabic" w:hAnsi="Simplified Arabic" w:cs="Simplified Arabic"/>
          <w:b/>
          <w:bCs/>
          <w:sz w:val="28"/>
          <w:szCs w:val="28"/>
          <w:lang w:bidi="ar-EG"/>
        </w:rPr>
      </w:pPr>
    </w:p>
    <w:p w14:paraId="4EEB5D8A" w14:textId="77777777" w:rsidR="002959BC" w:rsidRPr="00683457" w:rsidRDefault="002959BC" w:rsidP="0041332D">
      <w:pPr>
        <w:pStyle w:val="ListParagraph"/>
        <w:numPr>
          <w:ilvl w:val="0"/>
          <w:numId w:val="14"/>
        </w:numPr>
        <w:spacing w:after="0" w:line="240" w:lineRule="auto"/>
        <w:contextualSpacing w:val="0"/>
        <w:jc w:val="both"/>
        <w:rPr>
          <w:rFonts w:ascii="Simplified Arabic" w:hAnsi="Simplified Arabic" w:cs="Simplified Arabic"/>
          <w:b/>
          <w:bCs/>
          <w:sz w:val="28"/>
          <w:szCs w:val="28"/>
          <w:lang w:bidi="ar-EG"/>
        </w:rPr>
      </w:pPr>
      <w:r w:rsidRPr="00683457">
        <w:rPr>
          <w:rFonts w:ascii="Simplified Arabic" w:hAnsi="Simplified Arabic" w:cs="Simplified Arabic"/>
          <w:b/>
          <w:bCs/>
          <w:sz w:val="28"/>
          <w:szCs w:val="28"/>
          <w:rtl/>
          <w:lang w:bidi="ar-EG"/>
        </w:rPr>
        <w:t>نظرية جانب الطلب كمفسر للتضخم:</w:t>
      </w:r>
    </w:p>
    <w:p w14:paraId="36705FA9" w14:textId="77777777" w:rsidR="002959BC" w:rsidRPr="00683457" w:rsidRDefault="002959BC" w:rsidP="002959BC">
      <w:pPr>
        <w:ind w:firstLine="453"/>
        <w:jc w:val="both"/>
        <w:rPr>
          <w:rFonts w:ascii="Simplified Arabic" w:hAnsi="Simplified Arabic" w:cs="Simplified Arabic"/>
          <w:sz w:val="28"/>
          <w:szCs w:val="28"/>
          <w:rtl/>
          <w:lang w:bidi="ar-EG"/>
        </w:rPr>
      </w:pPr>
      <w:r w:rsidRPr="00683457">
        <w:rPr>
          <w:rFonts w:ascii="Simplified Arabic" w:hAnsi="Simplified Arabic" w:cs="Simplified Arabic"/>
          <w:sz w:val="28"/>
          <w:szCs w:val="28"/>
          <w:rtl/>
          <w:lang w:bidi="ar-EG"/>
        </w:rPr>
        <w:t>إن افتراضات هذه النظرية تختلف عن افتراضات النظرية الكمية في تفسير التضخم، وقد اعتمدت تلك النظرية على الفروض التالية:</w:t>
      </w:r>
      <w:r w:rsidRPr="00683457">
        <w:rPr>
          <w:rFonts w:ascii="Simplified Arabic" w:hAnsi="Simplified Arabic" w:cs="Simplified Arabic"/>
          <w:sz w:val="28"/>
          <w:szCs w:val="28"/>
          <w:vertAlign w:val="superscript"/>
          <w:rtl/>
          <w:lang w:bidi="ar-EG"/>
        </w:rPr>
        <w:t xml:space="preserve"> (</w:t>
      </w:r>
      <w:r w:rsidRPr="00683457">
        <w:rPr>
          <w:rFonts w:ascii="Simplified Arabic" w:hAnsi="Simplified Arabic" w:cs="Simplified Arabic"/>
          <w:sz w:val="28"/>
          <w:szCs w:val="28"/>
          <w:vertAlign w:val="superscript"/>
          <w:rtl/>
          <w:lang w:bidi="ar-EG"/>
        </w:rPr>
        <w:footnoteReference w:id="39"/>
      </w:r>
      <w:r w:rsidRPr="00683457">
        <w:rPr>
          <w:rFonts w:ascii="Simplified Arabic" w:hAnsi="Simplified Arabic" w:cs="Simplified Arabic"/>
          <w:sz w:val="28"/>
          <w:szCs w:val="28"/>
          <w:vertAlign w:val="superscript"/>
          <w:rtl/>
          <w:lang w:bidi="ar-EG"/>
        </w:rPr>
        <w:t>)</w:t>
      </w:r>
    </w:p>
    <w:p w14:paraId="101298C9" w14:textId="77777777" w:rsidR="002959BC" w:rsidRPr="00683457" w:rsidRDefault="002959BC" w:rsidP="0041332D">
      <w:pPr>
        <w:pStyle w:val="ListParagraph"/>
        <w:numPr>
          <w:ilvl w:val="0"/>
          <w:numId w:val="16"/>
        </w:numPr>
        <w:spacing w:after="0" w:line="240" w:lineRule="auto"/>
        <w:ind w:left="595"/>
        <w:contextualSpacing w:val="0"/>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حالة العمالة الكاملة هي حالة خاصة وأن الحالة العامة هي عدم تحقق العمالة الكاملة.</w:t>
      </w:r>
      <w:r w:rsidRPr="00683457">
        <w:rPr>
          <w:rFonts w:ascii="Simplified Arabic" w:hAnsi="Simplified Arabic" w:cs="Simplified Arabic"/>
          <w:sz w:val="28"/>
          <w:szCs w:val="28"/>
          <w:vertAlign w:val="superscript"/>
          <w:rtl/>
          <w:lang w:bidi="ar-EG"/>
        </w:rPr>
        <w:t xml:space="preserve"> </w:t>
      </w:r>
    </w:p>
    <w:p w14:paraId="347C07F3" w14:textId="77777777" w:rsidR="002959BC" w:rsidRPr="00683457" w:rsidRDefault="002959BC" w:rsidP="0041332D">
      <w:pPr>
        <w:pStyle w:val="ListParagraph"/>
        <w:numPr>
          <w:ilvl w:val="0"/>
          <w:numId w:val="16"/>
        </w:numPr>
        <w:spacing w:after="0" w:line="240" w:lineRule="auto"/>
        <w:ind w:left="595"/>
        <w:contextualSpacing w:val="0"/>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النقود ليست وسيط للتبادل فحسب بل أنها أيضاً مخزن للقيمة وبالتالي فإن النقود تطلب لذاتها.</w:t>
      </w:r>
    </w:p>
    <w:p w14:paraId="1549C035" w14:textId="77777777" w:rsidR="002959BC" w:rsidRPr="00683457" w:rsidRDefault="002959BC" w:rsidP="0041332D">
      <w:pPr>
        <w:pStyle w:val="ListParagraph"/>
        <w:numPr>
          <w:ilvl w:val="0"/>
          <w:numId w:val="16"/>
        </w:numPr>
        <w:spacing w:after="0" w:line="240" w:lineRule="auto"/>
        <w:ind w:left="595"/>
        <w:contextualSpacing w:val="0"/>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التغير في الطلب الكلي الناتج عن تغير أحد مكونات الإنفاق الكلي زيادة الانفاق أو الاستثمار الحكومي - وليس بالضرورة زيادة كمية النقود - يؤدي إلى ظهور فائض في الطب الكلي.</w:t>
      </w:r>
    </w:p>
    <w:p w14:paraId="495F7D4E" w14:textId="77777777" w:rsidR="002959BC" w:rsidRPr="00683457" w:rsidRDefault="002959BC" w:rsidP="0041332D">
      <w:pPr>
        <w:pStyle w:val="ListParagraph"/>
        <w:numPr>
          <w:ilvl w:val="0"/>
          <w:numId w:val="16"/>
        </w:numPr>
        <w:spacing w:after="0" w:line="240" w:lineRule="auto"/>
        <w:ind w:left="595"/>
        <w:contextualSpacing w:val="0"/>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فعالية السياسة المالية بجانب السياسة النقدية في مكافحة التضخم.</w:t>
      </w:r>
    </w:p>
    <w:p w14:paraId="6F57012F" w14:textId="77777777" w:rsidR="002959BC" w:rsidRPr="00683457" w:rsidRDefault="002959BC" w:rsidP="002959BC">
      <w:pPr>
        <w:pStyle w:val="ListParagraph"/>
        <w:spacing w:after="0" w:line="240" w:lineRule="auto"/>
        <w:ind w:left="737"/>
        <w:contextualSpacing w:val="0"/>
        <w:jc w:val="both"/>
        <w:rPr>
          <w:rFonts w:ascii="Simplified Arabic" w:hAnsi="Simplified Arabic" w:cs="Simplified Arabic"/>
          <w:sz w:val="28"/>
          <w:szCs w:val="28"/>
          <w:rtl/>
          <w:lang w:bidi="ar-EG"/>
        </w:rPr>
      </w:pPr>
    </w:p>
    <w:p w14:paraId="77D55ED5" w14:textId="77777777" w:rsidR="002959BC" w:rsidRPr="00683457" w:rsidRDefault="002959BC" w:rsidP="002959BC">
      <w:pPr>
        <w:pStyle w:val="ListParagraph"/>
        <w:spacing w:after="0" w:line="240" w:lineRule="auto"/>
        <w:ind w:left="360"/>
        <w:contextualSpacing w:val="0"/>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تطور نظرية جانب الطلب:</w:t>
      </w:r>
    </w:p>
    <w:p w14:paraId="4FA40DD6" w14:textId="77777777" w:rsidR="002959BC" w:rsidRPr="00683457" w:rsidRDefault="002959BC" w:rsidP="002959BC">
      <w:pPr>
        <w:ind w:firstLine="453"/>
        <w:jc w:val="both"/>
        <w:rPr>
          <w:rFonts w:ascii="Simplified Arabic" w:hAnsi="Simplified Arabic" w:cs="Simplified Arabic"/>
          <w:sz w:val="28"/>
          <w:szCs w:val="28"/>
          <w:rtl/>
          <w:lang w:bidi="ar-EG"/>
        </w:rPr>
      </w:pPr>
      <w:r w:rsidRPr="00683457">
        <w:rPr>
          <w:rFonts w:ascii="Simplified Arabic" w:hAnsi="Simplified Arabic" w:cs="Simplified Arabic"/>
          <w:sz w:val="28"/>
          <w:szCs w:val="28"/>
          <w:rtl/>
          <w:lang w:bidi="ar-EG"/>
        </w:rPr>
        <w:t xml:space="preserve">اتفق التفسير الحديث إلى أن أي زيادة في الإنفاق الكلي سوف يؤدي إلى زيادة الناتج القومي وارتفاع المستوى العام للأسعار إلا أن ذلك يتوقف على شكل منحنى العرض الكلي. </w:t>
      </w:r>
    </w:p>
    <w:p w14:paraId="63B39957" w14:textId="77777777" w:rsidR="002959BC" w:rsidRPr="00683457" w:rsidRDefault="002959BC" w:rsidP="002959BC">
      <w:pPr>
        <w:pStyle w:val="ListParagraph"/>
        <w:spacing w:after="0" w:line="240" w:lineRule="auto"/>
        <w:ind w:left="28" w:hanging="63"/>
        <w:contextualSpacing w:val="0"/>
        <w:jc w:val="center"/>
        <w:rPr>
          <w:rFonts w:ascii="Simplified Arabic" w:eastAsia="Times New Roman" w:hAnsi="Simplified Arabic" w:cs="Simplified Arabic"/>
          <w:sz w:val="28"/>
          <w:szCs w:val="28"/>
          <w:rtl/>
        </w:rPr>
      </w:pPr>
      <w:r w:rsidRPr="00683457">
        <w:rPr>
          <w:rFonts w:ascii="Simplified Arabic" w:eastAsia="Times New Roman" w:hAnsi="Simplified Arabic" w:cs="Simplified Arabic"/>
          <w:sz w:val="28"/>
          <w:szCs w:val="28"/>
          <w:rtl/>
        </w:rPr>
        <w:t>شكل رقم (1-2)</w:t>
      </w:r>
    </w:p>
    <w:p w14:paraId="7C0E8D32" w14:textId="4C452A1B" w:rsidR="002959BC" w:rsidRPr="00683457" w:rsidRDefault="002959BC" w:rsidP="002959BC">
      <w:pPr>
        <w:ind w:firstLine="453"/>
        <w:jc w:val="center"/>
        <w:rPr>
          <w:rFonts w:ascii="Simplified Arabic" w:hAnsi="Simplified Arabic" w:cs="Simplified Arabic"/>
          <w:b/>
          <w:bCs/>
          <w:sz w:val="28"/>
          <w:szCs w:val="28"/>
          <w:rtl/>
        </w:rPr>
      </w:pPr>
      <w:r>
        <w:rPr>
          <w:rFonts w:ascii="Simplified Arabic" w:eastAsiaTheme="minorEastAsia" w:hAnsi="Simplified Arabic" w:cs="Simplified Arabic"/>
          <w:sz w:val="28"/>
          <w:szCs w:val="28"/>
          <w:rtl/>
        </w:rPr>
        <mc:AlternateContent>
          <mc:Choice Requires="wpg">
            <w:drawing>
              <wp:anchor distT="0" distB="0" distL="114300" distR="114300" simplePos="0" relativeHeight="251667456" behindDoc="1" locked="0" layoutInCell="1" allowOverlap="1" wp14:anchorId="60337BB1" wp14:editId="48B7BFC8">
                <wp:simplePos x="0" y="0"/>
                <wp:positionH relativeFrom="margin">
                  <wp:align>center</wp:align>
                </wp:positionH>
                <wp:positionV relativeFrom="paragraph">
                  <wp:posOffset>180975</wp:posOffset>
                </wp:positionV>
                <wp:extent cx="4250055" cy="2030095"/>
                <wp:effectExtent l="0" t="127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0055" cy="2030095"/>
                          <a:chOff x="2681" y="11896"/>
                          <a:chExt cx="6693" cy="3686"/>
                        </a:xfrm>
                      </wpg:grpSpPr>
                      <wps:wsp>
                        <wps:cNvPr id="10" name="AutoShape 27"/>
                        <wps:cNvCnPr>
                          <a:cxnSpLocks noChangeShapeType="1"/>
                        </wps:cNvCnPr>
                        <wps:spPr bwMode="auto">
                          <a:xfrm flipH="1">
                            <a:off x="3645" y="15168"/>
                            <a:ext cx="481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8"/>
                        <wps:cNvCnPr>
                          <a:cxnSpLocks noChangeShapeType="1"/>
                        </wps:cNvCnPr>
                        <wps:spPr bwMode="auto">
                          <a:xfrm flipH="1" flipV="1">
                            <a:off x="3619" y="12056"/>
                            <a:ext cx="13" cy="31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rc 29"/>
                        <wps:cNvSpPr>
                          <a:spLocks/>
                        </wps:cNvSpPr>
                        <wps:spPr bwMode="auto">
                          <a:xfrm rot="7353264">
                            <a:off x="4194" y="12463"/>
                            <a:ext cx="2877" cy="1871"/>
                          </a:xfrm>
                          <a:custGeom>
                            <a:avLst/>
                            <a:gdLst>
                              <a:gd name="G0" fmla="+- 12950 0 0"/>
                              <a:gd name="G1" fmla="+- 21600 0 0"/>
                              <a:gd name="G2" fmla="+- 21600 0 0"/>
                              <a:gd name="T0" fmla="*/ 0 w 33490"/>
                              <a:gd name="T1" fmla="*/ 4312 h 21600"/>
                              <a:gd name="T2" fmla="*/ 33490 w 33490"/>
                              <a:gd name="T3" fmla="*/ 14915 h 21600"/>
                              <a:gd name="T4" fmla="*/ 12950 w 33490"/>
                              <a:gd name="T5" fmla="*/ 21600 h 21600"/>
                            </a:gdLst>
                            <a:ahLst/>
                            <a:cxnLst>
                              <a:cxn ang="0">
                                <a:pos x="T0" y="T1"/>
                              </a:cxn>
                              <a:cxn ang="0">
                                <a:pos x="T2" y="T3"/>
                              </a:cxn>
                              <a:cxn ang="0">
                                <a:pos x="T4" y="T5"/>
                              </a:cxn>
                            </a:cxnLst>
                            <a:rect l="0" t="0" r="r" b="b"/>
                            <a:pathLst>
                              <a:path w="33490" h="21600" fill="none" extrusionOk="0">
                                <a:moveTo>
                                  <a:pt x="0" y="4312"/>
                                </a:moveTo>
                                <a:cubicBezTo>
                                  <a:pt x="3737" y="1513"/>
                                  <a:pt x="8280" y="0"/>
                                  <a:pt x="12950" y="0"/>
                                </a:cubicBezTo>
                                <a:cubicBezTo>
                                  <a:pt x="22303" y="0"/>
                                  <a:pt x="30594" y="6020"/>
                                  <a:pt x="33489" y="14915"/>
                                </a:cubicBezTo>
                              </a:path>
                              <a:path w="33490" h="21600" stroke="0" extrusionOk="0">
                                <a:moveTo>
                                  <a:pt x="0" y="4312"/>
                                </a:moveTo>
                                <a:cubicBezTo>
                                  <a:pt x="3737" y="1513"/>
                                  <a:pt x="8280" y="0"/>
                                  <a:pt x="12950" y="0"/>
                                </a:cubicBezTo>
                                <a:cubicBezTo>
                                  <a:pt x="22303" y="0"/>
                                  <a:pt x="30594" y="6020"/>
                                  <a:pt x="33489" y="14915"/>
                                </a:cubicBezTo>
                                <a:lnTo>
                                  <a:pt x="1295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Arc 30"/>
                        <wps:cNvSpPr>
                          <a:spLocks/>
                        </wps:cNvSpPr>
                        <wps:spPr bwMode="auto">
                          <a:xfrm rot="11489862">
                            <a:off x="5240" y="12982"/>
                            <a:ext cx="2154" cy="13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31"/>
                        <wps:cNvCnPr>
                          <a:cxnSpLocks noChangeShapeType="1"/>
                        </wps:cNvCnPr>
                        <wps:spPr bwMode="auto">
                          <a:xfrm flipV="1">
                            <a:off x="5753" y="14381"/>
                            <a:ext cx="0" cy="7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32"/>
                        <wps:cNvCnPr>
                          <a:cxnSpLocks noChangeShapeType="1"/>
                        </wps:cNvCnPr>
                        <wps:spPr bwMode="auto">
                          <a:xfrm flipH="1">
                            <a:off x="3658" y="14352"/>
                            <a:ext cx="209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33"/>
                        <wps:cNvCnPr>
                          <a:cxnSpLocks noChangeShapeType="1"/>
                        </wps:cNvCnPr>
                        <wps:spPr bwMode="auto">
                          <a:xfrm flipH="1">
                            <a:off x="3606" y="14103"/>
                            <a:ext cx="260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Text Box 34"/>
                        <wps:cNvSpPr txBox="1">
                          <a:spLocks noChangeArrowheads="1"/>
                        </wps:cNvSpPr>
                        <wps:spPr bwMode="auto">
                          <a:xfrm>
                            <a:off x="2995" y="13551"/>
                            <a:ext cx="601"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ED992" w14:textId="77777777" w:rsidR="00270E6A" w:rsidRPr="00E000A6" w:rsidRDefault="00270E6A" w:rsidP="002959BC">
                              <w:pPr>
                                <w:widowControl w:val="0"/>
                                <w:rPr>
                                  <w:lang w:bidi="ar-EG"/>
                                </w:rPr>
                              </w:pPr>
                              <w:r w:rsidRPr="00E000A6">
                                <w:rPr>
                                  <w:rFonts w:hint="cs"/>
                                  <w:rtl/>
                                  <w:lang w:bidi="ar-EG"/>
                                </w:rPr>
                                <w:t>س5</w:t>
                              </w:r>
                            </w:p>
                          </w:txbxContent>
                        </wps:txbx>
                        <wps:bodyPr rot="0" vert="horz" wrap="square" lIns="91440" tIns="45720" rIns="91440" bIns="45720" anchor="t" anchorCtr="0" upright="1">
                          <a:noAutofit/>
                        </wps:bodyPr>
                      </wps:wsp>
                      <wps:wsp>
                        <wps:cNvPr id="18" name="Text Box 35"/>
                        <wps:cNvSpPr txBox="1">
                          <a:spLocks noChangeArrowheads="1"/>
                        </wps:cNvSpPr>
                        <wps:spPr bwMode="auto">
                          <a:xfrm>
                            <a:off x="2969" y="14284"/>
                            <a:ext cx="601"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0AF47" w14:textId="77777777" w:rsidR="00270E6A" w:rsidRPr="00E000A6" w:rsidRDefault="00270E6A" w:rsidP="002959BC">
                              <w:pPr>
                                <w:widowControl w:val="0"/>
                                <w:rPr>
                                  <w:lang w:bidi="ar-EG"/>
                                </w:rPr>
                              </w:pPr>
                              <w:r w:rsidRPr="00E000A6">
                                <w:rPr>
                                  <w:rFonts w:hint="cs"/>
                                  <w:rtl/>
                                  <w:lang w:bidi="ar-EG"/>
                                </w:rPr>
                                <w:t>س</w:t>
                              </w:r>
                            </w:p>
                          </w:txbxContent>
                        </wps:txbx>
                        <wps:bodyPr rot="0" vert="horz" wrap="square" lIns="91440" tIns="45720" rIns="91440" bIns="45720" anchor="t" anchorCtr="0" upright="1">
                          <a:noAutofit/>
                        </wps:bodyPr>
                      </wps:wsp>
                      <wps:wsp>
                        <wps:cNvPr id="19" name="Text Box 36"/>
                        <wps:cNvSpPr txBox="1">
                          <a:spLocks noChangeArrowheads="1"/>
                        </wps:cNvSpPr>
                        <wps:spPr bwMode="auto">
                          <a:xfrm>
                            <a:off x="4308" y="12682"/>
                            <a:ext cx="760"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529C3" w14:textId="77777777" w:rsidR="00270E6A" w:rsidRPr="00E000A6" w:rsidRDefault="00270E6A" w:rsidP="002959BC">
                              <w:pPr>
                                <w:widowControl w:val="0"/>
                                <w:rPr>
                                  <w:lang w:bidi="ar-EG"/>
                                </w:rPr>
                              </w:pPr>
                              <w:r w:rsidRPr="00E000A6">
                                <w:rPr>
                                  <w:rFonts w:hint="cs"/>
                                  <w:rtl/>
                                  <w:lang w:bidi="ar-EG"/>
                                </w:rPr>
                                <w:t xml:space="preserve">ط3 ك </w:t>
                              </w:r>
                            </w:p>
                          </w:txbxContent>
                        </wps:txbx>
                        <wps:bodyPr rot="0" vert="horz" wrap="square" lIns="91440" tIns="45720" rIns="91440" bIns="45720" anchor="t" anchorCtr="0" upright="1">
                          <a:noAutofit/>
                        </wps:bodyPr>
                      </wps:wsp>
                      <wps:wsp>
                        <wps:cNvPr id="20" name="Text Box 37"/>
                        <wps:cNvSpPr txBox="1">
                          <a:spLocks noChangeArrowheads="1"/>
                        </wps:cNvSpPr>
                        <wps:spPr bwMode="auto">
                          <a:xfrm>
                            <a:off x="2681" y="11896"/>
                            <a:ext cx="977" cy="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A9AA7" w14:textId="77777777" w:rsidR="00270E6A" w:rsidRPr="00E000A6" w:rsidRDefault="00270E6A" w:rsidP="002959BC">
                              <w:pPr>
                                <w:widowControl w:val="0"/>
                                <w:rPr>
                                  <w:lang w:bidi="ar-EG"/>
                                </w:rPr>
                              </w:pPr>
                              <w:r w:rsidRPr="00E000A6">
                                <w:rPr>
                                  <w:rFonts w:hint="cs"/>
                                  <w:rtl/>
                                  <w:lang w:bidi="ar-EG"/>
                                </w:rPr>
                                <w:t>مستوى الأسعار</w:t>
                              </w:r>
                            </w:p>
                          </w:txbxContent>
                        </wps:txbx>
                        <wps:bodyPr rot="0" vert="horz" wrap="square" lIns="91440" tIns="45720" rIns="91440" bIns="45720" anchor="t" anchorCtr="0" upright="1">
                          <a:noAutofit/>
                        </wps:bodyPr>
                      </wps:wsp>
                      <wps:wsp>
                        <wps:cNvPr id="21" name="Text Box 38"/>
                        <wps:cNvSpPr txBox="1">
                          <a:spLocks noChangeArrowheads="1"/>
                        </wps:cNvSpPr>
                        <wps:spPr bwMode="auto">
                          <a:xfrm>
                            <a:off x="7659" y="15093"/>
                            <a:ext cx="17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22806" w14:textId="77777777" w:rsidR="00270E6A" w:rsidRPr="00E000A6" w:rsidRDefault="00270E6A" w:rsidP="002959BC">
                              <w:pPr>
                                <w:widowControl w:val="0"/>
                                <w:rPr>
                                  <w:lang w:bidi="ar-EG"/>
                                </w:rPr>
                              </w:pPr>
                              <w:r w:rsidRPr="00E000A6">
                                <w:rPr>
                                  <w:rFonts w:hint="cs"/>
                                  <w:rtl/>
                                  <w:lang w:bidi="ar-EG"/>
                                </w:rPr>
                                <w:t xml:space="preserve">الناتج القومي الحقيقي  </w:t>
                              </w:r>
                            </w:p>
                          </w:txbxContent>
                        </wps:txbx>
                        <wps:bodyPr rot="0" vert="horz" wrap="square" lIns="91440" tIns="45720" rIns="91440" bIns="45720" anchor="t" anchorCtr="0" upright="1">
                          <a:noAutofit/>
                        </wps:bodyPr>
                      </wps:wsp>
                      <wps:wsp>
                        <wps:cNvPr id="22" name="Text Box 39"/>
                        <wps:cNvSpPr txBox="1">
                          <a:spLocks noChangeArrowheads="1"/>
                        </wps:cNvSpPr>
                        <wps:spPr bwMode="auto">
                          <a:xfrm>
                            <a:off x="5389" y="15156"/>
                            <a:ext cx="601"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BEF76" w14:textId="77777777" w:rsidR="00270E6A" w:rsidRPr="00E000A6" w:rsidRDefault="00270E6A" w:rsidP="002959BC">
                              <w:pPr>
                                <w:widowControl w:val="0"/>
                                <w:rPr>
                                  <w:lang w:bidi="ar-EG"/>
                                </w:rPr>
                              </w:pPr>
                              <w:r w:rsidRPr="00E000A6">
                                <w:rPr>
                                  <w:rFonts w:hint="cs"/>
                                  <w:rtl/>
                                  <w:lang w:bidi="ar-EG"/>
                                </w:rPr>
                                <w:t>ي3</w:t>
                              </w:r>
                            </w:p>
                          </w:txbxContent>
                        </wps:txbx>
                        <wps:bodyPr rot="0" vert="horz" wrap="square" lIns="91440" tIns="45720" rIns="91440" bIns="45720" anchor="t" anchorCtr="0" upright="1">
                          <a:noAutofit/>
                        </wps:bodyPr>
                      </wps:wsp>
                      <wps:wsp>
                        <wps:cNvPr id="23" name="Arc 40"/>
                        <wps:cNvSpPr>
                          <a:spLocks/>
                        </wps:cNvSpPr>
                        <wps:spPr bwMode="auto">
                          <a:xfrm rot="11489862">
                            <a:off x="4693" y="13143"/>
                            <a:ext cx="2154" cy="13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rc 41"/>
                        <wps:cNvSpPr>
                          <a:spLocks/>
                        </wps:cNvSpPr>
                        <wps:spPr bwMode="auto">
                          <a:xfrm rot="11489862">
                            <a:off x="5659" y="12717"/>
                            <a:ext cx="2154" cy="1361"/>
                          </a:xfrm>
                          <a:custGeom>
                            <a:avLst/>
                            <a:gdLst>
                              <a:gd name="G0" fmla="+- 0 0 0"/>
                              <a:gd name="G1" fmla="+- 21470 0 0"/>
                              <a:gd name="G2" fmla="+- 21600 0 0"/>
                              <a:gd name="T0" fmla="*/ 2362 w 20876"/>
                              <a:gd name="T1" fmla="*/ 0 h 21470"/>
                              <a:gd name="T2" fmla="*/ 20876 w 20876"/>
                              <a:gd name="T3" fmla="*/ 15925 h 21470"/>
                              <a:gd name="T4" fmla="*/ 0 w 20876"/>
                              <a:gd name="T5" fmla="*/ 21470 h 21470"/>
                            </a:gdLst>
                            <a:ahLst/>
                            <a:cxnLst>
                              <a:cxn ang="0">
                                <a:pos x="T0" y="T1"/>
                              </a:cxn>
                              <a:cxn ang="0">
                                <a:pos x="T2" y="T3"/>
                              </a:cxn>
                              <a:cxn ang="0">
                                <a:pos x="T4" y="T5"/>
                              </a:cxn>
                            </a:cxnLst>
                            <a:rect l="0" t="0" r="r" b="b"/>
                            <a:pathLst>
                              <a:path w="20876" h="21470" fill="none" extrusionOk="0">
                                <a:moveTo>
                                  <a:pt x="2362" y="-1"/>
                                </a:moveTo>
                                <a:cubicBezTo>
                                  <a:pt x="11230" y="975"/>
                                  <a:pt x="18585" y="7302"/>
                                  <a:pt x="20876" y="15924"/>
                                </a:cubicBezTo>
                              </a:path>
                              <a:path w="20876" h="21470" stroke="0" extrusionOk="0">
                                <a:moveTo>
                                  <a:pt x="2362" y="-1"/>
                                </a:moveTo>
                                <a:cubicBezTo>
                                  <a:pt x="11230" y="975"/>
                                  <a:pt x="18585" y="7302"/>
                                  <a:pt x="20876" y="15924"/>
                                </a:cubicBezTo>
                                <a:lnTo>
                                  <a:pt x="0" y="21470"/>
                                </a:lnTo>
                                <a:close/>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AutoShape 42"/>
                        <wps:cNvCnPr>
                          <a:cxnSpLocks noChangeShapeType="1"/>
                        </wps:cNvCnPr>
                        <wps:spPr bwMode="auto">
                          <a:xfrm flipV="1">
                            <a:off x="6165" y="14109"/>
                            <a:ext cx="0" cy="107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Text Box 43"/>
                        <wps:cNvSpPr txBox="1">
                          <a:spLocks noChangeArrowheads="1"/>
                        </wps:cNvSpPr>
                        <wps:spPr bwMode="auto">
                          <a:xfrm>
                            <a:off x="6646" y="12375"/>
                            <a:ext cx="601"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43D77" w14:textId="77777777" w:rsidR="00270E6A" w:rsidRPr="00E000A6" w:rsidRDefault="00270E6A" w:rsidP="002959BC">
                              <w:pPr>
                                <w:widowControl w:val="0"/>
                                <w:rPr>
                                  <w:lang w:bidi="ar-EG"/>
                                </w:rPr>
                              </w:pPr>
                              <w:r w:rsidRPr="00E000A6">
                                <w:rPr>
                                  <w:rFonts w:hint="cs"/>
                                  <w:rtl/>
                                  <w:lang w:bidi="ar-EG"/>
                                </w:rPr>
                                <w:t xml:space="preserve">ع ك </w:t>
                              </w:r>
                            </w:p>
                          </w:txbxContent>
                        </wps:txbx>
                        <wps:bodyPr rot="0" vert="horz" wrap="square" lIns="91440" tIns="45720" rIns="91440" bIns="45720" anchor="t" anchorCtr="0" upright="1">
                          <a:noAutofit/>
                        </wps:bodyPr>
                      </wps:wsp>
                      <wps:wsp>
                        <wps:cNvPr id="27" name="AutoShape 44"/>
                        <wps:cNvCnPr>
                          <a:cxnSpLocks noChangeShapeType="1"/>
                        </wps:cNvCnPr>
                        <wps:spPr bwMode="auto">
                          <a:xfrm flipV="1">
                            <a:off x="6501" y="13771"/>
                            <a:ext cx="0" cy="141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45"/>
                        <wps:cNvCnPr>
                          <a:cxnSpLocks noChangeShapeType="1"/>
                        </wps:cNvCnPr>
                        <wps:spPr bwMode="auto">
                          <a:xfrm flipH="1">
                            <a:off x="3632" y="13794"/>
                            <a:ext cx="285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Text Box 46"/>
                        <wps:cNvSpPr txBox="1">
                          <a:spLocks noChangeArrowheads="1"/>
                        </wps:cNvSpPr>
                        <wps:spPr bwMode="auto">
                          <a:xfrm>
                            <a:off x="3044" y="12886"/>
                            <a:ext cx="601"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58E80" w14:textId="77777777" w:rsidR="00270E6A" w:rsidRPr="00E000A6" w:rsidRDefault="00270E6A" w:rsidP="002959BC">
                              <w:pPr>
                                <w:widowControl w:val="0"/>
                                <w:rPr>
                                  <w:lang w:bidi="ar-EG"/>
                                </w:rPr>
                              </w:pPr>
                              <w:r w:rsidRPr="00E000A6">
                                <w:rPr>
                                  <w:rFonts w:hint="cs"/>
                                  <w:rtl/>
                                  <w:lang w:bidi="ar-EG"/>
                                </w:rPr>
                                <w:t>س6</w:t>
                              </w:r>
                            </w:p>
                          </w:txbxContent>
                        </wps:txbx>
                        <wps:bodyPr rot="0" vert="horz" wrap="square" lIns="91440" tIns="45720" rIns="91440" bIns="45720" anchor="t" anchorCtr="0" upright="1">
                          <a:noAutofit/>
                        </wps:bodyPr>
                      </wps:wsp>
                      <wps:wsp>
                        <wps:cNvPr id="30" name="Text Box 47"/>
                        <wps:cNvSpPr txBox="1">
                          <a:spLocks noChangeArrowheads="1"/>
                        </wps:cNvSpPr>
                        <wps:spPr bwMode="auto">
                          <a:xfrm>
                            <a:off x="5304" y="12603"/>
                            <a:ext cx="80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0D59F" w14:textId="77777777" w:rsidR="00270E6A" w:rsidRPr="00E000A6" w:rsidRDefault="00270E6A" w:rsidP="002959BC">
                              <w:pPr>
                                <w:widowControl w:val="0"/>
                                <w:rPr>
                                  <w:lang w:bidi="ar-EG"/>
                                </w:rPr>
                              </w:pPr>
                              <w:r w:rsidRPr="00E000A6">
                                <w:rPr>
                                  <w:rFonts w:hint="cs"/>
                                  <w:rtl/>
                                  <w:lang w:bidi="ar-EG"/>
                                </w:rPr>
                                <w:t xml:space="preserve">ط5 ك </w:t>
                              </w:r>
                            </w:p>
                          </w:txbxContent>
                        </wps:txbx>
                        <wps:bodyPr rot="0" vert="horz" wrap="square" lIns="91440" tIns="45720" rIns="91440" bIns="45720" anchor="t" anchorCtr="0" upright="1">
                          <a:noAutofit/>
                        </wps:bodyPr>
                      </wps:wsp>
                      <wps:wsp>
                        <wps:cNvPr id="31" name="Arc 48"/>
                        <wps:cNvSpPr>
                          <a:spLocks/>
                        </wps:cNvSpPr>
                        <wps:spPr bwMode="auto">
                          <a:xfrm rot="11489862">
                            <a:off x="4211" y="13337"/>
                            <a:ext cx="2154" cy="13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AutoShape 49"/>
                        <wps:cNvCnPr>
                          <a:cxnSpLocks noChangeShapeType="1"/>
                        </wps:cNvCnPr>
                        <wps:spPr bwMode="auto">
                          <a:xfrm flipV="1">
                            <a:off x="5112" y="14445"/>
                            <a:ext cx="0" cy="7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50"/>
                        <wps:cNvCnPr>
                          <a:cxnSpLocks noChangeShapeType="1"/>
                        </wps:cNvCnPr>
                        <wps:spPr bwMode="auto">
                          <a:xfrm flipV="1">
                            <a:off x="4736" y="14445"/>
                            <a:ext cx="0" cy="7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Arc 51"/>
                        <wps:cNvSpPr>
                          <a:spLocks/>
                        </wps:cNvSpPr>
                        <wps:spPr bwMode="auto">
                          <a:xfrm rot="11489862">
                            <a:off x="3979" y="13462"/>
                            <a:ext cx="2154" cy="13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AutoShape 52"/>
                        <wps:cNvCnPr>
                          <a:cxnSpLocks noChangeShapeType="1"/>
                        </wps:cNvCnPr>
                        <wps:spPr bwMode="auto">
                          <a:xfrm flipH="1">
                            <a:off x="3620" y="14455"/>
                            <a:ext cx="153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Text Box 53"/>
                        <wps:cNvSpPr txBox="1">
                          <a:spLocks noChangeArrowheads="1"/>
                        </wps:cNvSpPr>
                        <wps:spPr bwMode="auto">
                          <a:xfrm>
                            <a:off x="4808" y="15145"/>
                            <a:ext cx="601"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491EC" w14:textId="77777777" w:rsidR="00270E6A" w:rsidRPr="00E000A6" w:rsidRDefault="00270E6A" w:rsidP="002959BC">
                              <w:pPr>
                                <w:widowControl w:val="0"/>
                                <w:rPr>
                                  <w:lang w:bidi="ar-EG"/>
                                </w:rPr>
                              </w:pPr>
                              <w:r w:rsidRPr="00E000A6">
                                <w:rPr>
                                  <w:rFonts w:hint="cs"/>
                                  <w:rtl/>
                                  <w:lang w:bidi="ar-EG"/>
                                </w:rPr>
                                <w:t>ي2</w:t>
                              </w:r>
                            </w:p>
                          </w:txbxContent>
                        </wps:txbx>
                        <wps:bodyPr rot="0" vert="horz" wrap="square" lIns="91440" tIns="45720" rIns="91440" bIns="45720" anchor="t" anchorCtr="0" upright="1">
                          <a:noAutofit/>
                        </wps:bodyPr>
                      </wps:wsp>
                      <wps:wsp>
                        <wps:cNvPr id="37" name="Text Box 54"/>
                        <wps:cNvSpPr txBox="1">
                          <a:spLocks noChangeArrowheads="1"/>
                        </wps:cNvSpPr>
                        <wps:spPr bwMode="auto">
                          <a:xfrm>
                            <a:off x="4386" y="15145"/>
                            <a:ext cx="601"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F53D2" w14:textId="77777777" w:rsidR="00270E6A" w:rsidRPr="00E000A6" w:rsidRDefault="00270E6A" w:rsidP="002959BC">
                              <w:pPr>
                                <w:widowControl w:val="0"/>
                                <w:rPr>
                                  <w:lang w:bidi="ar-EG"/>
                                </w:rPr>
                              </w:pPr>
                              <w:r w:rsidRPr="00E000A6">
                                <w:rPr>
                                  <w:rFonts w:hint="cs"/>
                                  <w:rtl/>
                                  <w:lang w:bidi="ar-EG"/>
                                </w:rPr>
                                <w:t>ي1</w:t>
                              </w:r>
                            </w:p>
                          </w:txbxContent>
                        </wps:txbx>
                        <wps:bodyPr rot="0" vert="horz" wrap="square" lIns="91440" tIns="45720" rIns="91440" bIns="45720" anchor="t" anchorCtr="0" upright="1">
                          <a:noAutofit/>
                        </wps:bodyPr>
                      </wps:wsp>
                      <wps:wsp>
                        <wps:cNvPr id="38" name="Text Box 55"/>
                        <wps:cNvSpPr txBox="1">
                          <a:spLocks noChangeArrowheads="1"/>
                        </wps:cNvSpPr>
                        <wps:spPr bwMode="auto">
                          <a:xfrm>
                            <a:off x="5830" y="15143"/>
                            <a:ext cx="601"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42B90" w14:textId="77777777" w:rsidR="00270E6A" w:rsidRPr="00E000A6" w:rsidRDefault="00270E6A" w:rsidP="002959BC">
                              <w:pPr>
                                <w:widowControl w:val="0"/>
                                <w:rPr>
                                  <w:lang w:bidi="ar-EG"/>
                                </w:rPr>
                              </w:pPr>
                              <w:r w:rsidRPr="00E000A6">
                                <w:rPr>
                                  <w:rFonts w:hint="cs"/>
                                  <w:rtl/>
                                  <w:lang w:bidi="ar-EG"/>
                                </w:rPr>
                                <w:t>ي4</w:t>
                              </w:r>
                            </w:p>
                          </w:txbxContent>
                        </wps:txbx>
                        <wps:bodyPr rot="0" vert="horz" wrap="square" lIns="91440" tIns="45720" rIns="91440" bIns="45720" anchor="t" anchorCtr="0" upright="1">
                          <a:noAutofit/>
                        </wps:bodyPr>
                      </wps:wsp>
                      <wps:wsp>
                        <wps:cNvPr id="39" name="Text Box 56"/>
                        <wps:cNvSpPr txBox="1">
                          <a:spLocks noChangeArrowheads="1"/>
                        </wps:cNvSpPr>
                        <wps:spPr bwMode="auto">
                          <a:xfrm>
                            <a:off x="6210" y="15169"/>
                            <a:ext cx="601"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A8F46" w14:textId="77777777" w:rsidR="00270E6A" w:rsidRPr="00E000A6" w:rsidRDefault="00270E6A" w:rsidP="002959BC">
                              <w:pPr>
                                <w:widowControl w:val="0"/>
                                <w:rPr>
                                  <w:lang w:bidi="ar-EG"/>
                                </w:rPr>
                              </w:pPr>
                              <w:r w:rsidRPr="00E000A6">
                                <w:rPr>
                                  <w:rFonts w:hint="cs"/>
                                  <w:rtl/>
                                  <w:lang w:bidi="ar-EG"/>
                                </w:rPr>
                                <w:t>ي5</w:t>
                              </w:r>
                            </w:p>
                          </w:txbxContent>
                        </wps:txbx>
                        <wps:bodyPr rot="0" vert="horz" wrap="square" lIns="91440" tIns="45720" rIns="91440" bIns="45720" anchor="t" anchorCtr="0" upright="1">
                          <a:noAutofit/>
                        </wps:bodyPr>
                      </wps:wsp>
                      <wps:wsp>
                        <wps:cNvPr id="40" name="AutoShape 57"/>
                        <wps:cNvCnPr>
                          <a:cxnSpLocks noChangeShapeType="1"/>
                        </wps:cNvCnPr>
                        <wps:spPr bwMode="auto">
                          <a:xfrm flipV="1">
                            <a:off x="6836" y="13040"/>
                            <a:ext cx="0" cy="21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AutoShape 58"/>
                        <wps:cNvCnPr>
                          <a:cxnSpLocks noChangeShapeType="1"/>
                        </wps:cNvCnPr>
                        <wps:spPr bwMode="auto">
                          <a:xfrm flipH="1">
                            <a:off x="3632" y="13073"/>
                            <a:ext cx="323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Arc 59"/>
                        <wps:cNvSpPr>
                          <a:spLocks/>
                        </wps:cNvSpPr>
                        <wps:spPr bwMode="auto">
                          <a:xfrm rot="11489862">
                            <a:off x="6269" y="12200"/>
                            <a:ext cx="2154" cy="1361"/>
                          </a:xfrm>
                          <a:custGeom>
                            <a:avLst/>
                            <a:gdLst>
                              <a:gd name="G0" fmla="+- 0 0 0"/>
                              <a:gd name="G1" fmla="+- 21470 0 0"/>
                              <a:gd name="G2" fmla="+- 21600 0 0"/>
                              <a:gd name="T0" fmla="*/ 2362 w 20876"/>
                              <a:gd name="T1" fmla="*/ 0 h 21470"/>
                              <a:gd name="T2" fmla="*/ 20876 w 20876"/>
                              <a:gd name="T3" fmla="*/ 15925 h 21470"/>
                              <a:gd name="T4" fmla="*/ 0 w 20876"/>
                              <a:gd name="T5" fmla="*/ 21470 h 21470"/>
                            </a:gdLst>
                            <a:ahLst/>
                            <a:cxnLst>
                              <a:cxn ang="0">
                                <a:pos x="T0" y="T1"/>
                              </a:cxn>
                              <a:cxn ang="0">
                                <a:pos x="T2" y="T3"/>
                              </a:cxn>
                              <a:cxn ang="0">
                                <a:pos x="T4" y="T5"/>
                              </a:cxn>
                            </a:cxnLst>
                            <a:rect l="0" t="0" r="r" b="b"/>
                            <a:pathLst>
                              <a:path w="20876" h="21470" fill="none" extrusionOk="0">
                                <a:moveTo>
                                  <a:pt x="2362" y="-1"/>
                                </a:moveTo>
                                <a:cubicBezTo>
                                  <a:pt x="11230" y="975"/>
                                  <a:pt x="18585" y="7302"/>
                                  <a:pt x="20876" y="15924"/>
                                </a:cubicBezTo>
                              </a:path>
                              <a:path w="20876" h="21470" stroke="0" extrusionOk="0">
                                <a:moveTo>
                                  <a:pt x="2362" y="-1"/>
                                </a:moveTo>
                                <a:cubicBezTo>
                                  <a:pt x="11230" y="975"/>
                                  <a:pt x="18585" y="7302"/>
                                  <a:pt x="20876" y="15924"/>
                                </a:cubicBezTo>
                                <a:lnTo>
                                  <a:pt x="0" y="21470"/>
                                </a:lnTo>
                                <a:close/>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Text Box 60"/>
                        <wps:cNvSpPr txBox="1">
                          <a:spLocks noChangeArrowheads="1"/>
                        </wps:cNvSpPr>
                        <wps:spPr bwMode="auto">
                          <a:xfrm>
                            <a:off x="6628" y="15145"/>
                            <a:ext cx="601"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6AD66" w14:textId="77777777" w:rsidR="00270E6A" w:rsidRPr="00E000A6" w:rsidRDefault="00270E6A" w:rsidP="002959BC">
                              <w:pPr>
                                <w:widowControl w:val="0"/>
                                <w:rPr>
                                  <w:lang w:bidi="ar-EG"/>
                                </w:rPr>
                              </w:pPr>
                              <w:r w:rsidRPr="00E000A6">
                                <w:rPr>
                                  <w:rFonts w:hint="cs"/>
                                  <w:rtl/>
                                  <w:lang w:bidi="ar-EG"/>
                                </w:rPr>
                                <w:t>ي6</w:t>
                              </w:r>
                            </w:p>
                          </w:txbxContent>
                        </wps:txbx>
                        <wps:bodyPr rot="0" vert="horz" wrap="square" lIns="91440" tIns="45720" rIns="91440" bIns="45720" anchor="t" anchorCtr="0" upright="1">
                          <a:noAutofit/>
                        </wps:bodyPr>
                      </wps:wsp>
                      <wps:wsp>
                        <wps:cNvPr id="44" name="Text Box 61"/>
                        <wps:cNvSpPr txBox="1">
                          <a:spLocks noChangeArrowheads="1"/>
                        </wps:cNvSpPr>
                        <wps:spPr bwMode="auto">
                          <a:xfrm>
                            <a:off x="3613" y="13008"/>
                            <a:ext cx="760"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2A09C" w14:textId="77777777" w:rsidR="00270E6A" w:rsidRPr="00E000A6" w:rsidRDefault="00270E6A" w:rsidP="002959BC">
                              <w:pPr>
                                <w:widowControl w:val="0"/>
                                <w:rPr>
                                  <w:lang w:bidi="ar-EG"/>
                                </w:rPr>
                              </w:pPr>
                              <w:r w:rsidRPr="00E000A6">
                                <w:rPr>
                                  <w:rFonts w:hint="cs"/>
                                  <w:rtl/>
                                  <w:lang w:bidi="ar-EG"/>
                                </w:rPr>
                                <w:t xml:space="preserve">ط1 ك </w:t>
                              </w:r>
                            </w:p>
                          </w:txbxContent>
                        </wps:txbx>
                        <wps:bodyPr rot="0" vert="horz" wrap="square" lIns="91440" tIns="45720" rIns="91440" bIns="45720" anchor="t" anchorCtr="0" upright="1">
                          <a:noAutofit/>
                        </wps:bodyPr>
                      </wps:wsp>
                      <wps:wsp>
                        <wps:cNvPr id="45" name="Text Box 62"/>
                        <wps:cNvSpPr txBox="1">
                          <a:spLocks noChangeArrowheads="1"/>
                        </wps:cNvSpPr>
                        <wps:spPr bwMode="auto">
                          <a:xfrm>
                            <a:off x="3920" y="12800"/>
                            <a:ext cx="760"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E57F5" w14:textId="77777777" w:rsidR="00270E6A" w:rsidRPr="00E000A6" w:rsidRDefault="00270E6A" w:rsidP="002959BC">
                              <w:pPr>
                                <w:widowControl w:val="0"/>
                                <w:rPr>
                                  <w:lang w:bidi="ar-EG"/>
                                </w:rPr>
                              </w:pPr>
                              <w:r w:rsidRPr="00E000A6">
                                <w:rPr>
                                  <w:rFonts w:hint="cs"/>
                                  <w:rtl/>
                                  <w:lang w:bidi="ar-EG"/>
                                </w:rPr>
                                <w:t xml:space="preserve">ط2 ك </w:t>
                              </w:r>
                            </w:p>
                          </w:txbxContent>
                        </wps:txbx>
                        <wps:bodyPr rot="0" vert="horz" wrap="square" lIns="91440" tIns="45720" rIns="91440" bIns="45720" anchor="t" anchorCtr="0" upright="1">
                          <a:noAutofit/>
                        </wps:bodyPr>
                      </wps:wsp>
                      <wps:wsp>
                        <wps:cNvPr id="46" name="Text Box 63"/>
                        <wps:cNvSpPr txBox="1">
                          <a:spLocks noChangeArrowheads="1"/>
                        </wps:cNvSpPr>
                        <wps:spPr bwMode="auto">
                          <a:xfrm>
                            <a:off x="4827" y="12555"/>
                            <a:ext cx="80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B88AD" w14:textId="77777777" w:rsidR="00270E6A" w:rsidRPr="00E000A6" w:rsidRDefault="00270E6A" w:rsidP="002959BC">
                              <w:pPr>
                                <w:widowControl w:val="0"/>
                                <w:rPr>
                                  <w:lang w:bidi="ar-EG"/>
                                </w:rPr>
                              </w:pPr>
                              <w:r w:rsidRPr="00E000A6">
                                <w:rPr>
                                  <w:rFonts w:hint="cs"/>
                                  <w:rtl/>
                                  <w:lang w:bidi="ar-EG"/>
                                </w:rPr>
                                <w:t xml:space="preserve">ط4 ك </w:t>
                              </w:r>
                            </w:p>
                          </w:txbxContent>
                        </wps:txbx>
                        <wps:bodyPr rot="0" vert="horz" wrap="square" lIns="91440" tIns="45720" rIns="91440" bIns="45720" anchor="t" anchorCtr="0" upright="1">
                          <a:noAutofit/>
                        </wps:bodyPr>
                      </wps:wsp>
                      <wps:wsp>
                        <wps:cNvPr id="47" name="Text Box 64"/>
                        <wps:cNvSpPr txBox="1">
                          <a:spLocks noChangeArrowheads="1"/>
                        </wps:cNvSpPr>
                        <wps:spPr bwMode="auto">
                          <a:xfrm>
                            <a:off x="5759" y="12046"/>
                            <a:ext cx="80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380F6" w14:textId="77777777" w:rsidR="00270E6A" w:rsidRPr="00E000A6" w:rsidRDefault="00270E6A" w:rsidP="002959BC">
                              <w:pPr>
                                <w:widowControl w:val="0"/>
                                <w:rPr>
                                  <w:lang w:bidi="ar-EG"/>
                                </w:rPr>
                              </w:pPr>
                              <w:r w:rsidRPr="00E000A6">
                                <w:rPr>
                                  <w:rFonts w:hint="cs"/>
                                  <w:rtl/>
                                  <w:lang w:bidi="ar-EG"/>
                                </w:rPr>
                                <w:t xml:space="preserve">ط6 ك </w:t>
                              </w:r>
                            </w:p>
                          </w:txbxContent>
                        </wps:txbx>
                        <wps:bodyPr rot="0" vert="horz" wrap="square" lIns="91440" tIns="45720" rIns="91440" bIns="45720" anchor="t" anchorCtr="0" upright="1">
                          <a:noAutofit/>
                        </wps:bodyPr>
                      </wps:wsp>
                      <wps:wsp>
                        <wps:cNvPr id="48" name="Text Box 65"/>
                        <wps:cNvSpPr txBox="1">
                          <a:spLocks noChangeArrowheads="1"/>
                        </wps:cNvSpPr>
                        <wps:spPr bwMode="auto">
                          <a:xfrm>
                            <a:off x="3021" y="13882"/>
                            <a:ext cx="601"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D3D4D" w14:textId="77777777" w:rsidR="00270E6A" w:rsidRPr="00E000A6" w:rsidRDefault="00270E6A" w:rsidP="002959BC">
                              <w:pPr>
                                <w:widowControl w:val="0"/>
                                <w:rPr>
                                  <w:lang w:bidi="ar-EG"/>
                                </w:rPr>
                              </w:pPr>
                              <w:r w:rsidRPr="00E000A6">
                                <w:rPr>
                                  <w:rFonts w:hint="cs"/>
                                  <w:rtl/>
                                  <w:lang w:bidi="ar-EG"/>
                                </w:rPr>
                                <w:t>س4</w:t>
                              </w:r>
                            </w:p>
                          </w:txbxContent>
                        </wps:txbx>
                        <wps:bodyPr rot="0" vert="horz" wrap="square" lIns="91440" tIns="45720" rIns="91440" bIns="45720" anchor="t" anchorCtr="0" upright="1">
                          <a:noAutofit/>
                        </wps:bodyPr>
                      </wps:wsp>
                      <wps:wsp>
                        <wps:cNvPr id="49" name="Text Box 66"/>
                        <wps:cNvSpPr txBox="1">
                          <a:spLocks noChangeArrowheads="1"/>
                        </wps:cNvSpPr>
                        <wps:spPr bwMode="auto">
                          <a:xfrm>
                            <a:off x="3005" y="14091"/>
                            <a:ext cx="601"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03448" w14:textId="77777777" w:rsidR="00270E6A" w:rsidRPr="00E000A6" w:rsidRDefault="00270E6A" w:rsidP="002959BC">
                              <w:pPr>
                                <w:widowControl w:val="0"/>
                                <w:rPr>
                                  <w:lang w:bidi="ar-EG"/>
                                </w:rPr>
                              </w:pPr>
                              <w:r w:rsidRPr="00E000A6">
                                <w:rPr>
                                  <w:rFonts w:hint="cs"/>
                                  <w:rtl/>
                                  <w:lang w:bidi="ar-EG"/>
                                </w:rPr>
                                <w:t>س3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337BB1" id="Group 9" o:spid="_x0000_s1048" style="position:absolute;left:0;text-align:left;margin-left:0;margin-top:14.25pt;width:334.65pt;height:159.85pt;z-index:-251649024;mso-position-horizontal:center;mso-position-horizontal-relative:margin" coordorigin="2681,11896" coordsize="6693,3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">
                <v:shape id="AutoShape 27" o:spid="_x0000_s1049" type="#_x0000_t32" style="position:absolute;left:3645;top:15168;width:4819;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"/>
                <v:shape id="AutoShape 28" o:spid="_x0000_s1050" type="#_x0000_t32" style="position:absolute;left:3619;top:12056;width:13;height:311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"/>
                <v:shape id="Arc 29" o:spid="_x0000_s1051" style="position:absolute;left:4194;top:12463;width:2877;height:1871;rotation:8031725fd;visibility:visible;mso-wrap-style:square;v-text-anchor:top" coordsize="3349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" path="m,4312nfc3737,1513,8280,,12950,v9353,,17644,6020,20539,14915em,4312nsc3737,1513,8280,,12950,v9353,,17644,6020,20539,14915l12950,21600,,4312xe" filled="f">
                  <v:path arrowok="t" o:extrusionok="f" o:connecttype="custom" o:connectlocs="0,374;2877,1292;1112,1871" o:connectangles="0,0,0"/>
                </v:shape>
                <v:shape id="Arc 30" o:spid="_x0000_s1052" style="position:absolute;left:5240;top:12982;width:2154;height:1361;rotation:-11042967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" path="m,nfc11929,,21600,9670,21600,21600em,nsc11929,,21600,9670,21600,21600l,21600,,xe" filled="f">
                  <v:stroke dashstyle="longDash"/>
                  <v:path arrowok="t" o:extrusionok="f" o:connecttype="custom" o:connectlocs="0,0;2154,1361;0,1361" o:connectangles="0,0,0"/>
                </v:shape>
                <v:shape id="AutoShape 31" o:spid="_x0000_s1053" type="#_x0000_t32" style="position:absolute;left:5753;top:14381;width:0;height:7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"/>
                <v:shape id="AutoShape 32" o:spid="_x0000_s1054" type="#_x0000_t32" style="position:absolute;left:3658;top:14352;width:209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"/>
                <v:shape id="AutoShape 33" o:spid="_x0000_s1055" type="#_x0000_t32" style="position:absolute;left:3606;top:14103;width:2608;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"/>
                <v:shape id="Text Box 34" o:spid="_x0000_s1056" type="#_x0000_t202" style="position:absolute;left:2995;top:13551;width:601;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788ED992" w14:textId="77777777" w:rsidR="00270E6A" w:rsidRPr="00E000A6" w:rsidRDefault="00270E6A" w:rsidP="002959BC">
                        <w:pPr>
                          <w:widowControl w:val="0"/>
                          <w:rPr>
                            <w:lang w:bidi="ar-EG"/>
                          </w:rPr>
                        </w:pPr>
                        <w:r w:rsidRPr="00E000A6">
                          <w:rPr>
                            <w:rFonts w:hint="cs"/>
                            <w:rtl/>
                            <w:lang w:bidi="ar-EG"/>
                          </w:rPr>
                          <w:t>س5</w:t>
                        </w:r>
                      </w:p>
                    </w:txbxContent>
                  </v:textbox>
                </v:shape>
                <v:shape id="Text Box 35" o:spid="_x0000_s1057" type="#_x0000_t202" style="position:absolute;left:2969;top:14284;width:601;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27B0AF47" w14:textId="77777777" w:rsidR="00270E6A" w:rsidRPr="00E000A6" w:rsidRDefault="00270E6A" w:rsidP="002959BC">
                        <w:pPr>
                          <w:widowControl w:val="0"/>
                          <w:rPr>
                            <w:lang w:bidi="ar-EG"/>
                          </w:rPr>
                        </w:pPr>
                        <w:r w:rsidRPr="00E000A6">
                          <w:rPr>
                            <w:rFonts w:hint="cs"/>
                            <w:rtl/>
                            <w:lang w:bidi="ar-EG"/>
                          </w:rPr>
                          <w:t>س</w:t>
                        </w:r>
                      </w:p>
                    </w:txbxContent>
                  </v:textbox>
                </v:shape>
                <v:shape id="Text Box 36" o:spid="_x0000_s1058" type="#_x0000_t202" style="position:absolute;left:4308;top:12682;width:760;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184529C3" w14:textId="77777777" w:rsidR="00270E6A" w:rsidRPr="00E000A6" w:rsidRDefault="00270E6A" w:rsidP="002959BC">
                        <w:pPr>
                          <w:widowControl w:val="0"/>
                          <w:rPr>
                            <w:lang w:bidi="ar-EG"/>
                          </w:rPr>
                        </w:pPr>
                        <w:r w:rsidRPr="00E000A6">
                          <w:rPr>
                            <w:rFonts w:hint="cs"/>
                            <w:rtl/>
                            <w:lang w:bidi="ar-EG"/>
                          </w:rPr>
                          <w:t xml:space="preserve">ط3 ك </w:t>
                        </w:r>
                      </w:p>
                    </w:txbxContent>
                  </v:textbox>
                </v:shape>
                <v:shape id="Text Box 37" o:spid="_x0000_s1059" type="#_x0000_t202" style="position:absolute;left:2681;top:11896;width:977;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6A5A9AA7" w14:textId="77777777" w:rsidR="00270E6A" w:rsidRPr="00E000A6" w:rsidRDefault="00270E6A" w:rsidP="002959BC">
                        <w:pPr>
                          <w:widowControl w:val="0"/>
                          <w:rPr>
                            <w:lang w:bidi="ar-EG"/>
                          </w:rPr>
                        </w:pPr>
                        <w:r w:rsidRPr="00E000A6">
                          <w:rPr>
                            <w:rFonts w:hint="cs"/>
                            <w:rtl/>
                            <w:lang w:bidi="ar-EG"/>
                          </w:rPr>
                          <w:t>مستوى الأسعار</w:t>
                        </w:r>
                      </w:p>
                    </w:txbxContent>
                  </v:textbox>
                </v:shape>
                <v:shape id="Text Box 38" o:spid="_x0000_s1060" type="#_x0000_t202" style="position:absolute;left:7659;top:15093;width:1715;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63422806" w14:textId="77777777" w:rsidR="00270E6A" w:rsidRPr="00E000A6" w:rsidRDefault="00270E6A" w:rsidP="002959BC">
                        <w:pPr>
                          <w:widowControl w:val="0"/>
                          <w:rPr>
                            <w:lang w:bidi="ar-EG"/>
                          </w:rPr>
                        </w:pPr>
                        <w:r w:rsidRPr="00E000A6">
                          <w:rPr>
                            <w:rFonts w:hint="cs"/>
                            <w:rtl/>
                            <w:lang w:bidi="ar-EG"/>
                          </w:rPr>
                          <w:t xml:space="preserve">الناتج القومي الحقيقي  </w:t>
                        </w:r>
                      </w:p>
                    </w:txbxContent>
                  </v:textbox>
                </v:shape>
                <v:shape id="Text Box 39" o:spid="_x0000_s1061" type="#_x0000_t202" style="position:absolute;left:5389;top:15156;width:601;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1BABEF76" w14:textId="77777777" w:rsidR="00270E6A" w:rsidRPr="00E000A6" w:rsidRDefault="00270E6A" w:rsidP="002959BC">
                        <w:pPr>
                          <w:widowControl w:val="0"/>
                          <w:rPr>
                            <w:lang w:bidi="ar-EG"/>
                          </w:rPr>
                        </w:pPr>
                        <w:r w:rsidRPr="00E000A6">
                          <w:rPr>
                            <w:rFonts w:hint="cs"/>
                            <w:rtl/>
                            <w:lang w:bidi="ar-EG"/>
                          </w:rPr>
                          <w:t>ي3</w:t>
                        </w:r>
                      </w:p>
                    </w:txbxContent>
                  </v:textbox>
                </v:shape>
                <v:shape id="Arc 40" o:spid="_x0000_s1062" style="position:absolute;left:4693;top:13143;width:2154;height:1361;rotation:-11042967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" path="m,nfc11929,,21600,9670,21600,21600em,nsc11929,,21600,9670,21600,21600l,21600,,xe" filled="f">
                  <v:stroke dashstyle="longDash"/>
                  <v:path arrowok="t" o:extrusionok="f" o:connecttype="custom" o:connectlocs="0,0;2154,1361;0,1361" o:connectangles="0,0,0"/>
                </v:shape>
                <v:shape id="Arc 41" o:spid="_x0000_s1063" style="position:absolute;left:5659;top:12717;width:2154;height:1361;rotation:-11042967fd;visibility:visible;mso-wrap-style:square;v-text-anchor:top" coordsize="20876,2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" path="m2362,-1nfc11230,975,18585,7302,20876,15924em2362,-1nsc11230,975,18585,7302,20876,15924l,21470,2362,-1xe" filled="f">
                  <v:stroke dashstyle="longDash"/>
                  <v:path arrowok="t" o:extrusionok="f" o:connecttype="custom" o:connectlocs="244,0;2154,1009;0,1361" o:connectangles="0,0,0"/>
                </v:shape>
                <v:shape id="AutoShape 42" o:spid="_x0000_s1064" type="#_x0000_t32" style="position:absolute;left:6165;top:14109;width:0;height:10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lNzwwAAANsAAAAPAAAAZHJzL2Rvd25yZXYueG1sRI9Bi8Iw&#10;FITvC/6H8AQvy5pWWJ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JRZTc8MAAADbAAAADwAA&#10;AAAAAAAAAAAAAAAHAgAAZHJzL2Rvd25yZXYueG1sUEsFBgAAAAADAAMAtwAAAPcCAAAAAA==&#10;"/>
                <v:shape id="Text Box 43" o:spid="_x0000_s1065" type="#_x0000_t202" style="position:absolute;left:6646;top:12375;width:601;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72943D77" w14:textId="77777777" w:rsidR="00270E6A" w:rsidRPr="00E000A6" w:rsidRDefault="00270E6A" w:rsidP="002959BC">
                        <w:pPr>
                          <w:widowControl w:val="0"/>
                          <w:rPr>
                            <w:lang w:bidi="ar-EG"/>
                          </w:rPr>
                        </w:pPr>
                        <w:r w:rsidRPr="00E000A6">
                          <w:rPr>
                            <w:rFonts w:hint="cs"/>
                            <w:rtl/>
                            <w:lang w:bidi="ar-EG"/>
                          </w:rPr>
                          <w:t xml:space="preserve">ع ك </w:t>
                        </w:r>
                      </w:p>
                    </w:txbxContent>
                  </v:textbox>
                </v:shape>
                <v:shape id="AutoShape 44" o:spid="_x0000_s1066" type="#_x0000_t32" style="position:absolute;left:6501;top:13771;width:0;height:14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"/>
                <v:shape id="AutoShape 45" o:spid="_x0000_s1067" type="#_x0000_t32" style="position:absolute;left:3632;top:13794;width:285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"/>
                <v:shape id="Text Box 46" o:spid="_x0000_s1068" type="#_x0000_t202" style="position:absolute;left:3044;top:12886;width:601;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71958E80" w14:textId="77777777" w:rsidR="00270E6A" w:rsidRPr="00E000A6" w:rsidRDefault="00270E6A" w:rsidP="002959BC">
                        <w:pPr>
                          <w:widowControl w:val="0"/>
                          <w:rPr>
                            <w:lang w:bidi="ar-EG"/>
                          </w:rPr>
                        </w:pPr>
                        <w:r w:rsidRPr="00E000A6">
                          <w:rPr>
                            <w:rFonts w:hint="cs"/>
                            <w:rtl/>
                            <w:lang w:bidi="ar-EG"/>
                          </w:rPr>
                          <w:t>س6</w:t>
                        </w:r>
                      </w:p>
                    </w:txbxContent>
                  </v:textbox>
                </v:shape>
                <v:shape id="Text Box 47" o:spid="_x0000_s1069" type="#_x0000_t202" style="position:absolute;left:5304;top:12603;width:805;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47C0D59F" w14:textId="77777777" w:rsidR="00270E6A" w:rsidRPr="00E000A6" w:rsidRDefault="00270E6A" w:rsidP="002959BC">
                        <w:pPr>
                          <w:widowControl w:val="0"/>
                          <w:rPr>
                            <w:lang w:bidi="ar-EG"/>
                          </w:rPr>
                        </w:pPr>
                        <w:r w:rsidRPr="00E000A6">
                          <w:rPr>
                            <w:rFonts w:hint="cs"/>
                            <w:rtl/>
                            <w:lang w:bidi="ar-EG"/>
                          </w:rPr>
                          <w:t xml:space="preserve">ط5 ك </w:t>
                        </w:r>
                      </w:p>
                    </w:txbxContent>
                  </v:textbox>
                </v:shape>
                <v:shape id="Arc 48" o:spid="_x0000_s1070" style="position:absolute;left:4211;top:13337;width:2154;height:1361;rotation:-11042967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" path="m,nfc11929,,21600,9670,21600,21600em,nsc11929,,21600,9670,21600,21600l,21600,,xe" filled="f">
                  <v:stroke dashstyle="longDash"/>
                  <v:path arrowok="t" o:extrusionok="f" o:connecttype="custom" o:connectlocs="0,0;2154,1361;0,1361" o:connectangles="0,0,0"/>
                </v:shape>
                <v:shape id="AutoShape 49" o:spid="_x0000_s1071" type="#_x0000_t32" style="position:absolute;left:5112;top:14445;width:0;height:7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"/>
                <v:shape id="AutoShape 50" o:spid="_x0000_s1072" type="#_x0000_t32" style="position:absolute;left:4736;top:14445;width:0;height:7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"/>
                <v:shape id="Arc 51" o:spid="_x0000_s1073" style="position:absolute;left:3979;top:13462;width:2154;height:1361;rotation:-11042967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" path="m,nfc11929,,21600,9670,21600,21600em,nsc11929,,21600,9670,21600,21600l,21600,,xe" filled="f">
                  <v:stroke dashstyle="longDash"/>
                  <v:path arrowok="t" o:extrusionok="f" o:connecttype="custom" o:connectlocs="0,0;2154,1361;0,1361" o:connectangles="0,0,0"/>
                </v:shape>
                <v:shape id="AutoShape 52" o:spid="_x0000_s1074" type="#_x0000_t32" style="position:absolute;left:3620;top:14455;width:153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"/>
                <v:shape id="Text Box 53" o:spid="_x0000_s1075" type="#_x0000_t202" style="position:absolute;left:4808;top:15145;width:601;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08A491EC" w14:textId="77777777" w:rsidR="00270E6A" w:rsidRPr="00E000A6" w:rsidRDefault="00270E6A" w:rsidP="002959BC">
                        <w:pPr>
                          <w:widowControl w:val="0"/>
                          <w:rPr>
                            <w:lang w:bidi="ar-EG"/>
                          </w:rPr>
                        </w:pPr>
                        <w:r w:rsidRPr="00E000A6">
                          <w:rPr>
                            <w:rFonts w:hint="cs"/>
                            <w:rtl/>
                            <w:lang w:bidi="ar-EG"/>
                          </w:rPr>
                          <w:t>ي2</w:t>
                        </w:r>
                      </w:p>
                    </w:txbxContent>
                  </v:textbox>
                </v:shape>
                <v:shape id="Text Box 54" o:spid="_x0000_s1076" type="#_x0000_t202" style="position:absolute;left:4386;top:15145;width:601;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14EF53D2" w14:textId="77777777" w:rsidR="00270E6A" w:rsidRPr="00E000A6" w:rsidRDefault="00270E6A" w:rsidP="002959BC">
                        <w:pPr>
                          <w:widowControl w:val="0"/>
                          <w:rPr>
                            <w:lang w:bidi="ar-EG"/>
                          </w:rPr>
                        </w:pPr>
                        <w:r w:rsidRPr="00E000A6">
                          <w:rPr>
                            <w:rFonts w:hint="cs"/>
                            <w:rtl/>
                            <w:lang w:bidi="ar-EG"/>
                          </w:rPr>
                          <w:t>ي1</w:t>
                        </w:r>
                      </w:p>
                    </w:txbxContent>
                  </v:textbox>
                </v:shape>
                <v:shape id="Text Box 55" o:spid="_x0000_s1077" type="#_x0000_t202" style="position:absolute;left:5830;top:15143;width:601;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14542B90" w14:textId="77777777" w:rsidR="00270E6A" w:rsidRPr="00E000A6" w:rsidRDefault="00270E6A" w:rsidP="002959BC">
                        <w:pPr>
                          <w:widowControl w:val="0"/>
                          <w:rPr>
                            <w:lang w:bidi="ar-EG"/>
                          </w:rPr>
                        </w:pPr>
                        <w:r w:rsidRPr="00E000A6">
                          <w:rPr>
                            <w:rFonts w:hint="cs"/>
                            <w:rtl/>
                            <w:lang w:bidi="ar-EG"/>
                          </w:rPr>
                          <w:t>ي4</w:t>
                        </w:r>
                      </w:p>
                    </w:txbxContent>
                  </v:textbox>
                </v:shape>
                <v:shape id="Text Box 56" o:spid="_x0000_s1078" type="#_x0000_t202" style="position:absolute;left:6210;top:15169;width:601;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3B1A8F46" w14:textId="77777777" w:rsidR="00270E6A" w:rsidRPr="00E000A6" w:rsidRDefault="00270E6A" w:rsidP="002959BC">
                        <w:pPr>
                          <w:widowControl w:val="0"/>
                          <w:rPr>
                            <w:lang w:bidi="ar-EG"/>
                          </w:rPr>
                        </w:pPr>
                        <w:r w:rsidRPr="00E000A6">
                          <w:rPr>
                            <w:rFonts w:hint="cs"/>
                            <w:rtl/>
                            <w:lang w:bidi="ar-EG"/>
                          </w:rPr>
                          <w:t>ي5</w:t>
                        </w:r>
                      </w:p>
                    </w:txbxContent>
                  </v:textbox>
                </v:shape>
                <v:shape id="AutoShape 57" o:spid="_x0000_s1079" type="#_x0000_t32" style="position:absolute;left:6836;top:13040;width:0;height:21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"/>
                <v:shape id="AutoShape 58" o:spid="_x0000_s1080" type="#_x0000_t32" style="position:absolute;left:3632;top:13073;width:323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"/>
                <v:shape id="Arc 59" o:spid="_x0000_s1081" style="position:absolute;left:6269;top:12200;width:2154;height:1361;rotation:-11042967fd;visibility:visible;mso-wrap-style:square;v-text-anchor:top" coordsize="20876,2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" path="m2362,-1nfc11230,975,18585,7302,20876,15924em2362,-1nsc11230,975,18585,7302,20876,15924l,21470,2362,-1xe" filled="f">
                  <v:stroke dashstyle="longDash"/>
                  <v:path arrowok="t" o:extrusionok="f" o:connecttype="custom" o:connectlocs="244,0;2154,1009;0,1361" o:connectangles="0,0,0"/>
                </v:shape>
                <v:shape id="Text Box 60" o:spid="_x0000_s1082" type="#_x0000_t202" style="position:absolute;left:6628;top:15145;width:601;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1AE6AD66" w14:textId="77777777" w:rsidR="00270E6A" w:rsidRPr="00E000A6" w:rsidRDefault="00270E6A" w:rsidP="002959BC">
                        <w:pPr>
                          <w:widowControl w:val="0"/>
                          <w:rPr>
                            <w:lang w:bidi="ar-EG"/>
                          </w:rPr>
                        </w:pPr>
                        <w:r w:rsidRPr="00E000A6">
                          <w:rPr>
                            <w:rFonts w:hint="cs"/>
                            <w:rtl/>
                            <w:lang w:bidi="ar-EG"/>
                          </w:rPr>
                          <w:t>ي6</w:t>
                        </w:r>
                      </w:p>
                    </w:txbxContent>
                  </v:textbox>
                </v:shape>
                <v:shape id="Text Box 61" o:spid="_x0000_s1083" type="#_x0000_t202" style="position:absolute;left:3613;top:13008;width:760;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2002A09C" w14:textId="77777777" w:rsidR="00270E6A" w:rsidRPr="00E000A6" w:rsidRDefault="00270E6A" w:rsidP="002959BC">
                        <w:pPr>
                          <w:widowControl w:val="0"/>
                          <w:rPr>
                            <w:lang w:bidi="ar-EG"/>
                          </w:rPr>
                        </w:pPr>
                        <w:r w:rsidRPr="00E000A6">
                          <w:rPr>
                            <w:rFonts w:hint="cs"/>
                            <w:rtl/>
                            <w:lang w:bidi="ar-EG"/>
                          </w:rPr>
                          <w:t xml:space="preserve">ط1 ك </w:t>
                        </w:r>
                      </w:p>
                    </w:txbxContent>
                  </v:textbox>
                </v:shape>
                <v:shape id="Text Box 62" o:spid="_x0000_s1084" type="#_x0000_t202" style="position:absolute;left:3920;top:12800;width:760;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45AE57F5" w14:textId="77777777" w:rsidR="00270E6A" w:rsidRPr="00E000A6" w:rsidRDefault="00270E6A" w:rsidP="002959BC">
                        <w:pPr>
                          <w:widowControl w:val="0"/>
                          <w:rPr>
                            <w:lang w:bidi="ar-EG"/>
                          </w:rPr>
                        </w:pPr>
                        <w:r w:rsidRPr="00E000A6">
                          <w:rPr>
                            <w:rFonts w:hint="cs"/>
                            <w:rtl/>
                            <w:lang w:bidi="ar-EG"/>
                          </w:rPr>
                          <w:t xml:space="preserve">ط2 ك </w:t>
                        </w:r>
                      </w:p>
                    </w:txbxContent>
                  </v:textbox>
                </v:shape>
                <v:shape id="Text Box 63" o:spid="_x0000_s1085" type="#_x0000_t202" style="position:absolute;left:4827;top:12555;width:805;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14:paraId="2D3B88AD" w14:textId="77777777" w:rsidR="00270E6A" w:rsidRPr="00E000A6" w:rsidRDefault="00270E6A" w:rsidP="002959BC">
                        <w:pPr>
                          <w:widowControl w:val="0"/>
                          <w:rPr>
                            <w:lang w:bidi="ar-EG"/>
                          </w:rPr>
                        </w:pPr>
                        <w:r w:rsidRPr="00E000A6">
                          <w:rPr>
                            <w:rFonts w:hint="cs"/>
                            <w:rtl/>
                            <w:lang w:bidi="ar-EG"/>
                          </w:rPr>
                          <w:t xml:space="preserve">ط4 ك </w:t>
                        </w:r>
                      </w:p>
                    </w:txbxContent>
                  </v:textbox>
                </v:shape>
                <v:shape id="Text Box 64" o:spid="_x0000_s1086" type="#_x0000_t202" style="position:absolute;left:5759;top:12046;width:805;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269380F6" w14:textId="77777777" w:rsidR="00270E6A" w:rsidRPr="00E000A6" w:rsidRDefault="00270E6A" w:rsidP="002959BC">
                        <w:pPr>
                          <w:widowControl w:val="0"/>
                          <w:rPr>
                            <w:lang w:bidi="ar-EG"/>
                          </w:rPr>
                        </w:pPr>
                        <w:r w:rsidRPr="00E000A6">
                          <w:rPr>
                            <w:rFonts w:hint="cs"/>
                            <w:rtl/>
                            <w:lang w:bidi="ar-EG"/>
                          </w:rPr>
                          <w:t xml:space="preserve">ط6 ك </w:t>
                        </w:r>
                      </w:p>
                    </w:txbxContent>
                  </v:textbox>
                </v:shape>
                <v:shape id="Text Box 65" o:spid="_x0000_s1087" type="#_x0000_t202" style="position:absolute;left:3021;top:13882;width:601;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071D3D4D" w14:textId="77777777" w:rsidR="00270E6A" w:rsidRPr="00E000A6" w:rsidRDefault="00270E6A" w:rsidP="002959BC">
                        <w:pPr>
                          <w:widowControl w:val="0"/>
                          <w:rPr>
                            <w:lang w:bidi="ar-EG"/>
                          </w:rPr>
                        </w:pPr>
                        <w:r w:rsidRPr="00E000A6">
                          <w:rPr>
                            <w:rFonts w:hint="cs"/>
                            <w:rtl/>
                            <w:lang w:bidi="ar-EG"/>
                          </w:rPr>
                          <w:t>س4</w:t>
                        </w:r>
                      </w:p>
                    </w:txbxContent>
                  </v:textbox>
                </v:shape>
                <v:shape id="Text Box 66" o:spid="_x0000_s1088" type="#_x0000_t202" style="position:absolute;left:3005;top:14091;width:601;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38D03448" w14:textId="77777777" w:rsidR="00270E6A" w:rsidRPr="00E000A6" w:rsidRDefault="00270E6A" w:rsidP="002959BC">
                        <w:pPr>
                          <w:widowControl w:val="0"/>
                          <w:rPr>
                            <w:lang w:bidi="ar-EG"/>
                          </w:rPr>
                        </w:pPr>
                        <w:r w:rsidRPr="00E000A6">
                          <w:rPr>
                            <w:rFonts w:hint="cs"/>
                            <w:rtl/>
                            <w:lang w:bidi="ar-EG"/>
                          </w:rPr>
                          <w:t>س3</w:t>
                        </w:r>
                      </w:p>
                    </w:txbxContent>
                  </v:textbox>
                </v:shape>
                <w10:wrap anchorx="margin"/>
              </v:group>
            </w:pict>
          </mc:Fallback>
        </mc:AlternateContent>
      </w:r>
      <w:r w:rsidRPr="00683457">
        <w:rPr>
          <w:rFonts w:ascii="Simplified Arabic" w:hAnsi="Simplified Arabic" w:cs="Simplified Arabic"/>
          <w:sz w:val="28"/>
          <w:szCs w:val="28"/>
          <w:rtl/>
        </w:rPr>
        <w:t>أثر زيادة الطلب الكلي على ارتفاع المستوى العام للأسعار</w:t>
      </w:r>
    </w:p>
    <w:p w14:paraId="554BBB43" w14:textId="77777777" w:rsidR="002959BC" w:rsidRPr="00683457" w:rsidRDefault="002959BC" w:rsidP="002959BC">
      <w:pPr>
        <w:ind w:firstLine="453"/>
        <w:jc w:val="both"/>
        <w:rPr>
          <w:rFonts w:ascii="Simplified Arabic" w:hAnsi="Simplified Arabic" w:cs="Simplified Arabic"/>
          <w:sz w:val="28"/>
          <w:szCs w:val="28"/>
          <w:rtl/>
        </w:rPr>
      </w:pPr>
    </w:p>
    <w:p w14:paraId="555BDC2B" w14:textId="77777777" w:rsidR="002959BC" w:rsidRPr="00683457" w:rsidRDefault="002959BC" w:rsidP="002959BC">
      <w:pPr>
        <w:ind w:firstLine="453"/>
        <w:jc w:val="both"/>
        <w:rPr>
          <w:rFonts w:ascii="Simplified Arabic" w:hAnsi="Simplified Arabic" w:cs="Simplified Arabic"/>
          <w:b/>
          <w:bCs/>
          <w:color w:val="7B7B7B" w:themeColor="accent3" w:themeShade="BF"/>
          <w:sz w:val="28"/>
          <w:szCs w:val="28"/>
          <w:rtl/>
          <w:lang w:bidi="ar-EG"/>
        </w:rPr>
      </w:pPr>
      <w:r w:rsidRPr="00683457">
        <w:rPr>
          <w:rFonts w:ascii="Simplified Arabic" w:hAnsi="Simplified Arabic" w:cs="Simplified Arabic"/>
          <w:sz w:val="28"/>
          <w:szCs w:val="28"/>
          <w:rtl/>
          <w:lang w:bidi="ar-EG"/>
        </w:rPr>
        <w:t xml:space="preserve"> </w:t>
      </w:r>
    </w:p>
    <w:p w14:paraId="401A4DDD" w14:textId="77777777" w:rsidR="002959BC" w:rsidRPr="00683457" w:rsidRDefault="002959BC" w:rsidP="002959BC">
      <w:pPr>
        <w:ind w:firstLine="453"/>
        <w:jc w:val="both"/>
        <w:rPr>
          <w:rFonts w:ascii="Simplified Arabic" w:hAnsi="Simplified Arabic" w:cs="Simplified Arabic"/>
          <w:b/>
          <w:bCs/>
          <w:color w:val="7B7B7B" w:themeColor="accent3" w:themeShade="BF"/>
          <w:sz w:val="28"/>
          <w:szCs w:val="28"/>
          <w:rtl/>
          <w:lang w:bidi="ar-EG"/>
        </w:rPr>
      </w:pPr>
    </w:p>
    <w:p w14:paraId="4C29F4DF" w14:textId="77777777" w:rsidR="002959BC" w:rsidRPr="00683457" w:rsidRDefault="002959BC" w:rsidP="002959BC">
      <w:pPr>
        <w:ind w:firstLine="453"/>
        <w:jc w:val="both"/>
        <w:rPr>
          <w:rFonts w:ascii="Simplified Arabic" w:hAnsi="Simplified Arabic" w:cs="Simplified Arabic"/>
          <w:b/>
          <w:bCs/>
          <w:color w:val="7B7B7B" w:themeColor="accent3" w:themeShade="BF"/>
          <w:sz w:val="28"/>
          <w:szCs w:val="28"/>
          <w:rtl/>
          <w:lang w:bidi="ar-EG"/>
        </w:rPr>
      </w:pPr>
    </w:p>
    <w:p w14:paraId="00A3E3D6" w14:textId="77777777" w:rsidR="002959BC" w:rsidRPr="00683457" w:rsidRDefault="002959BC" w:rsidP="002959BC">
      <w:pPr>
        <w:ind w:firstLine="453"/>
        <w:jc w:val="both"/>
        <w:rPr>
          <w:rFonts w:ascii="Simplified Arabic" w:hAnsi="Simplified Arabic" w:cs="Simplified Arabic"/>
          <w:b/>
          <w:bCs/>
          <w:color w:val="7B7B7B" w:themeColor="accent3" w:themeShade="BF"/>
          <w:sz w:val="28"/>
          <w:szCs w:val="28"/>
          <w:rtl/>
          <w:lang w:bidi="ar-EG"/>
        </w:rPr>
      </w:pPr>
    </w:p>
    <w:p w14:paraId="2A682D89" w14:textId="77777777" w:rsidR="002959BC" w:rsidRPr="00683457" w:rsidRDefault="002959BC" w:rsidP="002959BC">
      <w:pPr>
        <w:ind w:left="311" w:firstLine="426"/>
        <w:jc w:val="both"/>
        <w:rPr>
          <w:rFonts w:ascii="Simplified Arabic" w:hAnsi="Simplified Arabic" w:cs="Simplified Arabic"/>
          <w:b/>
          <w:bCs/>
          <w:sz w:val="28"/>
          <w:szCs w:val="28"/>
          <w:rtl/>
          <w:lang w:bidi="ar-EG"/>
        </w:rPr>
      </w:pPr>
    </w:p>
    <w:p w14:paraId="79A79B5D" w14:textId="77777777" w:rsidR="002959BC" w:rsidRPr="00F31787" w:rsidRDefault="002959BC" w:rsidP="002959BC">
      <w:pPr>
        <w:pStyle w:val="ListParagraph"/>
        <w:spacing w:after="0" w:line="240" w:lineRule="auto"/>
        <w:ind w:left="360"/>
        <w:contextualSpacing w:val="0"/>
        <w:jc w:val="both"/>
        <w:rPr>
          <w:rFonts w:ascii="Simplified Arabic" w:hAnsi="Simplified Arabic" w:cs="Simplified Arabic"/>
          <w:sz w:val="10"/>
          <w:szCs w:val="10"/>
          <w:lang w:bidi="ar-EG"/>
        </w:rPr>
      </w:pPr>
    </w:p>
    <w:p w14:paraId="2E0025C7" w14:textId="77777777" w:rsidR="002959BC" w:rsidRDefault="002959BC" w:rsidP="002959BC">
      <w:pPr>
        <w:pStyle w:val="ListParagraph"/>
        <w:spacing w:after="0" w:line="240" w:lineRule="auto"/>
        <w:ind w:left="360"/>
        <w:contextualSpacing w:val="0"/>
        <w:jc w:val="both"/>
        <w:rPr>
          <w:rFonts w:ascii="Simplified Arabic" w:hAnsi="Simplified Arabic" w:cs="Simplified Arabic"/>
          <w:sz w:val="28"/>
          <w:szCs w:val="28"/>
          <w:rtl/>
          <w:lang w:bidi="ar-EG"/>
        </w:rPr>
      </w:pPr>
    </w:p>
    <w:p w14:paraId="56B5FD36" w14:textId="77777777" w:rsidR="002959BC" w:rsidRPr="00683457" w:rsidRDefault="002959BC" w:rsidP="002959BC">
      <w:pPr>
        <w:pStyle w:val="ListParagraph"/>
        <w:spacing w:after="0" w:line="240" w:lineRule="auto"/>
        <w:ind w:left="360"/>
        <w:contextualSpacing w:val="0"/>
        <w:jc w:val="both"/>
        <w:rPr>
          <w:rFonts w:ascii="Simplified Arabic" w:hAnsi="Simplified Arabic" w:cs="Simplified Arabic"/>
          <w:b/>
          <w:bCs/>
          <w:sz w:val="28"/>
          <w:szCs w:val="28"/>
          <w:u w:val="single"/>
          <w:rtl/>
          <w:lang w:bidi="ar-EG"/>
        </w:rPr>
      </w:pPr>
      <w:r w:rsidRPr="00683457">
        <w:rPr>
          <w:rFonts w:ascii="Simplified Arabic" w:hAnsi="Simplified Arabic" w:cs="Simplified Arabic"/>
          <w:sz w:val="28"/>
          <w:szCs w:val="28"/>
          <w:rtl/>
          <w:lang w:bidi="ar-EG"/>
        </w:rPr>
        <w:t>يوضح الشكل رقم (1-2) أن منحنى العرض لا يظل أفقياً حتى يصل إلى مستوى التشغيل الكامل، وإنما سوف يتفاوت تأثير زيادة الطلب على كل من الناتج الحقيقي والمستوى العام للأسعار وفقاً لمدى الاقتراب أو الابتعاد عن مستوى التشغيل الكامل.</w:t>
      </w:r>
    </w:p>
    <w:p w14:paraId="2AAF85DD" w14:textId="77777777" w:rsidR="00270E6A" w:rsidRDefault="00270E6A" w:rsidP="002959BC">
      <w:pPr>
        <w:pStyle w:val="ListParagraph"/>
        <w:spacing w:after="0" w:line="235" w:lineRule="auto"/>
        <w:ind w:left="360"/>
        <w:contextualSpacing w:val="0"/>
        <w:jc w:val="both"/>
        <w:rPr>
          <w:rFonts w:ascii="Simplified Arabic" w:hAnsi="Simplified Arabic" w:cs="Simplified Arabic"/>
          <w:b/>
          <w:bCs/>
          <w:sz w:val="28"/>
          <w:szCs w:val="28"/>
          <w:u w:val="single"/>
          <w:rtl/>
          <w:lang w:bidi="ar-EG"/>
        </w:rPr>
      </w:pPr>
    </w:p>
    <w:p w14:paraId="202DD277" w14:textId="77777777" w:rsidR="00270E6A" w:rsidRDefault="00270E6A" w:rsidP="002959BC">
      <w:pPr>
        <w:pStyle w:val="ListParagraph"/>
        <w:spacing w:after="0" w:line="235" w:lineRule="auto"/>
        <w:ind w:left="360"/>
        <w:contextualSpacing w:val="0"/>
        <w:jc w:val="both"/>
        <w:rPr>
          <w:rFonts w:ascii="Simplified Arabic" w:hAnsi="Simplified Arabic" w:cs="Simplified Arabic"/>
          <w:b/>
          <w:bCs/>
          <w:sz w:val="28"/>
          <w:szCs w:val="28"/>
          <w:u w:val="single"/>
          <w:rtl/>
          <w:lang w:bidi="ar-EG"/>
        </w:rPr>
      </w:pPr>
    </w:p>
    <w:p w14:paraId="1EBFEA1E" w14:textId="2AAF3FC3" w:rsidR="002959BC" w:rsidRPr="00683457" w:rsidRDefault="002959BC" w:rsidP="002959BC">
      <w:pPr>
        <w:pStyle w:val="ListParagraph"/>
        <w:spacing w:after="0" w:line="235" w:lineRule="auto"/>
        <w:ind w:left="360"/>
        <w:contextualSpacing w:val="0"/>
        <w:jc w:val="both"/>
        <w:rPr>
          <w:rFonts w:ascii="Simplified Arabic" w:hAnsi="Simplified Arabic" w:cs="Simplified Arabic"/>
          <w:b/>
          <w:bCs/>
          <w:sz w:val="28"/>
          <w:szCs w:val="28"/>
          <w:u w:val="single"/>
          <w:rtl/>
          <w:lang w:bidi="ar-EG"/>
        </w:rPr>
      </w:pPr>
      <w:r w:rsidRPr="00683457">
        <w:rPr>
          <w:rFonts w:ascii="Simplified Arabic" w:hAnsi="Simplified Arabic" w:cs="Simplified Arabic"/>
          <w:b/>
          <w:bCs/>
          <w:sz w:val="28"/>
          <w:szCs w:val="28"/>
          <w:u w:val="single"/>
          <w:rtl/>
          <w:lang w:bidi="ar-EG"/>
        </w:rPr>
        <w:lastRenderedPageBreak/>
        <w:t>انتقادات نظريات جانب الطلب:</w:t>
      </w:r>
    </w:p>
    <w:p w14:paraId="43855126" w14:textId="77777777" w:rsidR="002959BC" w:rsidRPr="00683457" w:rsidRDefault="002959BC" w:rsidP="002959BC">
      <w:pPr>
        <w:spacing w:line="235" w:lineRule="auto"/>
        <w:ind w:left="595"/>
        <w:jc w:val="both"/>
        <w:rPr>
          <w:rFonts w:ascii="Simplified Arabic" w:hAnsi="Simplified Arabic" w:cs="Simplified Arabic"/>
          <w:sz w:val="28"/>
          <w:szCs w:val="28"/>
          <w:rtl/>
          <w:lang w:bidi="ar-EG"/>
        </w:rPr>
      </w:pPr>
      <w:r w:rsidRPr="00683457">
        <w:rPr>
          <w:rFonts w:ascii="Simplified Arabic" w:hAnsi="Simplified Arabic" w:cs="Simplified Arabic"/>
          <w:sz w:val="28"/>
          <w:szCs w:val="28"/>
          <w:rtl/>
          <w:lang w:bidi="ar-EG"/>
        </w:rPr>
        <w:t>لعل أهم انتقاد لهذه النظرية هو افتراضها أن زيادة الطلب الكلي سوف يؤدي إلى زيادة الناتج الحقيقي هو افتراض قد ينطبق على اقتصادات الدول الرأسمالية الصناعية التي تتميز بقطاع صناعي ضخم، وأسواق عالية الكفاءة، وجهاز أسعار فعال، ومع ذلك فقد استطاعت هذه النظرية أن تلقي الضوء على خطورة الاختلال بين قوى الطلب الكلي وقوى العرض الكلي.</w:t>
      </w:r>
    </w:p>
    <w:p w14:paraId="6C86E6E2" w14:textId="77777777" w:rsidR="002959BC" w:rsidRPr="007E24F9" w:rsidRDefault="002959BC" w:rsidP="002959BC">
      <w:pPr>
        <w:spacing w:line="235" w:lineRule="auto"/>
        <w:ind w:left="595"/>
        <w:jc w:val="both"/>
        <w:rPr>
          <w:rFonts w:ascii="Simplified Arabic" w:hAnsi="Simplified Arabic" w:cs="Simplified Arabic"/>
          <w:sz w:val="16"/>
          <w:szCs w:val="16"/>
          <w:rtl/>
          <w:lang w:bidi="ar-EG"/>
        </w:rPr>
      </w:pPr>
    </w:p>
    <w:p w14:paraId="0E546244" w14:textId="77777777" w:rsidR="002959BC" w:rsidRPr="00683457" w:rsidRDefault="002959BC" w:rsidP="0041332D">
      <w:pPr>
        <w:pStyle w:val="ListParagraph"/>
        <w:numPr>
          <w:ilvl w:val="0"/>
          <w:numId w:val="14"/>
        </w:numPr>
        <w:spacing w:after="0" w:line="235" w:lineRule="auto"/>
        <w:contextualSpacing w:val="0"/>
        <w:jc w:val="both"/>
        <w:rPr>
          <w:rFonts w:ascii="Simplified Arabic" w:hAnsi="Simplified Arabic" w:cs="Simplified Arabic"/>
          <w:b/>
          <w:bCs/>
          <w:sz w:val="28"/>
          <w:szCs w:val="28"/>
          <w:lang w:bidi="ar-EG"/>
        </w:rPr>
      </w:pPr>
      <w:r w:rsidRPr="00683457">
        <w:rPr>
          <w:rFonts w:ascii="Simplified Arabic" w:hAnsi="Simplified Arabic" w:cs="Simplified Arabic"/>
          <w:b/>
          <w:bCs/>
          <w:sz w:val="28"/>
          <w:szCs w:val="28"/>
          <w:rtl/>
          <w:lang w:bidi="ar-EG"/>
        </w:rPr>
        <w:t>نظرية جانب العرض كمفسر للتضخم:</w:t>
      </w:r>
    </w:p>
    <w:p w14:paraId="564A8F69" w14:textId="77777777" w:rsidR="002959BC" w:rsidRDefault="002959BC" w:rsidP="002959BC">
      <w:pPr>
        <w:spacing w:line="235" w:lineRule="auto"/>
        <w:ind w:firstLine="453"/>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تفترض هذه النظرية أن التضخم ينتج عن وجود نقص في العرض الكلي في الفترة القصيرة مدفوعاً بزيادة تكاليف الإنتاج أو بسبب جمود الجهاز الإنتاجي مما يؤدي إلى انتقال منحنى العرض الكلي إلى أعلى جهة اليسار، ومع افتراض بقاء ظروف الطلب الكلي ثابتة.</w:t>
      </w:r>
    </w:p>
    <w:p w14:paraId="056C9EA4" w14:textId="77777777" w:rsidR="002959BC" w:rsidRPr="007E24F9" w:rsidRDefault="002959BC" w:rsidP="002959BC">
      <w:pPr>
        <w:spacing w:line="235" w:lineRule="auto"/>
        <w:ind w:firstLine="453"/>
        <w:jc w:val="both"/>
        <w:rPr>
          <w:rFonts w:ascii="Simplified Arabic" w:hAnsi="Simplified Arabic" w:cs="Simplified Arabic"/>
          <w:sz w:val="16"/>
          <w:szCs w:val="16"/>
          <w:rtl/>
          <w:lang w:bidi="ar-EG"/>
        </w:rPr>
      </w:pPr>
    </w:p>
    <w:p w14:paraId="330EB7D8" w14:textId="77777777" w:rsidR="002959BC" w:rsidRPr="00683457" w:rsidRDefault="002959BC" w:rsidP="0041332D">
      <w:pPr>
        <w:pStyle w:val="ListParagraph"/>
        <w:numPr>
          <w:ilvl w:val="0"/>
          <w:numId w:val="14"/>
        </w:numPr>
        <w:spacing w:after="0" w:line="235" w:lineRule="auto"/>
        <w:contextualSpacing w:val="0"/>
        <w:jc w:val="both"/>
        <w:rPr>
          <w:rFonts w:ascii="Simplified Arabic" w:hAnsi="Simplified Arabic" w:cs="Simplified Arabic"/>
          <w:b/>
          <w:bCs/>
          <w:sz w:val="28"/>
          <w:szCs w:val="28"/>
          <w:rtl/>
          <w:lang w:bidi="ar-EG"/>
        </w:rPr>
      </w:pPr>
      <w:r w:rsidRPr="00683457">
        <w:rPr>
          <w:rFonts w:ascii="Simplified Arabic" w:hAnsi="Simplified Arabic" w:cs="Simplified Arabic"/>
          <w:b/>
          <w:bCs/>
          <w:sz w:val="28"/>
          <w:szCs w:val="28"/>
          <w:rtl/>
          <w:lang w:bidi="ar-EG"/>
        </w:rPr>
        <w:t xml:space="preserve">النظريات الهيكلية كمفسر للتضخم: </w:t>
      </w:r>
    </w:p>
    <w:p w14:paraId="56AFB122" w14:textId="77777777" w:rsidR="002959BC" w:rsidRPr="00683457" w:rsidRDefault="002959BC" w:rsidP="002959BC">
      <w:pPr>
        <w:spacing w:line="235" w:lineRule="auto"/>
        <w:ind w:firstLine="453"/>
        <w:jc w:val="both"/>
        <w:rPr>
          <w:rFonts w:ascii="Simplified Arabic" w:hAnsi="Simplified Arabic" w:cs="Simplified Arabic"/>
          <w:sz w:val="28"/>
          <w:szCs w:val="28"/>
          <w:rtl/>
          <w:lang w:bidi="ar-EG"/>
        </w:rPr>
      </w:pPr>
      <w:r w:rsidRPr="00683457">
        <w:rPr>
          <w:rFonts w:ascii="Simplified Arabic" w:hAnsi="Simplified Arabic" w:cs="Simplified Arabic"/>
          <w:sz w:val="28"/>
          <w:szCs w:val="28"/>
          <w:rtl/>
          <w:lang w:bidi="ar-EG"/>
        </w:rPr>
        <w:t>طبقاً لوجهة نظر الهيكليين فإن التضخم يحدث أساساً بسبب التغيرات الهيكلية التي توفر البيئة الملائمة لاستمرار ارتفاع المستوى العام للأسعار، ويميز الاقتصاديون هنا بين التضخم الهيكلي في الدول النامية والتضخم الهيكلي في الدول الصناعية المتقدمة.</w:t>
      </w:r>
      <w:r w:rsidRPr="00683457">
        <w:rPr>
          <w:rFonts w:ascii="Simplified Arabic" w:hAnsi="Simplified Arabic" w:cs="Simplified Arabic"/>
          <w:sz w:val="28"/>
          <w:szCs w:val="28"/>
          <w:vertAlign w:val="superscript"/>
          <w:rtl/>
          <w:lang w:bidi="ar-EG"/>
        </w:rPr>
        <w:t xml:space="preserve"> (</w:t>
      </w:r>
      <w:r w:rsidRPr="00683457">
        <w:rPr>
          <w:rFonts w:ascii="Simplified Arabic" w:hAnsi="Simplified Arabic" w:cs="Simplified Arabic"/>
          <w:sz w:val="28"/>
          <w:szCs w:val="28"/>
          <w:vertAlign w:val="superscript"/>
          <w:rtl/>
          <w:lang w:bidi="ar-EG"/>
        </w:rPr>
        <w:footnoteReference w:id="40"/>
      </w:r>
      <w:r w:rsidRPr="00683457">
        <w:rPr>
          <w:rFonts w:ascii="Simplified Arabic" w:hAnsi="Simplified Arabic" w:cs="Simplified Arabic"/>
          <w:sz w:val="28"/>
          <w:szCs w:val="28"/>
          <w:vertAlign w:val="superscript"/>
          <w:rtl/>
          <w:lang w:bidi="ar-EG"/>
        </w:rPr>
        <w:t>)</w:t>
      </w:r>
    </w:p>
    <w:p w14:paraId="2D2B531F" w14:textId="77777777" w:rsidR="002959BC" w:rsidRPr="007E24F9" w:rsidRDefault="002959BC" w:rsidP="002959BC">
      <w:pPr>
        <w:spacing w:line="235" w:lineRule="auto"/>
        <w:ind w:firstLine="453"/>
        <w:jc w:val="both"/>
        <w:rPr>
          <w:rFonts w:ascii="Simplified Arabic" w:hAnsi="Simplified Arabic" w:cs="Simplified Arabic"/>
          <w:sz w:val="16"/>
          <w:szCs w:val="16"/>
          <w:rtl/>
          <w:lang w:bidi="ar-EG"/>
        </w:rPr>
      </w:pPr>
    </w:p>
    <w:p w14:paraId="7220AA12" w14:textId="77777777" w:rsidR="002959BC" w:rsidRDefault="002959BC" w:rsidP="002959BC">
      <w:pPr>
        <w:spacing w:line="235" w:lineRule="auto"/>
        <w:ind w:firstLine="453"/>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يفسر التضخم في الدول النامية بطبيعة التكوين الهيكلي لهذه الاقتصاديات وما ينتج عن جهود التنمية فيها من تغيرات هيكلية، فالجهاز الإنتاجي فيها غالباً ما يكون غير مرن، بينما يفسر في الدول الصناعية المتقدمة بالنمو الاقتصادي المرتفع وسلوك الشركات التضخمية المتمثل في تحكمها وسيطرتها على الأسعار، و تغيرات الأسعار النسبية للسلع والخدمات، بالإضافة إلى ارتفاع الأجور.</w:t>
      </w:r>
    </w:p>
    <w:p w14:paraId="6A295E43" w14:textId="77777777" w:rsidR="002959BC" w:rsidRPr="007E24F9" w:rsidRDefault="002959BC" w:rsidP="002959BC">
      <w:pPr>
        <w:spacing w:line="235" w:lineRule="auto"/>
        <w:ind w:firstLine="453"/>
        <w:jc w:val="both"/>
        <w:rPr>
          <w:rFonts w:ascii="Simplified Arabic" w:hAnsi="Simplified Arabic" w:cs="Simplified Arabic"/>
          <w:sz w:val="16"/>
          <w:szCs w:val="16"/>
          <w:lang w:bidi="ar-EG"/>
        </w:rPr>
      </w:pPr>
    </w:p>
    <w:p w14:paraId="50121591" w14:textId="77777777" w:rsidR="002959BC" w:rsidRPr="00683457" w:rsidRDefault="002959BC" w:rsidP="002959BC">
      <w:pPr>
        <w:spacing w:line="235" w:lineRule="auto"/>
        <w:jc w:val="both"/>
        <w:rPr>
          <w:rFonts w:ascii="Simplified Arabic" w:hAnsi="Simplified Arabic" w:cs="Simplified Arabic"/>
          <w:b/>
          <w:bCs/>
          <w:sz w:val="28"/>
          <w:szCs w:val="28"/>
          <w:rtl/>
          <w:lang w:bidi="ar-EG"/>
        </w:rPr>
      </w:pPr>
      <w:r w:rsidRPr="00683457">
        <w:rPr>
          <w:rFonts w:ascii="Simplified Arabic" w:hAnsi="Simplified Arabic" w:cs="Simplified Arabic"/>
          <w:b/>
          <w:bCs/>
          <w:sz w:val="28"/>
          <w:szCs w:val="28"/>
          <w:rtl/>
          <w:lang w:bidi="ar-EG"/>
        </w:rPr>
        <w:t>النظريات الحديثة كمفسر للتضخم:</w:t>
      </w:r>
    </w:p>
    <w:p w14:paraId="60D244B9" w14:textId="77777777" w:rsidR="002959BC" w:rsidRDefault="002959BC" w:rsidP="002959BC">
      <w:pPr>
        <w:spacing w:line="235" w:lineRule="auto"/>
        <w:ind w:firstLine="453"/>
        <w:jc w:val="both"/>
        <w:rPr>
          <w:rFonts w:ascii="Simplified Arabic" w:hAnsi="Simplified Arabic" w:cs="Simplified Arabic"/>
          <w:sz w:val="28"/>
          <w:szCs w:val="28"/>
          <w:vertAlign w:val="superscript"/>
          <w:lang w:bidi="ar-EG"/>
        </w:rPr>
      </w:pPr>
      <w:r w:rsidRPr="00683457">
        <w:rPr>
          <w:rFonts w:ascii="Simplified Arabic" w:hAnsi="Simplified Arabic" w:cs="Simplified Arabic"/>
          <w:sz w:val="28"/>
          <w:szCs w:val="28"/>
          <w:rtl/>
          <w:lang w:bidi="ar-EG"/>
        </w:rPr>
        <w:t>بسبب فشل النظريات في وضع تفسير كامل لظاهرة التضخم، فقد ظهرت عدة نظريات حديثة في محاولة لتفسير التضخم، ونذكر منها:</w:t>
      </w:r>
      <w:r w:rsidRPr="00683457">
        <w:rPr>
          <w:rFonts w:ascii="Simplified Arabic" w:hAnsi="Simplified Arabic" w:cs="Simplified Arabic"/>
          <w:sz w:val="28"/>
          <w:szCs w:val="28"/>
          <w:vertAlign w:val="superscript"/>
          <w:rtl/>
          <w:lang w:bidi="ar-EG"/>
        </w:rPr>
        <w:t xml:space="preserve"> (</w:t>
      </w:r>
      <w:r w:rsidRPr="00683457">
        <w:rPr>
          <w:rFonts w:ascii="Simplified Arabic" w:hAnsi="Simplified Arabic" w:cs="Simplified Arabic"/>
          <w:sz w:val="28"/>
          <w:szCs w:val="28"/>
          <w:vertAlign w:val="superscript"/>
          <w:rtl/>
          <w:lang w:bidi="ar-EG"/>
        </w:rPr>
        <w:footnoteReference w:id="41"/>
      </w:r>
      <w:r w:rsidRPr="00683457">
        <w:rPr>
          <w:rFonts w:ascii="Simplified Arabic" w:hAnsi="Simplified Arabic" w:cs="Simplified Arabic"/>
          <w:sz w:val="28"/>
          <w:szCs w:val="28"/>
          <w:vertAlign w:val="superscript"/>
          <w:rtl/>
          <w:lang w:bidi="ar-EG"/>
        </w:rPr>
        <w:t>)</w:t>
      </w:r>
    </w:p>
    <w:p w14:paraId="7DA3605E" w14:textId="77777777" w:rsidR="002959BC" w:rsidRPr="007E24F9" w:rsidRDefault="002959BC" w:rsidP="002959BC">
      <w:pPr>
        <w:spacing w:line="235" w:lineRule="auto"/>
        <w:ind w:firstLine="453"/>
        <w:jc w:val="both"/>
        <w:rPr>
          <w:rFonts w:ascii="Simplified Arabic" w:hAnsi="Simplified Arabic" w:cs="Simplified Arabic"/>
          <w:sz w:val="16"/>
          <w:szCs w:val="16"/>
          <w:vertAlign w:val="superscript"/>
          <w:rtl/>
          <w:lang w:bidi="ar-EG"/>
        </w:rPr>
      </w:pPr>
    </w:p>
    <w:p w14:paraId="7FB4FD51" w14:textId="77777777" w:rsidR="002959BC" w:rsidRPr="00683457" w:rsidRDefault="002959BC" w:rsidP="0041332D">
      <w:pPr>
        <w:pStyle w:val="ListParagraph"/>
        <w:numPr>
          <w:ilvl w:val="0"/>
          <w:numId w:val="14"/>
        </w:numPr>
        <w:spacing w:after="0" w:line="235" w:lineRule="auto"/>
        <w:contextualSpacing w:val="0"/>
        <w:jc w:val="both"/>
        <w:rPr>
          <w:rFonts w:ascii="Simplified Arabic" w:hAnsi="Simplified Arabic" w:cs="Simplified Arabic"/>
          <w:b/>
          <w:bCs/>
          <w:sz w:val="28"/>
          <w:szCs w:val="28"/>
          <w:lang w:bidi="ar-EG"/>
        </w:rPr>
      </w:pPr>
      <w:r w:rsidRPr="00683457">
        <w:rPr>
          <w:rFonts w:ascii="Simplified Arabic" w:hAnsi="Simplified Arabic" w:cs="Simplified Arabic"/>
          <w:b/>
          <w:bCs/>
          <w:sz w:val="28"/>
          <w:szCs w:val="28"/>
          <w:rtl/>
          <w:lang w:bidi="ar-EG"/>
        </w:rPr>
        <w:t>مدرسة التوقعات العقلانية:</w:t>
      </w:r>
    </w:p>
    <w:p w14:paraId="5D670057" w14:textId="77777777" w:rsidR="002959BC" w:rsidRPr="00683457" w:rsidRDefault="002959BC" w:rsidP="002959BC">
      <w:pPr>
        <w:spacing w:line="235" w:lineRule="auto"/>
        <w:ind w:firstLine="453"/>
        <w:jc w:val="both"/>
        <w:rPr>
          <w:rFonts w:ascii="Simplified Arabic" w:hAnsi="Simplified Arabic" w:cs="Simplified Arabic"/>
          <w:sz w:val="28"/>
          <w:szCs w:val="28"/>
          <w:rtl/>
          <w:lang w:bidi="ar-EG"/>
        </w:rPr>
      </w:pPr>
      <w:r w:rsidRPr="00683457">
        <w:rPr>
          <w:rFonts w:ascii="Simplified Arabic" w:hAnsi="Simplified Arabic" w:cs="Simplified Arabic"/>
          <w:sz w:val="28"/>
          <w:szCs w:val="28"/>
          <w:rtl/>
          <w:lang w:bidi="ar-EG"/>
        </w:rPr>
        <w:t>يعتقد أنصار هذه المدرسة أنه لو توفرت المعلومات والحرية الاقتصادية ونظام المنافسة الكاملة، فإن الزيادة التي تطرأ على عرض النقود سيكون تأثيرها صافياً على المستوى العام للأسعار، ويشترطون لتحقيق ذلك، أن توجد معرفة كاملة بخطط الدولة في المستقبل فيما يتعلق بعرض النقود.</w:t>
      </w:r>
    </w:p>
    <w:p w14:paraId="5384E372" w14:textId="77777777" w:rsidR="002959BC" w:rsidRPr="00683457" w:rsidRDefault="002959BC" w:rsidP="002959BC">
      <w:pPr>
        <w:ind w:firstLine="453"/>
        <w:jc w:val="both"/>
        <w:rPr>
          <w:rFonts w:ascii="Simplified Arabic" w:hAnsi="Simplified Arabic" w:cs="Simplified Arabic"/>
          <w:sz w:val="28"/>
          <w:szCs w:val="28"/>
          <w:rtl/>
          <w:lang w:bidi="ar-EG"/>
        </w:rPr>
      </w:pPr>
      <w:r w:rsidRPr="00683457">
        <w:rPr>
          <w:rFonts w:ascii="Simplified Arabic" w:hAnsi="Simplified Arabic" w:cs="Simplified Arabic"/>
          <w:sz w:val="28"/>
          <w:szCs w:val="28"/>
          <w:rtl/>
          <w:lang w:bidi="ar-EG"/>
        </w:rPr>
        <w:lastRenderedPageBreak/>
        <w:t>إن نظرية التوقعات تركز على جانب العرض بدلاً من جانب الطلب من خلال تحفيز الإنتاجية ونموها من جانب العرض وذلك من خلال تخفيض الضرائب المفروضة على القطاع الخاص وعلى المستهلكين والذي بدوره سيحفز الادخار والاستثمار</w:t>
      </w:r>
      <w:r w:rsidRPr="00683457">
        <w:rPr>
          <w:rFonts w:ascii="Simplified Arabic" w:hAnsi="Simplified Arabic" w:cs="Simplified Arabic"/>
          <w:sz w:val="28"/>
          <w:szCs w:val="28"/>
          <w:vertAlign w:val="superscript"/>
          <w:rtl/>
          <w:lang w:bidi="ar-EG"/>
        </w:rPr>
        <w:t>(</w:t>
      </w:r>
      <w:r w:rsidRPr="00683457">
        <w:rPr>
          <w:rFonts w:ascii="Simplified Arabic" w:hAnsi="Simplified Arabic" w:cs="Simplified Arabic"/>
          <w:sz w:val="28"/>
          <w:szCs w:val="28"/>
          <w:vertAlign w:val="superscript"/>
          <w:rtl/>
          <w:lang w:bidi="ar-EG"/>
        </w:rPr>
        <w:footnoteReference w:id="42"/>
      </w:r>
      <w:r w:rsidRPr="00683457">
        <w:rPr>
          <w:rFonts w:ascii="Simplified Arabic" w:hAnsi="Simplified Arabic" w:cs="Simplified Arabic"/>
          <w:sz w:val="28"/>
          <w:szCs w:val="28"/>
          <w:vertAlign w:val="superscript"/>
          <w:rtl/>
          <w:lang w:bidi="ar-EG"/>
        </w:rPr>
        <w:t>)</w:t>
      </w:r>
      <w:r w:rsidRPr="00683457">
        <w:rPr>
          <w:rFonts w:ascii="Simplified Arabic" w:hAnsi="Simplified Arabic" w:cs="Simplified Arabic"/>
          <w:sz w:val="28"/>
          <w:szCs w:val="28"/>
          <w:rtl/>
          <w:lang w:bidi="ar-EG"/>
        </w:rPr>
        <w:t xml:space="preserve">. </w:t>
      </w:r>
    </w:p>
    <w:p w14:paraId="2C165E16" w14:textId="77777777" w:rsidR="002959BC" w:rsidRDefault="002959BC" w:rsidP="002959BC">
      <w:pPr>
        <w:ind w:firstLine="453"/>
        <w:jc w:val="both"/>
        <w:rPr>
          <w:rFonts w:ascii="Simplified Arabic" w:hAnsi="Simplified Arabic" w:cs="Simplified Arabic"/>
          <w:sz w:val="28"/>
          <w:szCs w:val="28"/>
          <w:lang w:bidi="ar-EG"/>
        </w:rPr>
      </w:pPr>
    </w:p>
    <w:p w14:paraId="71244B61" w14:textId="77777777" w:rsidR="002959BC" w:rsidRPr="00683457" w:rsidRDefault="002959BC" w:rsidP="0041332D">
      <w:pPr>
        <w:pStyle w:val="ListParagraph"/>
        <w:numPr>
          <w:ilvl w:val="0"/>
          <w:numId w:val="14"/>
        </w:numPr>
        <w:spacing w:after="0" w:line="240" w:lineRule="auto"/>
        <w:contextualSpacing w:val="0"/>
        <w:jc w:val="both"/>
        <w:rPr>
          <w:rFonts w:ascii="Simplified Arabic" w:hAnsi="Simplified Arabic" w:cs="Simplified Arabic"/>
          <w:b/>
          <w:bCs/>
          <w:sz w:val="28"/>
          <w:szCs w:val="28"/>
          <w:lang w:bidi="ar-EG"/>
        </w:rPr>
      </w:pPr>
      <w:r w:rsidRPr="00683457">
        <w:rPr>
          <w:rFonts w:ascii="Simplified Arabic" w:hAnsi="Simplified Arabic" w:cs="Simplified Arabic"/>
          <w:b/>
          <w:bCs/>
          <w:sz w:val="28"/>
          <w:szCs w:val="28"/>
          <w:rtl/>
          <w:lang w:bidi="ar-EG"/>
        </w:rPr>
        <w:t>مدرسة اقتصاديات جانب العرض:</w:t>
      </w:r>
    </w:p>
    <w:p w14:paraId="186CBCD4" w14:textId="77777777" w:rsidR="002959BC" w:rsidRPr="00683457" w:rsidRDefault="002959BC" w:rsidP="002959BC">
      <w:pPr>
        <w:ind w:firstLine="454"/>
        <w:jc w:val="both"/>
        <w:rPr>
          <w:rFonts w:ascii="Simplified Arabic" w:hAnsi="Simplified Arabic" w:cs="Simplified Arabic"/>
          <w:sz w:val="28"/>
          <w:szCs w:val="28"/>
          <w:rtl/>
          <w:lang w:bidi="ar-EG"/>
        </w:rPr>
      </w:pPr>
      <w:r w:rsidRPr="00683457">
        <w:rPr>
          <w:rFonts w:ascii="Simplified Arabic" w:hAnsi="Simplified Arabic" w:cs="Simplified Arabic"/>
          <w:sz w:val="28"/>
          <w:szCs w:val="28"/>
          <w:rtl/>
          <w:lang w:bidi="ar-EG"/>
        </w:rPr>
        <w:t xml:space="preserve">يتفق أنصار هذه المدرسة مع النقوديين في أن التضخم ما هو إلا ظاهرة نقدية بحتة، بالإضافة إلى أنهم يؤكدون أن الضرائب المرتفعة يمكن أن تعد سبباً جوهرياً من أسباب التضخم، إذ يعتقدون أنه يجب النظر إلى الضرائب على أنها تكاليف، وعندما ترتفع هذه التكاليف سترتفع الأسعار وهو ما يؤيده منحنى لافر </w:t>
      </w:r>
      <w:r w:rsidRPr="00683457">
        <w:rPr>
          <w:rFonts w:ascii="Simplified Arabic" w:hAnsi="Simplified Arabic" w:cs="Simplified Arabic"/>
          <w:sz w:val="28"/>
          <w:szCs w:val="28"/>
          <w:lang w:bidi="ar-EG"/>
        </w:rPr>
        <w:t>Laffer curve</w:t>
      </w:r>
      <w:r w:rsidRPr="00683457">
        <w:rPr>
          <w:rFonts w:ascii="Simplified Arabic" w:hAnsi="Simplified Arabic" w:cs="Simplified Arabic"/>
          <w:sz w:val="28"/>
          <w:szCs w:val="28"/>
          <w:rtl/>
          <w:lang w:bidi="ar-EG"/>
        </w:rPr>
        <w:t xml:space="preserve"> </w:t>
      </w:r>
      <w:r w:rsidRPr="00683457">
        <w:rPr>
          <w:rFonts w:ascii="Simplified Arabic" w:hAnsi="Simplified Arabic" w:cs="Simplified Arabic"/>
          <w:sz w:val="28"/>
          <w:szCs w:val="28"/>
          <w:vertAlign w:val="superscript"/>
          <w:rtl/>
          <w:lang w:bidi="ar-EG"/>
        </w:rPr>
        <w:t>(</w:t>
      </w:r>
      <w:r w:rsidRPr="00683457">
        <w:rPr>
          <w:rFonts w:ascii="Simplified Arabic" w:hAnsi="Simplified Arabic" w:cs="Simplified Arabic"/>
          <w:sz w:val="28"/>
          <w:szCs w:val="28"/>
          <w:vertAlign w:val="superscript"/>
          <w:rtl/>
          <w:lang w:bidi="ar-EG"/>
        </w:rPr>
        <w:footnoteReference w:id="43"/>
      </w:r>
      <w:r w:rsidRPr="00683457">
        <w:rPr>
          <w:rFonts w:ascii="Simplified Arabic" w:hAnsi="Simplified Arabic" w:cs="Simplified Arabic"/>
          <w:sz w:val="28"/>
          <w:szCs w:val="28"/>
          <w:vertAlign w:val="superscript"/>
          <w:rtl/>
          <w:lang w:bidi="ar-EG"/>
        </w:rPr>
        <w:t>)</w:t>
      </w:r>
      <w:r w:rsidRPr="00683457">
        <w:rPr>
          <w:rFonts w:ascii="Simplified Arabic" w:hAnsi="Simplified Arabic" w:cs="Simplified Arabic"/>
          <w:sz w:val="28"/>
          <w:szCs w:val="28"/>
          <w:rtl/>
          <w:lang w:bidi="ar-EG"/>
        </w:rPr>
        <w:t>.</w:t>
      </w:r>
    </w:p>
    <w:p w14:paraId="1E94DCC5" w14:textId="77777777" w:rsidR="002959BC" w:rsidRPr="00683457" w:rsidRDefault="002959BC" w:rsidP="002959BC">
      <w:pPr>
        <w:ind w:firstLine="454"/>
        <w:jc w:val="both"/>
        <w:rPr>
          <w:rFonts w:ascii="Simplified Arabic" w:hAnsi="Simplified Arabic" w:cs="Simplified Arabic"/>
          <w:sz w:val="28"/>
          <w:szCs w:val="28"/>
          <w:rtl/>
          <w:lang w:bidi="ar-EG"/>
        </w:rPr>
      </w:pPr>
    </w:p>
    <w:p w14:paraId="4FE63D8B" w14:textId="77777777" w:rsidR="002959BC" w:rsidRPr="00683457" w:rsidRDefault="002959BC" w:rsidP="002959BC">
      <w:pPr>
        <w:ind w:firstLine="453"/>
        <w:jc w:val="both"/>
        <w:rPr>
          <w:rFonts w:ascii="Simplified Arabic" w:hAnsi="Simplified Arabic" w:cs="Simplified Arabic"/>
          <w:sz w:val="28"/>
          <w:szCs w:val="28"/>
          <w:rtl/>
          <w:lang w:bidi="ar-EG"/>
        </w:rPr>
      </w:pPr>
      <w:r w:rsidRPr="00683457">
        <w:rPr>
          <w:rFonts w:ascii="Simplified Arabic" w:hAnsi="Simplified Arabic" w:cs="Simplified Arabic"/>
          <w:sz w:val="28"/>
          <w:szCs w:val="28"/>
          <w:rtl/>
          <w:lang w:bidi="ar-EG"/>
        </w:rPr>
        <w:t>ولذلك فإن أنصار هذه المدرسة يولون أهمية خاصة لتخفيض معدلات الضرائب على الدخل والضرائب على رأس المال، لزيادة عرض العمل وزيادة الادخار ومن ثم الاستثمار والإنتاج مما يؤدي إلى زيادة العرض الكلي من السلع والخدمات ومن ثم زيادة الناتج القومي.</w:t>
      </w:r>
    </w:p>
    <w:p w14:paraId="4ED3DE61" w14:textId="77777777" w:rsidR="002959BC" w:rsidRPr="00683457" w:rsidRDefault="002959BC" w:rsidP="002959BC">
      <w:pPr>
        <w:ind w:firstLine="453"/>
        <w:jc w:val="both"/>
        <w:rPr>
          <w:rFonts w:ascii="Simplified Arabic" w:hAnsi="Simplified Arabic" w:cs="Simplified Arabic"/>
          <w:sz w:val="28"/>
          <w:szCs w:val="28"/>
          <w:rtl/>
          <w:lang w:bidi="ar-EG"/>
        </w:rPr>
      </w:pPr>
    </w:p>
    <w:p w14:paraId="310703C2" w14:textId="77777777" w:rsidR="002959BC" w:rsidRPr="00683457" w:rsidRDefault="002959BC" w:rsidP="0041332D">
      <w:pPr>
        <w:pStyle w:val="ListParagraph"/>
        <w:numPr>
          <w:ilvl w:val="0"/>
          <w:numId w:val="14"/>
        </w:numPr>
        <w:spacing w:after="0" w:line="240" w:lineRule="auto"/>
        <w:contextualSpacing w:val="0"/>
        <w:jc w:val="both"/>
        <w:rPr>
          <w:rFonts w:ascii="Simplified Arabic" w:hAnsi="Simplified Arabic" w:cs="Simplified Arabic"/>
          <w:b/>
          <w:bCs/>
          <w:sz w:val="28"/>
          <w:szCs w:val="28"/>
          <w:lang w:bidi="ar-EG"/>
        </w:rPr>
      </w:pPr>
      <w:r w:rsidRPr="00683457">
        <w:rPr>
          <w:rFonts w:ascii="Simplified Arabic" w:hAnsi="Simplified Arabic" w:cs="Simplified Arabic"/>
          <w:b/>
          <w:bCs/>
          <w:sz w:val="28"/>
          <w:szCs w:val="28"/>
          <w:rtl/>
          <w:lang w:bidi="ar-EG"/>
        </w:rPr>
        <w:t>المدرسة السويدية الحديثة:</w:t>
      </w:r>
    </w:p>
    <w:p w14:paraId="7527FF1E" w14:textId="77777777" w:rsidR="002959BC" w:rsidRPr="00683457" w:rsidRDefault="002959BC" w:rsidP="002959BC">
      <w:pPr>
        <w:ind w:firstLine="453"/>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أدخلت هذه المدرسة عنصر التوقعات بشكل واضح وأعطته أهمية كبرى في التحليل النقدي للتضخم، وتقوم على فروض أهمها افتراض وجود اقتصاد رأسمالي متقدم، ووجود سوق مالية وسوق نقدية، وكذا وجود سوق عالية الكفاءة تعكس الاختلال بين توقعات المدخرين والمستثمرين.</w:t>
      </w:r>
    </w:p>
    <w:p w14:paraId="1A731358" w14:textId="77777777" w:rsidR="002959BC" w:rsidRDefault="002959BC" w:rsidP="002959BC">
      <w:pPr>
        <w:ind w:firstLine="453"/>
        <w:jc w:val="both"/>
        <w:rPr>
          <w:rFonts w:ascii="Simplified Arabic" w:hAnsi="Simplified Arabic" w:cs="Simplified Arabic"/>
          <w:sz w:val="28"/>
          <w:szCs w:val="28"/>
          <w:lang w:bidi="ar-EG"/>
        </w:rPr>
      </w:pPr>
      <w:r w:rsidRPr="00683457">
        <w:rPr>
          <w:rFonts w:ascii="Simplified Arabic" w:hAnsi="Simplified Arabic" w:cs="Simplified Arabic"/>
          <w:sz w:val="28"/>
          <w:szCs w:val="28"/>
          <w:rtl/>
          <w:lang w:bidi="ar-EG"/>
        </w:rPr>
        <w:t>إذ ترى المدرسة أن العلاقة بين الطلب الكلي والعرض الكلي لا تتوقف على مستوى الدخل فحسب بل إنها تتوقف كذلك على خطط الإنفاق القومي من جهة وخطط الإنتاج القومي من جهة أخرى، أو بعبارة أدق، أنها تتوقف على العلاقة بين خطط الاستثمار وخطط الادخار.</w:t>
      </w:r>
    </w:p>
    <w:p w14:paraId="4BB9CABE" w14:textId="77777777" w:rsidR="002959BC" w:rsidRPr="00683457" w:rsidRDefault="002959BC" w:rsidP="0041332D">
      <w:pPr>
        <w:pStyle w:val="ListParagraph"/>
        <w:numPr>
          <w:ilvl w:val="0"/>
          <w:numId w:val="17"/>
        </w:numPr>
        <w:spacing w:after="0" w:line="240" w:lineRule="auto"/>
        <w:ind w:left="453"/>
        <w:contextualSpacing w:val="0"/>
        <w:jc w:val="both"/>
        <w:rPr>
          <w:rFonts w:ascii="Simplified Arabic" w:hAnsi="Simplified Arabic" w:cs="Simplified Arabic"/>
          <w:b/>
          <w:bCs/>
          <w:sz w:val="30"/>
          <w:szCs w:val="30"/>
          <w:lang w:bidi="ar-EG"/>
        </w:rPr>
      </w:pPr>
      <w:r w:rsidRPr="00683457">
        <w:rPr>
          <w:rFonts w:ascii="Simplified Arabic" w:hAnsi="Simplified Arabic" w:cs="Simplified Arabic"/>
          <w:b/>
          <w:bCs/>
          <w:sz w:val="30"/>
          <w:szCs w:val="30"/>
          <w:rtl/>
          <w:lang w:bidi="ar-EG"/>
        </w:rPr>
        <w:t>آثار التضخم:</w:t>
      </w:r>
    </w:p>
    <w:p w14:paraId="31A3C892" w14:textId="77777777" w:rsidR="002959BC" w:rsidRPr="00683457" w:rsidRDefault="002959BC" w:rsidP="002959BC">
      <w:pPr>
        <w:ind w:left="453"/>
        <w:jc w:val="both"/>
        <w:rPr>
          <w:rFonts w:ascii="Simplified Arabic" w:hAnsi="Simplified Arabic" w:cs="Simplified Arabic"/>
          <w:b/>
          <w:bCs/>
          <w:sz w:val="28"/>
          <w:szCs w:val="28"/>
          <w:rtl/>
          <w:lang w:bidi="ar-EG"/>
        </w:rPr>
      </w:pPr>
      <w:r w:rsidRPr="00683457">
        <w:rPr>
          <w:rFonts w:ascii="Simplified Arabic" w:hAnsi="Simplified Arabic" w:cs="Simplified Arabic"/>
          <w:sz w:val="28"/>
          <w:szCs w:val="28"/>
          <w:rtl/>
          <w:lang w:bidi="ar-EG"/>
        </w:rPr>
        <w:t xml:space="preserve">إن العملية التضخمية تبدأ وتستمر بسبب اختلالات اقتصادية تصيب النشاط الاقتصادي بأكمله وتؤثر على فئات المجتمع المختلفة، حيث تظهر آثار التضخم الاقتصادية والاجتماعية السلبية على كل </w:t>
      </w:r>
      <w:r w:rsidRPr="00683457">
        <w:rPr>
          <w:rFonts w:ascii="Simplified Arabic" w:hAnsi="Simplified Arabic" w:cs="Simplified Arabic"/>
          <w:sz w:val="28"/>
          <w:szCs w:val="28"/>
          <w:rtl/>
          <w:lang w:bidi="ar-EG"/>
        </w:rPr>
        <w:lastRenderedPageBreak/>
        <w:t xml:space="preserve">جوانب الحياة الاقتصادية والاجتماعية، ولعل ما يهمنا في هذا البحث هو العلاقة التبادلية بين التضخم وعجز الموازنة العامة، حيث يرفع التضخم من تكلفة تأدية الخدمات العامة في الوقت الذي لا تستجيب فيه الحصيلة الضريبية للزيادة مع اتجاه المستوى العام للأسعار نحو الارتفاع بسبب ضعف مرونة الجهاز الضريبي، وفي حين تلجأ الدولة إلى التمويل التضخمي لسد عجز الموازنة العامة، إلا أن التضخم الذي حدث بسبب التمويل التضخمي سوف يؤدى إلى زيادة عجز الموازنة العامة للدولة. </w:t>
      </w:r>
      <w:r w:rsidRPr="00683457">
        <w:rPr>
          <w:rFonts w:ascii="Simplified Arabic" w:hAnsi="Simplified Arabic" w:cs="Simplified Arabic"/>
          <w:sz w:val="28"/>
          <w:szCs w:val="28"/>
          <w:vertAlign w:val="superscript"/>
          <w:rtl/>
          <w:lang w:bidi="ar-EG"/>
        </w:rPr>
        <w:t>(</w:t>
      </w:r>
      <w:r w:rsidRPr="00683457">
        <w:rPr>
          <w:rFonts w:ascii="Simplified Arabic" w:hAnsi="Simplified Arabic" w:cs="Simplified Arabic"/>
          <w:sz w:val="28"/>
          <w:szCs w:val="28"/>
          <w:vertAlign w:val="superscript"/>
          <w:rtl/>
          <w:lang w:bidi="ar-EG"/>
        </w:rPr>
        <w:footnoteReference w:id="44"/>
      </w:r>
      <w:r w:rsidRPr="00683457">
        <w:rPr>
          <w:rFonts w:ascii="Simplified Arabic" w:hAnsi="Simplified Arabic" w:cs="Simplified Arabic"/>
          <w:sz w:val="28"/>
          <w:szCs w:val="28"/>
          <w:vertAlign w:val="superscript"/>
          <w:rtl/>
          <w:lang w:bidi="ar-EG"/>
        </w:rPr>
        <w:t>)</w:t>
      </w:r>
      <w:r w:rsidRPr="00683457">
        <w:rPr>
          <w:rFonts w:ascii="Simplified Arabic" w:hAnsi="Simplified Arabic" w:cs="Simplified Arabic"/>
          <w:b/>
          <w:bCs/>
          <w:sz w:val="28"/>
          <w:szCs w:val="28"/>
          <w:rtl/>
          <w:lang w:bidi="ar-EG"/>
        </w:rPr>
        <w:t xml:space="preserve"> </w:t>
      </w:r>
    </w:p>
    <w:p w14:paraId="735251F1" w14:textId="77777777" w:rsidR="002959BC" w:rsidRPr="00683457" w:rsidRDefault="002959BC" w:rsidP="002959BC">
      <w:pPr>
        <w:ind w:left="453"/>
        <w:jc w:val="both"/>
        <w:rPr>
          <w:rFonts w:ascii="Simplified Arabic" w:hAnsi="Simplified Arabic" w:cs="Simplified Arabic"/>
          <w:b/>
          <w:bCs/>
          <w:sz w:val="28"/>
          <w:szCs w:val="28"/>
          <w:rtl/>
          <w:lang w:bidi="ar-EG"/>
        </w:rPr>
      </w:pPr>
    </w:p>
    <w:p w14:paraId="381E80A3" w14:textId="77777777" w:rsidR="002959BC" w:rsidRPr="00683457" w:rsidRDefault="002959BC" w:rsidP="002959BC">
      <w:pPr>
        <w:ind w:left="453"/>
        <w:jc w:val="both"/>
        <w:rPr>
          <w:rFonts w:ascii="Simplified Arabic" w:hAnsi="Simplified Arabic" w:cs="Simplified Arabic"/>
          <w:sz w:val="28"/>
          <w:szCs w:val="28"/>
          <w:vertAlign w:val="superscript"/>
          <w:rtl/>
          <w:lang w:bidi="ar-EG"/>
        </w:rPr>
      </w:pPr>
      <w:r w:rsidRPr="00683457">
        <w:rPr>
          <w:rFonts w:ascii="Simplified Arabic" w:hAnsi="Simplified Arabic" w:cs="Simplified Arabic"/>
          <w:sz w:val="28"/>
          <w:szCs w:val="28"/>
          <w:rtl/>
          <w:lang w:bidi="ar-EG"/>
        </w:rPr>
        <w:t>ولعل من أسوأ الآثار الاجتماعية ما يتعلق بالمستوى السلوكي والقيمي حيث يفرز التضخم المصاحب لعجز الموازنة العامة للدولة كثير من المظاهر السلبية والمرضية كالرشوة والتهريب وعمليات الفساد والإفساد الإداري لكي يعوض ذوي الدخل المحدودة التدهور الحاصل في مستوى معيشتهم.</w:t>
      </w:r>
      <w:r w:rsidRPr="00683457">
        <w:rPr>
          <w:rFonts w:ascii="Simplified Arabic" w:hAnsi="Simplified Arabic" w:cs="Simplified Arabic"/>
          <w:sz w:val="28"/>
          <w:szCs w:val="28"/>
          <w:vertAlign w:val="superscript"/>
          <w:rtl/>
          <w:lang w:bidi="ar-EG"/>
        </w:rPr>
        <w:t xml:space="preserve"> (</w:t>
      </w:r>
      <w:r w:rsidRPr="00683457">
        <w:rPr>
          <w:rFonts w:ascii="Simplified Arabic" w:hAnsi="Simplified Arabic" w:cs="Simplified Arabic"/>
          <w:sz w:val="28"/>
          <w:szCs w:val="28"/>
          <w:vertAlign w:val="superscript"/>
          <w:rtl/>
          <w:lang w:bidi="ar-EG"/>
        </w:rPr>
        <w:footnoteReference w:id="45"/>
      </w:r>
      <w:r w:rsidRPr="00683457">
        <w:rPr>
          <w:rFonts w:ascii="Simplified Arabic" w:hAnsi="Simplified Arabic" w:cs="Simplified Arabic"/>
          <w:sz w:val="28"/>
          <w:szCs w:val="28"/>
          <w:vertAlign w:val="superscript"/>
          <w:rtl/>
          <w:lang w:bidi="ar-EG"/>
        </w:rPr>
        <w:t>)</w:t>
      </w:r>
    </w:p>
    <w:p w14:paraId="0539D13F" w14:textId="77777777" w:rsidR="002959BC" w:rsidRPr="00683457" w:rsidRDefault="002959BC" w:rsidP="002959BC">
      <w:pPr>
        <w:ind w:left="453"/>
        <w:jc w:val="both"/>
        <w:rPr>
          <w:rFonts w:ascii="Simplified Arabic" w:hAnsi="Simplified Arabic" w:cs="Simplified Arabic"/>
          <w:b/>
          <w:bCs/>
          <w:sz w:val="28"/>
          <w:szCs w:val="28"/>
          <w:rtl/>
          <w:lang w:bidi="ar-EG"/>
        </w:rPr>
      </w:pPr>
    </w:p>
    <w:p w14:paraId="161D242C" w14:textId="77777777" w:rsidR="002959BC" w:rsidRPr="00683457" w:rsidRDefault="002959BC" w:rsidP="0041332D">
      <w:pPr>
        <w:pStyle w:val="ListParagraph"/>
        <w:numPr>
          <w:ilvl w:val="0"/>
          <w:numId w:val="17"/>
        </w:numPr>
        <w:spacing w:after="0" w:line="240" w:lineRule="auto"/>
        <w:ind w:left="453"/>
        <w:contextualSpacing w:val="0"/>
        <w:jc w:val="both"/>
        <w:rPr>
          <w:rFonts w:ascii="Simplified Arabic" w:hAnsi="Simplified Arabic" w:cs="Simplified Arabic"/>
          <w:b/>
          <w:bCs/>
          <w:sz w:val="30"/>
          <w:szCs w:val="30"/>
          <w:lang w:bidi="ar-EG"/>
        </w:rPr>
      </w:pPr>
      <w:r w:rsidRPr="00683457">
        <w:rPr>
          <w:rFonts w:ascii="Simplified Arabic" w:hAnsi="Simplified Arabic" w:cs="Simplified Arabic"/>
          <w:b/>
          <w:bCs/>
          <w:sz w:val="30"/>
          <w:szCs w:val="30"/>
          <w:rtl/>
          <w:lang w:bidi="ar-EG"/>
        </w:rPr>
        <w:t>السياسات العلاجية للتضخم</w:t>
      </w:r>
    </w:p>
    <w:p w14:paraId="77016DFE" w14:textId="77777777" w:rsidR="002959BC" w:rsidRPr="00683457" w:rsidRDefault="002959BC" w:rsidP="002959BC">
      <w:pPr>
        <w:ind w:firstLine="453"/>
        <w:jc w:val="both"/>
        <w:rPr>
          <w:rFonts w:ascii="Simplified Arabic" w:hAnsi="Simplified Arabic" w:cs="Simplified Arabic"/>
          <w:sz w:val="28"/>
          <w:szCs w:val="28"/>
          <w:rtl/>
          <w:lang w:bidi="ar-EG"/>
        </w:rPr>
      </w:pPr>
      <w:r w:rsidRPr="00683457">
        <w:rPr>
          <w:rFonts w:ascii="Simplified Arabic" w:hAnsi="Simplified Arabic" w:cs="Simplified Arabic"/>
          <w:sz w:val="28"/>
          <w:szCs w:val="28"/>
          <w:rtl/>
          <w:lang w:bidi="ar-EG"/>
        </w:rPr>
        <w:t>عادة ما يتم استخدام خليط من السياسات المالية والنقدية والهيكلية التي تتكامل مع بعضها البعض لوضع حد لمشكلة التضخم وجعلها في الحدود التي تراها الدولة مقبولة، ويمكن تلخيص هذه السياسات في:</w:t>
      </w:r>
    </w:p>
    <w:p w14:paraId="0CE5AA74" w14:textId="77777777" w:rsidR="002959BC" w:rsidRPr="001B5DAD" w:rsidRDefault="002959BC" w:rsidP="002959BC">
      <w:pPr>
        <w:ind w:firstLine="453"/>
        <w:jc w:val="both"/>
        <w:rPr>
          <w:rFonts w:ascii="Simplified Arabic" w:hAnsi="Simplified Arabic" w:cs="Simplified Arabic"/>
          <w:sz w:val="16"/>
          <w:szCs w:val="16"/>
          <w:lang w:bidi="ar-EG"/>
        </w:rPr>
      </w:pPr>
    </w:p>
    <w:p w14:paraId="61C8DD4F" w14:textId="77777777" w:rsidR="002959BC" w:rsidRPr="00683457" w:rsidRDefault="002959BC" w:rsidP="0041332D">
      <w:pPr>
        <w:pStyle w:val="ListParagraph"/>
        <w:numPr>
          <w:ilvl w:val="0"/>
          <w:numId w:val="14"/>
        </w:numPr>
        <w:spacing w:after="0" w:line="240" w:lineRule="auto"/>
        <w:contextualSpacing w:val="0"/>
        <w:jc w:val="both"/>
        <w:rPr>
          <w:rFonts w:ascii="Simplified Arabic" w:hAnsi="Simplified Arabic" w:cs="Simplified Arabic"/>
          <w:b/>
          <w:bCs/>
          <w:sz w:val="28"/>
          <w:szCs w:val="28"/>
          <w:lang w:bidi="ar-EG"/>
        </w:rPr>
      </w:pPr>
      <w:r w:rsidRPr="00683457">
        <w:rPr>
          <w:rFonts w:ascii="Simplified Arabic" w:hAnsi="Simplified Arabic" w:cs="Simplified Arabic"/>
          <w:b/>
          <w:bCs/>
          <w:sz w:val="28"/>
          <w:szCs w:val="28"/>
          <w:rtl/>
          <w:lang w:bidi="ar-EG"/>
        </w:rPr>
        <w:t>دور السياسة النقدية في معالجة التضخم:</w:t>
      </w:r>
    </w:p>
    <w:p w14:paraId="71DF103D" w14:textId="77777777" w:rsidR="002959BC" w:rsidRPr="00683457" w:rsidRDefault="002959BC" w:rsidP="002959BC">
      <w:pPr>
        <w:ind w:left="453"/>
        <w:jc w:val="both"/>
        <w:rPr>
          <w:rFonts w:ascii="Simplified Arabic" w:hAnsi="Simplified Arabic" w:cs="Simplified Arabic"/>
          <w:sz w:val="28"/>
          <w:szCs w:val="28"/>
          <w:rtl/>
          <w:lang w:bidi="ar-EG"/>
        </w:rPr>
      </w:pPr>
      <w:r w:rsidRPr="00683457">
        <w:rPr>
          <w:rFonts w:ascii="Simplified Arabic" w:hAnsi="Simplified Arabic" w:cs="Simplified Arabic"/>
          <w:sz w:val="28"/>
          <w:szCs w:val="28"/>
          <w:rtl/>
          <w:lang w:bidi="ar-EG"/>
        </w:rPr>
        <w:t>يعد زيادة العرض النقدي سبباً رئيسياً لظهور مشكلة التضخم، ولذلك فمن المعتاد أن تنتهج السياسة النقدية نهجاً متشدداً واتباع سياسة نقدية انكماشية لتقييد نمو العرض الكلي للنقود، وذلك باستخدام عدداً من الإجراءات أهمها سعر الخصم، وعمليات السوق المفتوحة، ونسبة الاحتياطي القانوني.</w:t>
      </w:r>
    </w:p>
    <w:p w14:paraId="157EED9F" w14:textId="77777777" w:rsidR="002959BC" w:rsidRPr="001B5DAD" w:rsidRDefault="002959BC" w:rsidP="002959BC">
      <w:pPr>
        <w:ind w:left="453"/>
        <w:jc w:val="both"/>
        <w:rPr>
          <w:rFonts w:ascii="Simplified Arabic" w:hAnsi="Simplified Arabic" w:cs="Simplified Arabic"/>
          <w:sz w:val="18"/>
          <w:szCs w:val="18"/>
          <w:rtl/>
          <w:lang w:bidi="ar-EG"/>
        </w:rPr>
      </w:pPr>
    </w:p>
    <w:p w14:paraId="416EB12C" w14:textId="77777777" w:rsidR="002959BC" w:rsidRPr="00683457" w:rsidRDefault="002959BC" w:rsidP="0041332D">
      <w:pPr>
        <w:pStyle w:val="ListParagraph"/>
        <w:numPr>
          <w:ilvl w:val="0"/>
          <w:numId w:val="14"/>
        </w:numPr>
        <w:spacing w:after="0" w:line="240" w:lineRule="auto"/>
        <w:contextualSpacing w:val="0"/>
        <w:jc w:val="both"/>
        <w:rPr>
          <w:rFonts w:ascii="Simplified Arabic" w:hAnsi="Simplified Arabic" w:cs="Simplified Arabic"/>
          <w:b/>
          <w:bCs/>
          <w:sz w:val="28"/>
          <w:szCs w:val="28"/>
          <w:lang w:bidi="ar-EG"/>
        </w:rPr>
      </w:pPr>
      <w:r w:rsidRPr="00683457">
        <w:rPr>
          <w:rFonts w:ascii="Simplified Arabic" w:hAnsi="Simplified Arabic" w:cs="Simplified Arabic"/>
          <w:b/>
          <w:bCs/>
          <w:sz w:val="28"/>
          <w:szCs w:val="28"/>
          <w:rtl/>
          <w:lang w:bidi="ar-EG"/>
        </w:rPr>
        <w:t>دور السياسة المالية في معالجة التضخم:</w:t>
      </w:r>
    </w:p>
    <w:p w14:paraId="4E8FB89B" w14:textId="77777777" w:rsidR="002959BC" w:rsidRPr="00683457" w:rsidRDefault="002959BC" w:rsidP="002959BC">
      <w:pPr>
        <w:ind w:left="453"/>
        <w:jc w:val="both"/>
        <w:rPr>
          <w:rFonts w:ascii="Simplified Arabic" w:hAnsi="Simplified Arabic" w:cs="Simplified Arabic"/>
          <w:sz w:val="28"/>
          <w:szCs w:val="28"/>
          <w:rtl/>
          <w:lang w:bidi="ar-EG"/>
        </w:rPr>
      </w:pPr>
      <w:r w:rsidRPr="00683457">
        <w:rPr>
          <w:rFonts w:ascii="Simplified Arabic" w:hAnsi="Simplified Arabic" w:cs="Simplified Arabic"/>
          <w:sz w:val="28"/>
          <w:szCs w:val="28"/>
          <w:rtl/>
          <w:lang w:bidi="ar-EG"/>
        </w:rPr>
        <w:t>لما كان زيادة الإنفاق الحكومي سبباً من أسباب التضخم، فإن اتباع سياسة مالية انكماشية بما تتضمنه من قدرتها على التأثير في الإيرادات والنفقات الحكومية من أجل خفض التضخم، وذلك من خلال زيادة معدلات الضرائب مما يقلل معدلات الانفاق الاستثماري والانفاق الاستهلاكي على حدٍ سواء</w:t>
      </w:r>
      <w:r w:rsidRPr="00683457">
        <w:rPr>
          <w:rFonts w:ascii="Simplified Arabic" w:hAnsi="Simplified Arabic" w:cs="Simplified Arabic"/>
          <w:sz w:val="28"/>
          <w:szCs w:val="28"/>
          <w:vertAlign w:val="superscript"/>
          <w:rtl/>
          <w:lang w:bidi="ar-EG"/>
        </w:rPr>
        <w:t xml:space="preserve"> (</w:t>
      </w:r>
      <w:r w:rsidRPr="00683457">
        <w:rPr>
          <w:rFonts w:ascii="Simplified Arabic" w:hAnsi="Simplified Arabic" w:cs="Simplified Arabic"/>
          <w:sz w:val="28"/>
          <w:szCs w:val="28"/>
          <w:vertAlign w:val="superscript"/>
          <w:rtl/>
          <w:lang w:bidi="ar-EG"/>
        </w:rPr>
        <w:footnoteReference w:id="46"/>
      </w:r>
      <w:r w:rsidRPr="00683457">
        <w:rPr>
          <w:rFonts w:ascii="Simplified Arabic" w:hAnsi="Simplified Arabic" w:cs="Simplified Arabic"/>
          <w:sz w:val="28"/>
          <w:szCs w:val="28"/>
          <w:vertAlign w:val="superscript"/>
          <w:rtl/>
          <w:lang w:bidi="ar-EG"/>
        </w:rPr>
        <w:t>)</w:t>
      </w:r>
      <w:r w:rsidRPr="00683457">
        <w:rPr>
          <w:rFonts w:ascii="Simplified Arabic" w:hAnsi="Simplified Arabic" w:cs="Simplified Arabic"/>
          <w:b/>
          <w:bCs/>
          <w:sz w:val="28"/>
          <w:szCs w:val="28"/>
          <w:rtl/>
          <w:lang w:bidi="ar-EG"/>
        </w:rPr>
        <w:t xml:space="preserve">، </w:t>
      </w:r>
      <w:r w:rsidRPr="00683457">
        <w:rPr>
          <w:rFonts w:ascii="Simplified Arabic" w:hAnsi="Simplified Arabic" w:cs="Simplified Arabic"/>
          <w:sz w:val="28"/>
          <w:szCs w:val="28"/>
          <w:rtl/>
          <w:lang w:bidi="ar-EG"/>
        </w:rPr>
        <w:t>وكذا العمل عل خفض الإنفاق العام سواء الاستهلاكي أو الاستثماري والذي يؤدي لتخفيض حجم الطلب الكلي</w:t>
      </w:r>
      <w:r w:rsidRPr="00683457">
        <w:rPr>
          <w:rFonts w:ascii="Simplified Arabic" w:hAnsi="Simplified Arabic" w:cs="Simplified Arabic"/>
          <w:sz w:val="28"/>
          <w:szCs w:val="28"/>
          <w:vertAlign w:val="superscript"/>
          <w:rtl/>
          <w:lang w:bidi="ar-EG"/>
        </w:rPr>
        <w:t>(</w:t>
      </w:r>
      <w:r w:rsidRPr="00683457">
        <w:rPr>
          <w:rFonts w:ascii="Simplified Arabic" w:hAnsi="Simplified Arabic" w:cs="Simplified Arabic"/>
          <w:sz w:val="28"/>
          <w:szCs w:val="28"/>
          <w:vertAlign w:val="superscript"/>
          <w:rtl/>
          <w:lang w:bidi="ar-EG"/>
        </w:rPr>
        <w:footnoteReference w:id="47"/>
      </w:r>
      <w:r w:rsidRPr="00683457">
        <w:rPr>
          <w:rFonts w:ascii="Simplified Arabic" w:hAnsi="Simplified Arabic" w:cs="Simplified Arabic"/>
          <w:sz w:val="28"/>
          <w:szCs w:val="28"/>
          <w:vertAlign w:val="superscript"/>
          <w:rtl/>
          <w:lang w:bidi="ar-EG"/>
        </w:rPr>
        <w:t>)</w:t>
      </w:r>
      <w:r w:rsidRPr="00683457">
        <w:rPr>
          <w:rFonts w:ascii="Simplified Arabic" w:hAnsi="Simplified Arabic" w:cs="Simplified Arabic"/>
          <w:sz w:val="28"/>
          <w:szCs w:val="28"/>
          <w:rtl/>
          <w:lang w:bidi="ar-EG"/>
        </w:rPr>
        <w:t>، وكذا إصدار السندات الحكومية، مما يعمل على خفض كمية النقود المتداولة وخفض حدة التضخم.</w:t>
      </w:r>
    </w:p>
    <w:p w14:paraId="7AA9E10E" w14:textId="77777777" w:rsidR="002959BC" w:rsidRPr="00683457" w:rsidRDefault="002959BC" w:rsidP="002959BC">
      <w:pPr>
        <w:pStyle w:val="ListParagraph"/>
        <w:spacing w:after="0" w:line="240" w:lineRule="auto"/>
        <w:ind w:left="955"/>
        <w:contextualSpacing w:val="0"/>
        <w:jc w:val="both"/>
        <w:rPr>
          <w:rFonts w:ascii="Simplified Arabic" w:hAnsi="Simplified Arabic" w:cs="Simplified Arabic"/>
          <w:color w:val="00B050"/>
          <w:sz w:val="28"/>
          <w:szCs w:val="28"/>
          <w:rtl/>
          <w:lang w:bidi="ar-EG"/>
        </w:rPr>
      </w:pPr>
    </w:p>
    <w:p w14:paraId="622BD29D" w14:textId="77777777" w:rsidR="002959BC" w:rsidRPr="00683457" w:rsidRDefault="002959BC" w:rsidP="002959BC">
      <w:pPr>
        <w:ind w:firstLine="453"/>
        <w:jc w:val="both"/>
        <w:rPr>
          <w:rFonts w:ascii="Simplified Arabic" w:hAnsi="Simplified Arabic" w:cs="Simplified Arabic"/>
          <w:sz w:val="28"/>
          <w:szCs w:val="28"/>
          <w:rtl/>
          <w:lang w:bidi="ar-EG"/>
        </w:rPr>
      </w:pPr>
      <w:r w:rsidRPr="00683457">
        <w:rPr>
          <w:rFonts w:ascii="Simplified Arabic" w:hAnsi="Simplified Arabic" w:cs="Simplified Arabic"/>
          <w:sz w:val="28"/>
          <w:szCs w:val="28"/>
          <w:rtl/>
          <w:lang w:bidi="ar-EG"/>
        </w:rPr>
        <w:lastRenderedPageBreak/>
        <w:t>وكما يتضح مما سبق فإن أسباب التضخم تتعدد ويختلف الوزن النسبي لها من دولة إلى أخرى ومن فترة زمنية إلى فترة زمنية أخرى، وبالتالي فإن تحديد أسباب التضخم ومعرفة الوزن النسبي لكل سبب من هذه الأسباب هو البداية الحقيقية لعلاج مشكلة التضخم، ووضع السياسة العلاجية المناسبة للعمل على تحجيم التضخم وجعله في المستوى الآمن والمستقر بما يساهم في التنمية الاقتصادية.</w:t>
      </w:r>
    </w:p>
    <w:p w14:paraId="463BCD0B" w14:textId="77777777" w:rsidR="002959BC" w:rsidRPr="00683457" w:rsidRDefault="002959BC" w:rsidP="002959BC">
      <w:pPr>
        <w:ind w:firstLine="453"/>
        <w:jc w:val="both"/>
        <w:rPr>
          <w:rFonts w:ascii="Simplified Arabic" w:hAnsi="Simplified Arabic" w:cs="Simplified Arabic"/>
          <w:sz w:val="28"/>
          <w:szCs w:val="28"/>
          <w:rtl/>
          <w:lang w:bidi="ar-EG"/>
        </w:rPr>
      </w:pPr>
    </w:p>
    <w:p w14:paraId="7F35EA12" w14:textId="77777777" w:rsidR="002959BC" w:rsidRPr="00683457" w:rsidRDefault="002959BC" w:rsidP="002959BC">
      <w:pPr>
        <w:ind w:firstLine="454"/>
        <w:jc w:val="both"/>
        <w:rPr>
          <w:rFonts w:ascii="Simplified Arabic" w:hAnsi="Simplified Arabic" w:cs="Simplified Arabic"/>
          <w:sz w:val="28"/>
          <w:szCs w:val="28"/>
          <w:rtl/>
          <w:lang w:bidi="ar-EG"/>
        </w:rPr>
      </w:pPr>
      <w:r w:rsidRPr="00683457">
        <w:rPr>
          <w:rFonts w:ascii="Simplified Arabic" w:hAnsi="Simplified Arabic" w:cs="Simplified Arabic"/>
          <w:sz w:val="28"/>
          <w:szCs w:val="28"/>
          <w:rtl/>
          <w:lang w:bidi="ar-EG"/>
        </w:rPr>
        <w:t xml:space="preserve">ولما كان موضوع هذا البحث ينصب على تحليل وقياس العلاقة بين التضخم وأحد أهم أسبابه ألا وهو عجز الموازنة العامة للدولة، فسوف يتناول الفصل القادم الجانب التحليلي للعلاقة بين الآليات المالية لتمويل عجز الموازنة العامة للدولة والتضخم في جمهورية مصر العربية خلال الفترة من العام المالي 1991/1992 وحتى العام المالي 2018/2019. </w:t>
      </w:r>
    </w:p>
    <w:p w14:paraId="09B65823" w14:textId="06323261" w:rsidR="002959BC" w:rsidRDefault="002959BC">
      <w:pPr>
        <w:bidi w:val="0"/>
        <w:spacing w:after="160" w:line="259" w:lineRule="auto"/>
        <w:rPr>
          <w:rtl/>
          <w:lang w:bidi="ar-EG"/>
        </w:rPr>
      </w:pPr>
      <w:r>
        <w:rPr>
          <w:rtl/>
          <w:lang w:bidi="ar-EG"/>
        </w:rPr>
        <w:br w:type="page"/>
      </w:r>
    </w:p>
    <w:p w14:paraId="3E3A2439" w14:textId="77777777" w:rsidR="002959BC" w:rsidRPr="00FD5BEE" w:rsidRDefault="002959BC" w:rsidP="002959BC">
      <w:pPr>
        <w:shd w:val="clear" w:color="auto" w:fill="C5E0B3" w:themeFill="accent6" w:themeFillTint="66"/>
        <w:ind w:firstLine="28"/>
        <w:jc w:val="center"/>
        <w:rPr>
          <w:rFonts w:ascii="Simplified Arabic" w:hAnsi="Simplified Arabic" w:cs="Simplified Arabic"/>
          <w:b/>
          <w:bCs/>
          <w:sz w:val="32"/>
          <w:szCs w:val="32"/>
          <w:rtl/>
          <w:lang w:bidi="ar-EG"/>
        </w:rPr>
      </w:pPr>
      <w:r w:rsidRPr="00FD5BEE">
        <w:rPr>
          <w:rFonts w:ascii="Simplified Arabic" w:hAnsi="Simplified Arabic" w:cs="Simplified Arabic"/>
          <w:b/>
          <w:bCs/>
          <w:sz w:val="32"/>
          <w:szCs w:val="32"/>
          <w:rtl/>
          <w:lang w:bidi="ar-EG"/>
        </w:rPr>
        <w:lastRenderedPageBreak/>
        <w:t>المبحث الثاني:</w:t>
      </w:r>
    </w:p>
    <w:p w14:paraId="578C86A2" w14:textId="77777777" w:rsidR="002959BC" w:rsidRPr="00FD5BEE" w:rsidRDefault="002959BC" w:rsidP="002959BC">
      <w:pPr>
        <w:shd w:val="clear" w:color="auto" w:fill="C5E0B3" w:themeFill="accent6" w:themeFillTint="66"/>
        <w:ind w:firstLine="28"/>
        <w:jc w:val="center"/>
        <w:rPr>
          <w:rFonts w:ascii="Simplified Arabic" w:hAnsi="Simplified Arabic" w:cs="Simplified Arabic"/>
          <w:b/>
          <w:bCs/>
          <w:sz w:val="32"/>
          <w:szCs w:val="32"/>
          <w:rtl/>
          <w:lang w:bidi="ar-EG"/>
        </w:rPr>
      </w:pPr>
      <w:r w:rsidRPr="00FD5BEE">
        <w:rPr>
          <w:rFonts w:ascii="Simplified Arabic" w:hAnsi="Simplified Arabic" w:cs="Simplified Arabic"/>
          <w:b/>
          <w:bCs/>
          <w:sz w:val="32"/>
          <w:szCs w:val="32"/>
          <w:rtl/>
          <w:lang w:bidi="ar-EG"/>
        </w:rPr>
        <w:t>عجز الموازنة العامة للدولة</w:t>
      </w:r>
    </w:p>
    <w:p w14:paraId="4515CC38" w14:textId="77777777" w:rsidR="002959BC" w:rsidRPr="00FD5BEE" w:rsidRDefault="002959BC" w:rsidP="0041332D">
      <w:pPr>
        <w:pStyle w:val="ListParagraph"/>
        <w:numPr>
          <w:ilvl w:val="0"/>
          <w:numId w:val="2"/>
        </w:numPr>
        <w:spacing w:after="0" w:line="240" w:lineRule="auto"/>
        <w:ind w:left="311"/>
        <w:contextualSpacing w:val="0"/>
        <w:jc w:val="both"/>
        <w:rPr>
          <w:rFonts w:ascii="Simplified Arabic" w:hAnsi="Simplified Arabic" w:cs="Simplified Arabic"/>
          <w:b/>
          <w:bCs/>
          <w:sz w:val="30"/>
          <w:szCs w:val="30"/>
          <w:lang w:bidi="ar-EG"/>
        </w:rPr>
      </w:pPr>
      <w:r w:rsidRPr="00FD5BEE">
        <w:rPr>
          <w:rFonts w:ascii="Simplified Arabic" w:hAnsi="Simplified Arabic" w:cs="Simplified Arabic"/>
          <w:b/>
          <w:bCs/>
          <w:sz w:val="30"/>
          <w:szCs w:val="30"/>
          <w:rtl/>
          <w:lang w:bidi="ar-EG"/>
        </w:rPr>
        <w:t>تعريف عجز الموازنة العامة للدولة:</w:t>
      </w:r>
    </w:p>
    <w:p w14:paraId="7048523D" w14:textId="77777777" w:rsidR="002959BC" w:rsidRPr="00FD5BEE" w:rsidRDefault="002959BC" w:rsidP="002959BC">
      <w:pPr>
        <w:ind w:firstLine="453"/>
        <w:jc w:val="both"/>
        <w:rPr>
          <w:rFonts w:ascii="Simplified Arabic" w:hAnsi="Simplified Arabic" w:cs="Simplified Arabic"/>
          <w:sz w:val="28"/>
          <w:szCs w:val="28"/>
          <w:rtl/>
          <w:lang w:bidi="ar-EG"/>
        </w:rPr>
      </w:pPr>
      <w:r w:rsidRPr="00FD5BEE">
        <w:rPr>
          <w:rFonts w:ascii="Simplified Arabic" w:hAnsi="Simplified Arabic" w:cs="Simplified Arabic"/>
          <w:sz w:val="28"/>
          <w:szCs w:val="28"/>
          <w:rtl/>
          <w:lang w:bidi="ar-EG"/>
        </w:rPr>
        <w:t xml:space="preserve">يُمكن تعريف عجز الموازنة العامة بأنه زيادة الإنفاق الحكومي عن الإيرادات خلال عام مالي، وينتج عن قيام الحكومة بصرف مبالغ كبيرة تفوق إيراداتها، أو بمعنى آخر هو قصور الإيرادات العامة المقدرة للدولة عن سداد النفقات العامة المقدرة من جانب الدولة </w:t>
      </w:r>
      <w:r w:rsidRPr="00FD5BEE">
        <w:rPr>
          <w:rFonts w:ascii="Simplified Arabic" w:hAnsi="Simplified Arabic" w:cs="Simplified Arabic"/>
          <w:sz w:val="28"/>
          <w:szCs w:val="28"/>
          <w:vertAlign w:val="superscript"/>
          <w:rtl/>
          <w:lang w:bidi="ar-EG"/>
        </w:rPr>
        <w:t>(</w:t>
      </w:r>
      <w:r w:rsidRPr="00FD5BEE">
        <w:rPr>
          <w:rFonts w:ascii="Simplified Arabic" w:hAnsi="Simplified Arabic" w:cs="Simplified Arabic"/>
          <w:sz w:val="28"/>
          <w:szCs w:val="28"/>
          <w:vertAlign w:val="superscript"/>
          <w:rtl/>
          <w:lang w:bidi="ar-EG"/>
        </w:rPr>
        <w:footnoteReference w:id="48"/>
      </w:r>
      <w:r w:rsidRPr="00FD5BEE">
        <w:rPr>
          <w:rFonts w:ascii="Simplified Arabic" w:hAnsi="Simplified Arabic" w:cs="Simplified Arabic"/>
          <w:sz w:val="28"/>
          <w:szCs w:val="28"/>
          <w:vertAlign w:val="superscript"/>
          <w:rtl/>
          <w:lang w:bidi="ar-EG"/>
        </w:rPr>
        <w:t>)</w:t>
      </w:r>
      <w:r w:rsidRPr="00FD5BEE">
        <w:rPr>
          <w:rFonts w:ascii="Simplified Arabic" w:hAnsi="Simplified Arabic" w:cs="Simplified Arabic"/>
          <w:sz w:val="28"/>
          <w:szCs w:val="28"/>
          <w:rtl/>
          <w:lang w:bidi="ar-EG"/>
        </w:rPr>
        <w:t>، وهو ناتج بالأساس عن سوء تخطيط أو</w:t>
      </w:r>
      <w:r w:rsidRPr="00FD5BEE">
        <w:rPr>
          <w:rFonts w:ascii="Simplified Arabic" w:hAnsi="Simplified Arabic" w:cs="Simplified Arabic"/>
          <w:sz w:val="28"/>
          <w:szCs w:val="28"/>
          <w:lang w:bidi="ar-EG"/>
        </w:rPr>
        <w:t xml:space="preserve"> </w:t>
      </w:r>
      <w:r w:rsidRPr="00FD5BEE">
        <w:rPr>
          <w:rFonts w:ascii="Simplified Arabic" w:hAnsi="Simplified Arabic" w:cs="Simplified Arabic"/>
          <w:sz w:val="28"/>
          <w:szCs w:val="28"/>
          <w:rtl/>
          <w:lang w:bidi="ar-EG"/>
        </w:rPr>
        <w:t xml:space="preserve">تقدير الحكومة للإنفاق العام </w:t>
      </w:r>
      <w:r w:rsidRPr="00FD5BEE">
        <w:rPr>
          <w:rFonts w:ascii="Simplified Arabic" w:hAnsi="Simplified Arabic" w:cs="Simplified Arabic"/>
          <w:sz w:val="28"/>
          <w:szCs w:val="28"/>
          <w:vertAlign w:val="superscript"/>
          <w:rtl/>
          <w:lang w:bidi="ar-EG"/>
        </w:rPr>
        <w:t>(</w:t>
      </w:r>
      <w:r w:rsidRPr="00FD5BEE">
        <w:rPr>
          <w:rFonts w:ascii="Simplified Arabic" w:hAnsi="Simplified Arabic" w:cs="Simplified Arabic"/>
          <w:sz w:val="28"/>
          <w:szCs w:val="28"/>
          <w:vertAlign w:val="superscript"/>
          <w:rtl/>
          <w:lang w:bidi="ar-EG"/>
        </w:rPr>
        <w:footnoteReference w:id="49"/>
      </w:r>
      <w:r w:rsidRPr="00FD5BEE">
        <w:rPr>
          <w:rFonts w:ascii="Simplified Arabic" w:hAnsi="Simplified Arabic" w:cs="Simplified Arabic"/>
          <w:sz w:val="28"/>
          <w:szCs w:val="28"/>
          <w:vertAlign w:val="superscript"/>
          <w:rtl/>
          <w:lang w:bidi="ar-EG"/>
        </w:rPr>
        <w:t>)</w:t>
      </w:r>
      <w:r w:rsidRPr="00FD5BEE">
        <w:rPr>
          <w:rFonts w:ascii="Simplified Arabic" w:hAnsi="Simplified Arabic" w:cs="Simplified Arabic"/>
          <w:sz w:val="28"/>
          <w:szCs w:val="28"/>
          <w:rtl/>
          <w:lang w:bidi="ar-EG"/>
        </w:rPr>
        <w:t xml:space="preserve">. </w:t>
      </w:r>
    </w:p>
    <w:p w14:paraId="2187DC75" w14:textId="77777777" w:rsidR="002959BC" w:rsidRPr="00FD5BEE" w:rsidRDefault="002959BC" w:rsidP="002959BC">
      <w:pPr>
        <w:ind w:firstLine="709"/>
        <w:jc w:val="both"/>
        <w:rPr>
          <w:rFonts w:ascii="Simplified Arabic" w:hAnsi="Simplified Arabic" w:cs="Simplified Arabic"/>
          <w:rtl/>
          <w:lang w:bidi="ar-EG"/>
        </w:rPr>
      </w:pPr>
    </w:p>
    <w:p w14:paraId="7421365D" w14:textId="77777777" w:rsidR="002959BC" w:rsidRPr="00FD5BEE" w:rsidRDefault="002959BC" w:rsidP="002959BC">
      <w:pPr>
        <w:ind w:firstLine="453"/>
        <w:jc w:val="both"/>
        <w:rPr>
          <w:rFonts w:ascii="Simplified Arabic" w:hAnsi="Simplified Arabic" w:cs="Simplified Arabic"/>
          <w:sz w:val="28"/>
          <w:szCs w:val="28"/>
          <w:rtl/>
          <w:lang w:bidi="ar-EG"/>
        </w:rPr>
      </w:pPr>
      <w:r w:rsidRPr="00FD5BEE">
        <w:rPr>
          <w:rFonts w:ascii="Simplified Arabic" w:hAnsi="Simplified Arabic" w:cs="Simplified Arabic"/>
          <w:sz w:val="28"/>
          <w:szCs w:val="28"/>
          <w:rtl/>
          <w:lang w:bidi="ar-EG"/>
        </w:rPr>
        <w:t>ووفقاً لدليل إحصاءات مالية الحكومة الصادر عن صندوق النقد الدولي فإن العجز الكلي للموازنة العامة للدولة يمثل العجز النقدي مضافاً إليه صافي الحيازة من الأصول المالية، حيث أن العجز النقدي هو الفرق بين المصروفات (الأبواب الستة الأولى في جانب الاستخدامات) والإيرادات (الأبواب الثلاثة الأولى في جانب الموارد)، بينما يحسب صافي الحيازة من الأصول المالية كالتالي: (الباب السابع في الاستخدامات "حيازة الأصول المالية المحلية والأجنبية" مطروحًا منه مساهمة الخزانة العامة في صندوق إعادة الهيكلة) ناقص (الباب الرابع في الموارد "متحصلات الإقراض ومبيعات الأصول المالية" مطروحاً منه حصيلة الخصخصة)</w:t>
      </w:r>
      <w:r w:rsidRPr="00FD5BEE">
        <w:rPr>
          <w:rFonts w:ascii="Simplified Arabic" w:hAnsi="Simplified Arabic" w:cs="Simplified Arabic"/>
          <w:sz w:val="28"/>
          <w:szCs w:val="28"/>
          <w:vertAlign w:val="superscript"/>
          <w:rtl/>
          <w:lang w:bidi="ar-EG"/>
        </w:rPr>
        <w:t xml:space="preserve"> (</w:t>
      </w:r>
      <w:r w:rsidRPr="00FD5BEE">
        <w:rPr>
          <w:rFonts w:ascii="Simplified Arabic" w:hAnsi="Simplified Arabic" w:cs="Simplified Arabic"/>
          <w:sz w:val="28"/>
          <w:szCs w:val="28"/>
          <w:vertAlign w:val="superscript"/>
          <w:rtl/>
          <w:lang w:bidi="ar-EG"/>
        </w:rPr>
        <w:footnoteReference w:id="50"/>
      </w:r>
      <w:r w:rsidRPr="00FD5BEE">
        <w:rPr>
          <w:rFonts w:ascii="Simplified Arabic" w:hAnsi="Simplified Arabic" w:cs="Simplified Arabic"/>
          <w:sz w:val="28"/>
          <w:szCs w:val="28"/>
          <w:vertAlign w:val="superscript"/>
          <w:rtl/>
          <w:lang w:bidi="ar-EG"/>
        </w:rPr>
        <w:t>)</w:t>
      </w:r>
      <w:r w:rsidRPr="00FD5BEE">
        <w:rPr>
          <w:rFonts w:ascii="Simplified Arabic" w:hAnsi="Simplified Arabic" w:cs="Simplified Arabic"/>
          <w:sz w:val="28"/>
          <w:szCs w:val="28"/>
          <w:rtl/>
          <w:lang w:bidi="ar-EG"/>
        </w:rPr>
        <w:t xml:space="preserve">. </w:t>
      </w:r>
    </w:p>
    <w:p w14:paraId="392F8107" w14:textId="77777777" w:rsidR="002959BC" w:rsidRPr="006747F0" w:rsidRDefault="002959BC" w:rsidP="002959BC">
      <w:pPr>
        <w:ind w:firstLine="709"/>
        <w:jc w:val="both"/>
        <w:rPr>
          <w:rFonts w:ascii="Simplified Arabic" w:hAnsi="Simplified Arabic" w:cs="Simplified Arabic"/>
          <w:color w:val="FF0000"/>
          <w:sz w:val="18"/>
          <w:szCs w:val="18"/>
          <w:rtl/>
          <w:lang w:bidi="ar-EG"/>
        </w:rPr>
      </w:pPr>
    </w:p>
    <w:p w14:paraId="6E75AB1A" w14:textId="77777777" w:rsidR="002959BC" w:rsidRDefault="002959BC" w:rsidP="002959BC">
      <w:pPr>
        <w:ind w:firstLine="453"/>
        <w:jc w:val="both"/>
        <w:rPr>
          <w:rFonts w:ascii="Simplified Arabic" w:hAnsi="Simplified Arabic" w:cs="Simplified Arabic"/>
          <w:sz w:val="28"/>
          <w:szCs w:val="28"/>
          <w:rtl/>
          <w:lang w:bidi="ar-EG"/>
        </w:rPr>
      </w:pPr>
      <w:r w:rsidRPr="00FD5BEE">
        <w:rPr>
          <w:rFonts w:ascii="Simplified Arabic" w:hAnsi="Simplified Arabic" w:cs="Simplified Arabic"/>
          <w:sz w:val="28"/>
          <w:szCs w:val="28"/>
          <w:rtl/>
          <w:lang w:bidi="ar-EG"/>
        </w:rPr>
        <w:t>إن وجود عجز/فائض في الموازنة العامة للدولة هو مؤشر على اتجاه السياسة المالية التي تتبعها الدولة فوجود عجز في الموازنة العامة للدولة يعني انتهاج الحكومة لسياسة مالية توسعية لزيادة النفقات العامة في مجالات الاستثمارات رغبة منها في رفع معدلات النمو الاقتصادي والتشغيل أو لزيادة النفقات الاجتماعية من أجل تخفيف الضغوط المعيشية عن المواطنين من خلال أنواع الدعم المختلفة (العيني أو النقدي) أو لمواجهة الطوارئ والظروف غير المواتية بيئياً أو عسكرياً أو لمواجهة آثار الدورة الاقتصادية في حالة الركود الاقتصادي.</w:t>
      </w:r>
    </w:p>
    <w:p w14:paraId="3332022D" w14:textId="77777777" w:rsidR="002959BC" w:rsidRPr="006747F0" w:rsidRDefault="002959BC" w:rsidP="002959BC">
      <w:pPr>
        <w:ind w:firstLine="453"/>
        <w:jc w:val="both"/>
        <w:rPr>
          <w:rFonts w:ascii="Simplified Arabic" w:hAnsi="Simplified Arabic" w:cs="Simplified Arabic"/>
          <w:sz w:val="16"/>
          <w:szCs w:val="16"/>
          <w:lang w:bidi="ar-EG"/>
        </w:rPr>
      </w:pPr>
    </w:p>
    <w:p w14:paraId="208A4A65" w14:textId="52BE863B" w:rsidR="002959BC" w:rsidRDefault="002959BC" w:rsidP="002959BC">
      <w:pPr>
        <w:ind w:firstLine="453"/>
        <w:jc w:val="both"/>
        <w:rPr>
          <w:rFonts w:ascii="Simplified Arabic" w:hAnsi="Simplified Arabic" w:cs="Simplified Arabic"/>
          <w:sz w:val="28"/>
          <w:szCs w:val="28"/>
          <w:rtl/>
          <w:lang w:bidi="ar-EG"/>
        </w:rPr>
      </w:pPr>
      <w:r w:rsidRPr="00FD5BEE">
        <w:rPr>
          <w:rFonts w:ascii="Simplified Arabic" w:hAnsi="Simplified Arabic" w:cs="Simplified Arabic"/>
          <w:sz w:val="28"/>
          <w:szCs w:val="28"/>
          <w:rtl/>
          <w:lang w:bidi="ar-EG"/>
        </w:rPr>
        <w:t>أما في حالة تحقيق فائض في الموازنة العامة للدولة فإن ذلك يدل على أن الحكومة تنتهج سياسة مالية انكماشية عن طريق فرض مزيد من الضرائب أو تقليل النفقات العامة وذلك إما لسداد الديون الداخلية والخارجية أو لتقليل الزخم الاقتصادي المفرط الذي يمكن أن يؤدي إلى إنهاك الطاقات الإنتاجية.</w:t>
      </w:r>
    </w:p>
    <w:p w14:paraId="45D77FE1" w14:textId="77777777" w:rsidR="00270E6A" w:rsidRPr="00FD5BEE" w:rsidRDefault="00270E6A" w:rsidP="002959BC">
      <w:pPr>
        <w:ind w:firstLine="453"/>
        <w:jc w:val="both"/>
        <w:rPr>
          <w:rFonts w:ascii="Simplified Arabic" w:hAnsi="Simplified Arabic" w:cs="Simplified Arabic"/>
          <w:sz w:val="28"/>
          <w:szCs w:val="28"/>
          <w:rtl/>
          <w:lang w:bidi="ar-EG"/>
        </w:rPr>
      </w:pPr>
    </w:p>
    <w:p w14:paraId="7454DA8E" w14:textId="77777777" w:rsidR="002959BC" w:rsidRPr="00FD5BEE" w:rsidRDefault="002959BC" w:rsidP="0041332D">
      <w:pPr>
        <w:pStyle w:val="ListParagraph"/>
        <w:numPr>
          <w:ilvl w:val="0"/>
          <w:numId w:val="2"/>
        </w:numPr>
        <w:spacing w:after="0" w:line="240" w:lineRule="auto"/>
        <w:ind w:left="311"/>
        <w:contextualSpacing w:val="0"/>
        <w:jc w:val="both"/>
        <w:rPr>
          <w:rFonts w:ascii="Simplified Arabic" w:hAnsi="Simplified Arabic" w:cs="Simplified Arabic"/>
          <w:b/>
          <w:bCs/>
          <w:sz w:val="30"/>
          <w:szCs w:val="30"/>
          <w:lang w:bidi="ar-EG"/>
        </w:rPr>
      </w:pPr>
      <w:r w:rsidRPr="00FD5BEE">
        <w:rPr>
          <w:rFonts w:ascii="Simplified Arabic" w:hAnsi="Simplified Arabic" w:cs="Simplified Arabic"/>
          <w:b/>
          <w:bCs/>
          <w:sz w:val="30"/>
          <w:szCs w:val="30"/>
          <w:rtl/>
          <w:lang w:bidi="ar-EG"/>
        </w:rPr>
        <w:lastRenderedPageBreak/>
        <w:t>أنواع عجز الموازنة العامة للدولة:</w:t>
      </w:r>
    </w:p>
    <w:p w14:paraId="76517FEE" w14:textId="77777777" w:rsidR="002959BC" w:rsidRPr="00FD5BEE" w:rsidRDefault="002959BC" w:rsidP="002959BC">
      <w:pPr>
        <w:ind w:firstLine="453"/>
        <w:jc w:val="both"/>
        <w:rPr>
          <w:rFonts w:ascii="Simplified Arabic" w:hAnsi="Simplified Arabic" w:cs="Simplified Arabic"/>
          <w:sz w:val="28"/>
          <w:szCs w:val="28"/>
          <w:rtl/>
          <w:lang w:bidi="ar-EG"/>
        </w:rPr>
      </w:pPr>
      <w:r w:rsidRPr="00FD5BEE">
        <w:rPr>
          <w:rFonts w:ascii="Simplified Arabic" w:hAnsi="Simplified Arabic" w:cs="Simplified Arabic"/>
          <w:sz w:val="28"/>
          <w:szCs w:val="28"/>
          <w:rtl/>
          <w:lang w:bidi="ar-EG"/>
        </w:rPr>
        <w:t>تستخدم عدة مقاييس لتحليل سياسة المالية العامة لأغراض تحليل الاقتصاد الكلي، بما في ذلك الأرصدة الأساسية في نظام إحصاءات مالية الحكومة والأرصدة التي تستخدمها مختلف المؤسسات (بما في ذلك صندوق النقد الدولي) وتنطبق هذه المقاييس على مختلف مستويات الحكومة أو قطاع الحكومة العامة أو القطاع العام، ويمكن تصنيف عجز الموازنة العامة للدولة إلى عدة أنواع حسب طبيعة العجز وحسب الهدف من قياس هذا العجز وذلك على النحو التالي</w:t>
      </w:r>
      <w:r w:rsidRPr="00FD5BEE">
        <w:rPr>
          <w:rFonts w:ascii="Simplified Arabic" w:hAnsi="Simplified Arabic" w:cs="Simplified Arabic"/>
          <w:sz w:val="28"/>
          <w:szCs w:val="28"/>
          <w:vertAlign w:val="superscript"/>
          <w:rtl/>
          <w:lang w:bidi="ar-EG"/>
        </w:rPr>
        <w:t xml:space="preserve"> (</w:t>
      </w:r>
      <w:r w:rsidRPr="00FD5BEE">
        <w:rPr>
          <w:rFonts w:ascii="Simplified Arabic" w:hAnsi="Simplified Arabic" w:cs="Simplified Arabic"/>
          <w:sz w:val="28"/>
          <w:szCs w:val="28"/>
          <w:vertAlign w:val="superscript"/>
          <w:rtl/>
          <w:lang w:bidi="ar-EG"/>
        </w:rPr>
        <w:footnoteReference w:id="51"/>
      </w:r>
      <w:r w:rsidRPr="00FD5BEE">
        <w:rPr>
          <w:rFonts w:ascii="Simplified Arabic" w:hAnsi="Simplified Arabic" w:cs="Simplified Arabic"/>
          <w:sz w:val="28"/>
          <w:szCs w:val="28"/>
          <w:vertAlign w:val="superscript"/>
          <w:rtl/>
          <w:lang w:bidi="ar-EG"/>
        </w:rPr>
        <w:t>)</w:t>
      </w:r>
      <w:r w:rsidRPr="00FD5BEE">
        <w:rPr>
          <w:rFonts w:ascii="Simplified Arabic" w:hAnsi="Simplified Arabic" w:cs="Simplified Arabic"/>
          <w:sz w:val="28"/>
          <w:szCs w:val="28"/>
          <w:rtl/>
          <w:lang w:bidi="ar-EG"/>
        </w:rPr>
        <w:t>:</w:t>
      </w:r>
    </w:p>
    <w:p w14:paraId="2FA5C187" w14:textId="77777777" w:rsidR="002959BC" w:rsidRPr="006747F0" w:rsidRDefault="002959BC" w:rsidP="002959BC">
      <w:pPr>
        <w:ind w:firstLine="709"/>
        <w:jc w:val="both"/>
        <w:rPr>
          <w:rFonts w:ascii="Simplified Arabic" w:hAnsi="Simplified Arabic" w:cs="Simplified Arabic"/>
          <w:rtl/>
          <w:lang w:bidi="ar-EG"/>
        </w:rPr>
      </w:pPr>
    </w:p>
    <w:p w14:paraId="04FE1976" w14:textId="77777777" w:rsidR="002959BC" w:rsidRPr="00FD5BEE" w:rsidRDefault="002959BC" w:rsidP="0041332D">
      <w:pPr>
        <w:pStyle w:val="ListParagraph"/>
        <w:numPr>
          <w:ilvl w:val="0"/>
          <w:numId w:val="19"/>
        </w:numPr>
        <w:spacing w:after="0" w:line="240" w:lineRule="auto"/>
        <w:ind w:left="567" w:hanging="284"/>
        <w:contextualSpacing w:val="0"/>
        <w:jc w:val="both"/>
        <w:rPr>
          <w:rFonts w:ascii="Simplified Arabic" w:hAnsi="Simplified Arabic" w:cs="Simplified Arabic"/>
          <w:sz w:val="28"/>
          <w:szCs w:val="28"/>
          <w:u w:val="single"/>
          <w:lang w:bidi="ar-EG"/>
        </w:rPr>
      </w:pPr>
      <w:r w:rsidRPr="00FD5BEE">
        <w:rPr>
          <w:rFonts w:ascii="Simplified Arabic" w:hAnsi="Simplified Arabic" w:cs="Simplified Arabic"/>
          <w:sz w:val="28"/>
          <w:szCs w:val="28"/>
          <w:u w:val="single"/>
          <w:rtl/>
          <w:lang w:bidi="ar-EG"/>
        </w:rPr>
        <w:t>العجز المقدر والعجز المحاسبي:</w:t>
      </w:r>
    </w:p>
    <w:p w14:paraId="232366F0" w14:textId="77777777" w:rsidR="002959BC" w:rsidRPr="006747F0" w:rsidRDefault="002959BC" w:rsidP="0041332D">
      <w:pPr>
        <w:pStyle w:val="ListParagraph"/>
        <w:numPr>
          <w:ilvl w:val="0"/>
          <w:numId w:val="24"/>
        </w:numPr>
        <w:spacing w:after="0" w:line="240" w:lineRule="auto"/>
        <w:ind w:left="850"/>
        <w:jc w:val="both"/>
        <w:rPr>
          <w:rFonts w:ascii="Simplified Arabic" w:hAnsi="Simplified Arabic" w:cs="Simplified Arabic"/>
          <w:sz w:val="28"/>
          <w:szCs w:val="28"/>
          <w:rtl/>
          <w:lang w:bidi="ar-EG"/>
        </w:rPr>
      </w:pPr>
      <w:r w:rsidRPr="006747F0">
        <w:rPr>
          <w:rFonts w:ascii="Simplified Arabic" w:hAnsi="Simplified Arabic" w:cs="Simplified Arabic"/>
          <w:sz w:val="28"/>
          <w:szCs w:val="28"/>
          <w:rtl/>
          <w:lang w:bidi="ar-EG"/>
        </w:rPr>
        <w:t>العجز المقدر هو العجز الذي يُسمح به في الموازنة العامة ويتم بصورة مقصودة لزيادة النفقات العامة لفترة قد تطول أو تقصر حسب الظروف والحاجة لذلك، ويُسمى أيضاً بالعجز المقصود أو المخطط.</w:t>
      </w:r>
    </w:p>
    <w:p w14:paraId="2030B8F7" w14:textId="77777777" w:rsidR="002959BC" w:rsidRPr="00FD5BEE" w:rsidRDefault="002959BC" w:rsidP="0041332D">
      <w:pPr>
        <w:pStyle w:val="ListParagraph"/>
        <w:numPr>
          <w:ilvl w:val="0"/>
          <w:numId w:val="24"/>
        </w:numPr>
        <w:spacing w:after="0" w:line="240" w:lineRule="auto"/>
        <w:ind w:left="850"/>
        <w:jc w:val="both"/>
        <w:rPr>
          <w:rFonts w:ascii="Simplified Arabic" w:hAnsi="Simplified Arabic" w:cs="Simplified Arabic"/>
          <w:sz w:val="28"/>
          <w:szCs w:val="28"/>
          <w:rtl/>
          <w:lang w:bidi="ar-EG"/>
        </w:rPr>
      </w:pPr>
      <w:r w:rsidRPr="00FD5BEE">
        <w:rPr>
          <w:rFonts w:ascii="Simplified Arabic" w:hAnsi="Simplified Arabic" w:cs="Simplified Arabic"/>
          <w:sz w:val="28"/>
          <w:szCs w:val="28"/>
          <w:rtl/>
          <w:lang w:bidi="ar-EG"/>
        </w:rPr>
        <w:t>أما العجز المحاسبي فهو العجز الناتج عن خطأ فني أو حسابي في تقدير مختلف عناصر الميزانية.</w:t>
      </w:r>
    </w:p>
    <w:p w14:paraId="0834A2EB" w14:textId="77777777" w:rsidR="002959BC" w:rsidRPr="00883B9A" w:rsidRDefault="002959BC" w:rsidP="002959BC">
      <w:pPr>
        <w:ind w:left="1020"/>
        <w:jc w:val="both"/>
        <w:rPr>
          <w:rFonts w:ascii="Simplified Arabic" w:hAnsi="Simplified Arabic" w:cs="Simplified Arabic"/>
          <w:rtl/>
          <w:lang w:bidi="ar-EG"/>
        </w:rPr>
      </w:pPr>
    </w:p>
    <w:p w14:paraId="665AB3E9" w14:textId="77777777" w:rsidR="002959BC" w:rsidRPr="00FD5BEE" w:rsidRDefault="002959BC" w:rsidP="0041332D">
      <w:pPr>
        <w:pStyle w:val="ListParagraph"/>
        <w:numPr>
          <w:ilvl w:val="0"/>
          <w:numId w:val="19"/>
        </w:numPr>
        <w:spacing w:after="0" w:line="240" w:lineRule="auto"/>
        <w:ind w:left="567" w:hanging="284"/>
        <w:contextualSpacing w:val="0"/>
        <w:jc w:val="both"/>
        <w:rPr>
          <w:rFonts w:ascii="Simplified Arabic" w:hAnsi="Simplified Arabic" w:cs="Simplified Arabic"/>
          <w:sz w:val="28"/>
          <w:szCs w:val="28"/>
          <w:u w:val="single"/>
          <w:lang w:bidi="ar-EG"/>
        </w:rPr>
      </w:pPr>
      <w:r w:rsidRPr="00FD5BEE">
        <w:rPr>
          <w:rFonts w:ascii="Simplified Arabic" w:hAnsi="Simplified Arabic" w:cs="Simplified Arabic"/>
          <w:sz w:val="28"/>
          <w:szCs w:val="28"/>
          <w:u w:val="single"/>
          <w:rtl/>
          <w:lang w:bidi="ar-EG"/>
        </w:rPr>
        <w:t>العجز النقدي والعجز التشغيلي:</w:t>
      </w:r>
    </w:p>
    <w:p w14:paraId="40B4E7BB" w14:textId="77777777" w:rsidR="002959BC" w:rsidRPr="00FD5BEE" w:rsidRDefault="002959BC" w:rsidP="0041332D">
      <w:pPr>
        <w:pStyle w:val="ListParagraph"/>
        <w:numPr>
          <w:ilvl w:val="0"/>
          <w:numId w:val="24"/>
        </w:numPr>
        <w:spacing w:after="0" w:line="240" w:lineRule="auto"/>
        <w:ind w:left="850"/>
        <w:jc w:val="both"/>
        <w:rPr>
          <w:rFonts w:ascii="Simplified Arabic" w:hAnsi="Simplified Arabic" w:cs="Simplified Arabic"/>
          <w:sz w:val="28"/>
          <w:szCs w:val="28"/>
          <w:rtl/>
          <w:lang w:bidi="ar-EG"/>
        </w:rPr>
      </w:pPr>
      <w:r w:rsidRPr="00FD5BEE">
        <w:rPr>
          <w:rFonts w:ascii="Simplified Arabic" w:hAnsi="Simplified Arabic" w:cs="Simplified Arabic"/>
          <w:sz w:val="28"/>
          <w:szCs w:val="28"/>
          <w:rtl/>
          <w:lang w:bidi="ar-EG"/>
        </w:rPr>
        <w:t>العجز النقدي هو الفرق بين المصروفات والإيرادات ويعكس هذا المفهوم قدرة الإيرادات على تغطية المصروفات الحكومية.</w:t>
      </w:r>
    </w:p>
    <w:p w14:paraId="772AD4F6" w14:textId="77777777" w:rsidR="002959BC" w:rsidRPr="00FD5BEE" w:rsidRDefault="002959BC" w:rsidP="0041332D">
      <w:pPr>
        <w:pStyle w:val="ListParagraph"/>
        <w:numPr>
          <w:ilvl w:val="0"/>
          <w:numId w:val="24"/>
        </w:numPr>
        <w:spacing w:after="0" w:line="240" w:lineRule="auto"/>
        <w:ind w:left="850"/>
        <w:jc w:val="both"/>
        <w:rPr>
          <w:rFonts w:ascii="Simplified Arabic" w:hAnsi="Simplified Arabic" w:cs="Simplified Arabic"/>
          <w:sz w:val="28"/>
          <w:szCs w:val="28"/>
          <w:rtl/>
          <w:lang w:bidi="ar-EG"/>
        </w:rPr>
      </w:pPr>
      <w:r w:rsidRPr="00FD5BEE">
        <w:rPr>
          <w:rFonts w:ascii="Simplified Arabic" w:hAnsi="Simplified Arabic" w:cs="Simplified Arabic"/>
          <w:sz w:val="28"/>
          <w:szCs w:val="28"/>
          <w:rtl/>
          <w:lang w:bidi="ar-EG"/>
        </w:rPr>
        <w:t>أما العجز التشغيلي فهو الفرق بين المصروفات والإيرادات بخلاف استهلاك رأس المال الثابت.</w:t>
      </w:r>
    </w:p>
    <w:p w14:paraId="4138CE03" w14:textId="77777777" w:rsidR="002959BC" w:rsidRPr="00883B9A" w:rsidRDefault="002959BC" w:rsidP="002959BC">
      <w:pPr>
        <w:ind w:left="1020"/>
        <w:jc w:val="both"/>
        <w:rPr>
          <w:rFonts w:ascii="Simplified Arabic" w:hAnsi="Simplified Arabic" w:cs="Simplified Arabic"/>
          <w:rtl/>
          <w:lang w:bidi="ar-EG"/>
        </w:rPr>
      </w:pPr>
    </w:p>
    <w:p w14:paraId="3B44319E" w14:textId="77777777" w:rsidR="002959BC" w:rsidRPr="00FD5BEE" w:rsidRDefault="002959BC" w:rsidP="0041332D">
      <w:pPr>
        <w:pStyle w:val="ListParagraph"/>
        <w:numPr>
          <w:ilvl w:val="0"/>
          <w:numId w:val="19"/>
        </w:numPr>
        <w:spacing w:after="0" w:line="240" w:lineRule="auto"/>
        <w:ind w:left="567" w:hanging="284"/>
        <w:contextualSpacing w:val="0"/>
        <w:jc w:val="both"/>
        <w:rPr>
          <w:rFonts w:ascii="Simplified Arabic" w:hAnsi="Simplified Arabic" w:cs="Simplified Arabic"/>
          <w:sz w:val="28"/>
          <w:szCs w:val="28"/>
          <w:u w:val="single"/>
          <w:lang w:bidi="ar-EG"/>
        </w:rPr>
      </w:pPr>
      <w:r w:rsidRPr="00FD5BEE">
        <w:rPr>
          <w:rFonts w:ascii="Simplified Arabic" w:hAnsi="Simplified Arabic" w:cs="Simplified Arabic"/>
          <w:sz w:val="28"/>
          <w:szCs w:val="28"/>
          <w:u w:val="single"/>
          <w:rtl/>
          <w:lang w:bidi="ar-EG"/>
        </w:rPr>
        <w:t>العجز المركزي والعجز الموحد للقطاع العام:</w:t>
      </w:r>
    </w:p>
    <w:p w14:paraId="42303CC9" w14:textId="77777777" w:rsidR="002959BC" w:rsidRPr="00FD5BEE" w:rsidRDefault="002959BC" w:rsidP="0041332D">
      <w:pPr>
        <w:pStyle w:val="ListParagraph"/>
        <w:numPr>
          <w:ilvl w:val="0"/>
          <w:numId w:val="24"/>
        </w:numPr>
        <w:spacing w:after="0" w:line="240" w:lineRule="auto"/>
        <w:ind w:left="850"/>
        <w:jc w:val="both"/>
        <w:rPr>
          <w:rFonts w:ascii="Simplified Arabic" w:hAnsi="Simplified Arabic" w:cs="Simplified Arabic"/>
          <w:sz w:val="28"/>
          <w:szCs w:val="28"/>
          <w:rtl/>
          <w:lang w:bidi="ar-EG"/>
        </w:rPr>
      </w:pPr>
      <w:r w:rsidRPr="00FD5BEE">
        <w:rPr>
          <w:rFonts w:ascii="Simplified Arabic" w:hAnsi="Simplified Arabic" w:cs="Simplified Arabic"/>
          <w:sz w:val="28"/>
          <w:szCs w:val="28"/>
          <w:rtl/>
          <w:lang w:bidi="ar-EG"/>
        </w:rPr>
        <w:t>يختص العجز المركزي بالحكومة المركزية فهو الفرق بين إجمالي النفقات الحكومية، وبين الإيرادات الحكومية بدون الاقتراض، وبالتالي فهو يخبرنا بالفجوة التمويلية التي يجب تغطيتها بالاقتراض، إلا أنه غير قابل للمقارنة بين الدول المختلفة لاختلاف مفهوم الحكومة المركزية من دولة لأخرى.</w:t>
      </w:r>
    </w:p>
    <w:p w14:paraId="4F98C24F" w14:textId="7751B8B2" w:rsidR="002959BC" w:rsidRDefault="002959BC" w:rsidP="0041332D">
      <w:pPr>
        <w:pStyle w:val="ListParagraph"/>
        <w:numPr>
          <w:ilvl w:val="0"/>
          <w:numId w:val="24"/>
        </w:numPr>
        <w:spacing w:after="0" w:line="240" w:lineRule="auto"/>
        <w:ind w:left="850"/>
        <w:jc w:val="both"/>
        <w:rPr>
          <w:rFonts w:ascii="Simplified Arabic" w:hAnsi="Simplified Arabic" w:cs="Simplified Arabic"/>
          <w:sz w:val="28"/>
          <w:szCs w:val="28"/>
          <w:lang w:bidi="ar-EG"/>
        </w:rPr>
      </w:pPr>
      <w:r w:rsidRPr="00FD5BEE">
        <w:rPr>
          <w:rFonts w:ascii="Simplified Arabic" w:hAnsi="Simplified Arabic" w:cs="Simplified Arabic"/>
          <w:sz w:val="28"/>
          <w:szCs w:val="28"/>
          <w:rtl/>
          <w:lang w:bidi="ar-EG"/>
        </w:rPr>
        <w:t>أما العجز الموحد للقطاع العام فهو العجز الناتج من الحسابات الموحدة للقطاع العام ويتسم بدرجة عالية من الشمول ودقة التقديرات الإحصائية، كما أنه يغطي وسائل التمويل بما فيها تمويل هذا العجز.</w:t>
      </w:r>
    </w:p>
    <w:p w14:paraId="15277C54" w14:textId="77777777" w:rsidR="00270E6A" w:rsidRPr="00FD5BEE" w:rsidRDefault="00270E6A" w:rsidP="00270E6A">
      <w:pPr>
        <w:pStyle w:val="ListParagraph"/>
        <w:spacing w:after="0" w:line="240" w:lineRule="auto"/>
        <w:ind w:left="850"/>
        <w:jc w:val="both"/>
        <w:rPr>
          <w:rFonts w:ascii="Simplified Arabic" w:hAnsi="Simplified Arabic" w:cs="Simplified Arabic"/>
          <w:sz w:val="28"/>
          <w:szCs w:val="28"/>
          <w:rtl/>
          <w:lang w:bidi="ar-EG"/>
        </w:rPr>
      </w:pPr>
    </w:p>
    <w:p w14:paraId="326341FE" w14:textId="77777777" w:rsidR="002959BC" w:rsidRPr="00FD5BEE" w:rsidRDefault="002959BC" w:rsidP="0041332D">
      <w:pPr>
        <w:pStyle w:val="ListParagraph"/>
        <w:numPr>
          <w:ilvl w:val="0"/>
          <w:numId w:val="19"/>
        </w:numPr>
        <w:spacing w:after="0" w:line="240" w:lineRule="auto"/>
        <w:ind w:left="567" w:hanging="284"/>
        <w:contextualSpacing w:val="0"/>
        <w:jc w:val="both"/>
        <w:rPr>
          <w:rFonts w:ascii="Simplified Arabic" w:hAnsi="Simplified Arabic" w:cs="Simplified Arabic"/>
          <w:sz w:val="28"/>
          <w:szCs w:val="28"/>
          <w:u w:val="single"/>
          <w:lang w:bidi="ar-EG"/>
        </w:rPr>
      </w:pPr>
      <w:r w:rsidRPr="00FD5BEE">
        <w:rPr>
          <w:rFonts w:ascii="Simplified Arabic" w:hAnsi="Simplified Arabic" w:cs="Simplified Arabic"/>
          <w:sz w:val="28"/>
          <w:szCs w:val="28"/>
          <w:u w:val="single"/>
          <w:rtl/>
          <w:lang w:bidi="ar-EG"/>
        </w:rPr>
        <w:lastRenderedPageBreak/>
        <w:t>العجز الدوري والعجز الهيكلي:</w:t>
      </w:r>
    </w:p>
    <w:p w14:paraId="24E77954" w14:textId="77777777" w:rsidR="002959BC" w:rsidRPr="00FD5BEE" w:rsidRDefault="002959BC" w:rsidP="0041332D">
      <w:pPr>
        <w:pStyle w:val="ListParagraph"/>
        <w:numPr>
          <w:ilvl w:val="0"/>
          <w:numId w:val="24"/>
        </w:numPr>
        <w:spacing w:after="0" w:line="240" w:lineRule="auto"/>
        <w:ind w:left="850"/>
        <w:jc w:val="both"/>
        <w:rPr>
          <w:rFonts w:ascii="Simplified Arabic" w:hAnsi="Simplified Arabic" w:cs="Simplified Arabic"/>
          <w:sz w:val="28"/>
          <w:szCs w:val="28"/>
          <w:rtl/>
          <w:lang w:bidi="ar-EG"/>
        </w:rPr>
      </w:pPr>
      <w:r w:rsidRPr="00FD5BEE">
        <w:rPr>
          <w:rFonts w:ascii="Simplified Arabic" w:hAnsi="Simplified Arabic" w:cs="Simplified Arabic"/>
          <w:sz w:val="28"/>
          <w:szCs w:val="28"/>
          <w:rtl/>
          <w:lang w:bidi="ar-EG"/>
        </w:rPr>
        <w:t>يرتبط العجز الدوري بالدورة الاقتصادية حيث يظهر في مرحلة الكساد حيث تكون الإيرادات الحكومية من الضرائب منخفضة وتكون معدلات البطالة مرتفعة مما يستلزم معه زيادة النفقات الحكومية، ويختفي في مرحلة الرواج الاقتصادي.</w:t>
      </w:r>
    </w:p>
    <w:p w14:paraId="5F264D00" w14:textId="77777777" w:rsidR="002959BC" w:rsidRPr="00FD5BEE" w:rsidRDefault="002959BC" w:rsidP="002959BC">
      <w:pPr>
        <w:ind w:left="1020"/>
        <w:jc w:val="both"/>
        <w:rPr>
          <w:rFonts w:ascii="Simplified Arabic" w:hAnsi="Simplified Arabic" w:cs="Simplified Arabic"/>
          <w:sz w:val="28"/>
          <w:szCs w:val="28"/>
          <w:rtl/>
          <w:lang w:bidi="ar-EG"/>
        </w:rPr>
      </w:pPr>
    </w:p>
    <w:p w14:paraId="5B64EFC3" w14:textId="77777777" w:rsidR="002959BC" w:rsidRPr="00FD5BEE" w:rsidRDefault="002959BC" w:rsidP="0041332D">
      <w:pPr>
        <w:pStyle w:val="ListParagraph"/>
        <w:numPr>
          <w:ilvl w:val="0"/>
          <w:numId w:val="24"/>
        </w:numPr>
        <w:spacing w:after="0" w:line="240" w:lineRule="auto"/>
        <w:ind w:left="850"/>
        <w:jc w:val="both"/>
        <w:rPr>
          <w:rFonts w:ascii="Simplified Arabic" w:hAnsi="Simplified Arabic" w:cs="Simplified Arabic"/>
          <w:sz w:val="28"/>
          <w:szCs w:val="28"/>
          <w:rtl/>
          <w:lang w:bidi="ar-EG"/>
        </w:rPr>
      </w:pPr>
      <w:r w:rsidRPr="00FD5BEE">
        <w:rPr>
          <w:rFonts w:ascii="Simplified Arabic" w:hAnsi="Simplified Arabic" w:cs="Simplified Arabic"/>
          <w:sz w:val="28"/>
          <w:szCs w:val="28"/>
          <w:rtl/>
          <w:lang w:bidi="ar-EG"/>
        </w:rPr>
        <w:t>أما العجز الهيكلي فيدل على الزيادة الدائمة في النفقات العامة عن الإيرادات العامة، أي عدم مقدرة الإيرادات الحكومية على تحمل الأعباء المالية للنفقات العامة بمختلف صورها، ويظهر العجز الهيكلي في الدول التي تعاني من اختلالات هيكلية في اقتصاداتها وهذا العجز غير مرتبط بالدورة الاقتصادية وإنما يكون عجزاً مزمناً يظهر في حالات الكساد والرواج الاقتصادي على حدٍ سواء.</w:t>
      </w:r>
    </w:p>
    <w:p w14:paraId="4A4EE1DB" w14:textId="77777777" w:rsidR="002959BC" w:rsidRPr="00FD5BEE" w:rsidRDefault="002959BC" w:rsidP="002959BC">
      <w:pPr>
        <w:ind w:left="1020"/>
        <w:jc w:val="both"/>
        <w:rPr>
          <w:rFonts w:ascii="Simplified Arabic" w:hAnsi="Simplified Arabic" w:cs="Simplified Arabic"/>
          <w:sz w:val="28"/>
          <w:szCs w:val="28"/>
          <w:rtl/>
          <w:lang w:bidi="ar-EG"/>
        </w:rPr>
      </w:pPr>
    </w:p>
    <w:p w14:paraId="4F3B7C7A" w14:textId="77777777" w:rsidR="002959BC" w:rsidRPr="00FD5BEE" w:rsidRDefault="002959BC" w:rsidP="0041332D">
      <w:pPr>
        <w:pStyle w:val="ListParagraph"/>
        <w:numPr>
          <w:ilvl w:val="0"/>
          <w:numId w:val="19"/>
        </w:numPr>
        <w:spacing w:after="0" w:line="240" w:lineRule="auto"/>
        <w:ind w:left="567" w:hanging="284"/>
        <w:contextualSpacing w:val="0"/>
        <w:jc w:val="both"/>
        <w:rPr>
          <w:rFonts w:ascii="Simplified Arabic" w:hAnsi="Simplified Arabic" w:cs="Simplified Arabic"/>
          <w:sz w:val="28"/>
          <w:szCs w:val="28"/>
          <w:u w:val="single"/>
          <w:lang w:bidi="ar-EG"/>
        </w:rPr>
      </w:pPr>
      <w:r w:rsidRPr="00FD5BEE">
        <w:rPr>
          <w:rFonts w:ascii="Simplified Arabic" w:hAnsi="Simplified Arabic" w:cs="Simplified Arabic"/>
          <w:sz w:val="28"/>
          <w:szCs w:val="28"/>
          <w:u w:val="single"/>
          <w:rtl/>
          <w:lang w:bidi="ar-EG"/>
        </w:rPr>
        <w:t>العجز الأولي والعجز الكلي:</w:t>
      </w:r>
    </w:p>
    <w:p w14:paraId="38234011" w14:textId="77777777" w:rsidR="002959BC" w:rsidRPr="00FD5BEE" w:rsidRDefault="002959BC" w:rsidP="0041332D">
      <w:pPr>
        <w:pStyle w:val="ListParagraph"/>
        <w:numPr>
          <w:ilvl w:val="0"/>
          <w:numId w:val="24"/>
        </w:numPr>
        <w:spacing w:after="0" w:line="240" w:lineRule="auto"/>
        <w:ind w:left="850"/>
        <w:jc w:val="both"/>
        <w:rPr>
          <w:rFonts w:ascii="Simplified Arabic" w:hAnsi="Simplified Arabic" w:cs="Simplified Arabic"/>
          <w:sz w:val="28"/>
          <w:szCs w:val="28"/>
          <w:rtl/>
          <w:lang w:bidi="ar-EG"/>
        </w:rPr>
      </w:pPr>
      <w:r w:rsidRPr="00FD5BEE">
        <w:rPr>
          <w:rFonts w:ascii="Simplified Arabic" w:hAnsi="Simplified Arabic" w:cs="Simplified Arabic"/>
          <w:sz w:val="28"/>
          <w:szCs w:val="28"/>
          <w:rtl/>
          <w:lang w:bidi="ar-EG"/>
        </w:rPr>
        <w:t>ويشير العجز الأولى إلى الفرق بين المصروفات والإيرادات دون احتساب الفوائد، وهذا المفهوم مهم لدى المنظمات الدولية ومؤسسات التصنيف الائتماني لأنه يُدل على اتجاه السياسة المالية الحالية بغض النظر عن فوائد الديون التي تعتبر نتيجة للسياسة المالية في فترات سابقة.</w:t>
      </w:r>
    </w:p>
    <w:p w14:paraId="3B5DADA8" w14:textId="77777777" w:rsidR="002959BC" w:rsidRPr="00FD5BEE" w:rsidRDefault="002959BC" w:rsidP="002959BC">
      <w:pPr>
        <w:ind w:left="1020"/>
        <w:jc w:val="both"/>
        <w:rPr>
          <w:rFonts w:ascii="Simplified Arabic" w:hAnsi="Simplified Arabic" w:cs="Simplified Arabic"/>
          <w:sz w:val="28"/>
          <w:szCs w:val="28"/>
          <w:rtl/>
          <w:lang w:bidi="ar-EG"/>
        </w:rPr>
      </w:pPr>
    </w:p>
    <w:p w14:paraId="13DBEBF0" w14:textId="77777777" w:rsidR="002959BC" w:rsidRPr="00FD5BEE" w:rsidRDefault="002959BC" w:rsidP="0041332D">
      <w:pPr>
        <w:pStyle w:val="ListParagraph"/>
        <w:numPr>
          <w:ilvl w:val="0"/>
          <w:numId w:val="24"/>
        </w:numPr>
        <w:spacing w:after="0" w:line="240" w:lineRule="auto"/>
        <w:ind w:left="850"/>
        <w:jc w:val="both"/>
        <w:rPr>
          <w:rFonts w:ascii="Simplified Arabic" w:hAnsi="Simplified Arabic" w:cs="Simplified Arabic"/>
          <w:sz w:val="28"/>
          <w:szCs w:val="28"/>
          <w:rtl/>
          <w:lang w:bidi="ar-EG"/>
        </w:rPr>
      </w:pPr>
      <w:r w:rsidRPr="00FD5BEE">
        <w:rPr>
          <w:rFonts w:ascii="Simplified Arabic" w:hAnsi="Simplified Arabic" w:cs="Simplified Arabic"/>
          <w:sz w:val="28"/>
          <w:szCs w:val="28"/>
          <w:rtl/>
          <w:lang w:bidi="ar-EG"/>
        </w:rPr>
        <w:t>أما العجز الكلي فهو الفرق بين المصروفات والإيرادات، كما يعبر العجز الكلي أيضاً عن العجز الأولى مضافاً إليه الفوائد.</w:t>
      </w:r>
    </w:p>
    <w:p w14:paraId="76F70ADC" w14:textId="77777777" w:rsidR="002959BC" w:rsidRPr="00FD5BEE" w:rsidRDefault="002959BC" w:rsidP="002959BC">
      <w:pPr>
        <w:ind w:left="1020"/>
        <w:jc w:val="both"/>
        <w:rPr>
          <w:rFonts w:ascii="Simplified Arabic" w:hAnsi="Simplified Arabic" w:cs="Simplified Arabic"/>
          <w:sz w:val="28"/>
          <w:szCs w:val="28"/>
          <w:rtl/>
          <w:lang w:bidi="ar-EG"/>
        </w:rPr>
      </w:pPr>
    </w:p>
    <w:p w14:paraId="7E688E5B" w14:textId="77777777" w:rsidR="002959BC" w:rsidRPr="00FD5BEE" w:rsidRDefault="002959BC" w:rsidP="002959BC">
      <w:pPr>
        <w:ind w:left="1020"/>
        <w:jc w:val="both"/>
        <w:rPr>
          <w:rFonts w:ascii="Simplified Arabic" w:hAnsi="Simplified Arabic" w:cs="Simplified Arabic"/>
          <w:sz w:val="28"/>
          <w:szCs w:val="28"/>
          <w:rtl/>
          <w:lang w:bidi="ar-EG"/>
        </w:rPr>
      </w:pPr>
    </w:p>
    <w:p w14:paraId="0C2A43C1" w14:textId="77777777" w:rsidR="002959BC" w:rsidRPr="00FD5BEE" w:rsidRDefault="002959BC" w:rsidP="002959BC">
      <w:pPr>
        <w:ind w:left="1020"/>
        <w:jc w:val="both"/>
        <w:rPr>
          <w:rFonts w:ascii="Simplified Arabic" w:hAnsi="Simplified Arabic" w:cs="Simplified Arabic"/>
          <w:sz w:val="28"/>
          <w:szCs w:val="28"/>
          <w:rtl/>
          <w:lang w:bidi="ar-EG"/>
        </w:rPr>
      </w:pPr>
    </w:p>
    <w:p w14:paraId="4C75FEFB" w14:textId="77777777" w:rsidR="002959BC" w:rsidRDefault="002959BC" w:rsidP="002959BC">
      <w:pPr>
        <w:ind w:left="1020"/>
        <w:jc w:val="both"/>
        <w:rPr>
          <w:rFonts w:ascii="Simplified Arabic" w:hAnsi="Simplified Arabic" w:cs="Simplified Arabic"/>
          <w:sz w:val="28"/>
          <w:szCs w:val="28"/>
          <w:rtl/>
          <w:lang w:bidi="ar-EG"/>
        </w:rPr>
      </w:pPr>
    </w:p>
    <w:p w14:paraId="65C3C20A" w14:textId="77777777" w:rsidR="002959BC" w:rsidRDefault="002959BC" w:rsidP="002959BC">
      <w:pPr>
        <w:ind w:left="1020"/>
        <w:jc w:val="both"/>
        <w:rPr>
          <w:rFonts w:ascii="Simplified Arabic" w:hAnsi="Simplified Arabic" w:cs="Simplified Arabic"/>
          <w:sz w:val="28"/>
          <w:szCs w:val="28"/>
          <w:rtl/>
          <w:lang w:bidi="ar-EG"/>
        </w:rPr>
      </w:pPr>
    </w:p>
    <w:p w14:paraId="21F7F830" w14:textId="77777777" w:rsidR="002959BC" w:rsidRDefault="002959BC" w:rsidP="002959BC">
      <w:pPr>
        <w:ind w:left="1020"/>
        <w:jc w:val="both"/>
        <w:rPr>
          <w:rFonts w:ascii="Simplified Arabic" w:hAnsi="Simplified Arabic" w:cs="Simplified Arabic"/>
          <w:sz w:val="28"/>
          <w:szCs w:val="28"/>
          <w:rtl/>
          <w:lang w:bidi="ar-EG"/>
        </w:rPr>
      </w:pPr>
    </w:p>
    <w:p w14:paraId="40F91B42" w14:textId="77777777" w:rsidR="002959BC" w:rsidRDefault="002959BC" w:rsidP="002959BC">
      <w:pPr>
        <w:ind w:left="1020"/>
        <w:jc w:val="both"/>
        <w:rPr>
          <w:rFonts w:ascii="Simplified Arabic" w:hAnsi="Simplified Arabic" w:cs="Simplified Arabic"/>
          <w:sz w:val="28"/>
          <w:szCs w:val="28"/>
          <w:rtl/>
          <w:lang w:bidi="ar-EG"/>
        </w:rPr>
      </w:pPr>
    </w:p>
    <w:p w14:paraId="2F979A4E" w14:textId="77777777" w:rsidR="002959BC" w:rsidRDefault="002959BC" w:rsidP="002959BC">
      <w:pPr>
        <w:ind w:left="1020"/>
        <w:jc w:val="both"/>
        <w:rPr>
          <w:rFonts w:ascii="Simplified Arabic" w:hAnsi="Simplified Arabic" w:cs="Simplified Arabic"/>
          <w:sz w:val="28"/>
          <w:szCs w:val="28"/>
          <w:rtl/>
          <w:lang w:bidi="ar-EG"/>
        </w:rPr>
      </w:pPr>
    </w:p>
    <w:p w14:paraId="66076851" w14:textId="77777777" w:rsidR="002959BC" w:rsidRDefault="002959BC" w:rsidP="002959BC">
      <w:pPr>
        <w:ind w:left="1020"/>
        <w:jc w:val="both"/>
        <w:rPr>
          <w:rFonts w:ascii="Simplified Arabic" w:hAnsi="Simplified Arabic" w:cs="Simplified Arabic"/>
          <w:sz w:val="28"/>
          <w:szCs w:val="28"/>
          <w:rtl/>
          <w:lang w:bidi="ar-EG"/>
        </w:rPr>
      </w:pPr>
    </w:p>
    <w:p w14:paraId="4539DE4A" w14:textId="77777777" w:rsidR="002959BC" w:rsidRDefault="002959BC" w:rsidP="002959BC">
      <w:pPr>
        <w:ind w:left="1020"/>
        <w:jc w:val="both"/>
        <w:rPr>
          <w:rFonts w:ascii="Simplified Arabic" w:hAnsi="Simplified Arabic" w:cs="Simplified Arabic"/>
          <w:sz w:val="28"/>
          <w:szCs w:val="28"/>
          <w:rtl/>
          <w:lang w:bidi="ar-EG"/>
        </w:rPr>
      </w:pPr>
    </w:p>
    <w:p w14:paraId="5811A82E" w14:textId="77777777" w:rsidR="002959BC" w:rsidRPr="00FD5BEE" w:rsidRDefault="002959BC" w:rsidP="002959BC">
      <w:pPr>
        <w:ind w:left="1020"/>
        <w:jc w:val="both"/>
        <w:rPr>
          <w:rFonts w:ascii="Simplified Arabic" w:hAnsi="Simplified Arabic" w:cs="Simplified Arabic"/>
          <w:sz w:val="28"/>
          <w:szCs w:val="28"/>
          <w:rtl/>
          <w:lang w:bidi="ar-EG"/>
        </w:rPr>
      </w:pPr>
    </w:p>
    <w:p w14:paraId="079BDC66" w14:textId="77777777" w:rsidR="00270E6A" w:rsidRDefault="00270E6A" w:rsidP="002959BC">
      <w:pPr>
        <w:jc w:val="both"/>
        <w:rPr>
          <w:rFonts w:ascii="Simplified Arabic" w:hAnsi="Simplified Arabic" w:cs="Simplified Arabic"/>
          <w:sz w:val="28"/>
          <w:szCs w:val="28"/>
          <w:u w:val="single"/>
          <w:rtl/>
          <w:lang w:bidi="ar-EG"/>
        </w:rPr>
      </w:pPr>
    </w:p>
    <w:p w14:paraId="386DCABF" w14:textId="584C711A" w:rsidR="002959BC" w:rsidRPr="00FD5BEE" w:rsidRDefault="002959BC" w:rsidP="002959BC">
      <w:pPr>
        <w:jc w:val="both"/>
        <w:rPr>
          <w:rFonts w:ascii="Simplified Arabic" w:hAnsi="Simplified Arabic" w:cs="Simplified Arabic"/>
          <w:sz w:val="28"/>
          <w:szCs w:val="28"/>
          <w:vertAlign w:val="superscript"/>
          <w:rtl/>
          <w:lang w:bidi="ar-EG"/>
        </w:rPr>
      </w:pPr>
      <w:r w:rsidRPr="00FD5BEE">
        <w:rPr>
          <w:rFonts w:ascii="Simplified Arabic" w:hAnsi="Simplified Arabic" w:cs="Simplified Arabic"/>
          <w:sz w:val="28"/>
          <w:szCs w:val="28"/>
          <w:u w:val="single"/>
          <w:rtl/>
          <w:lang w:bidi="ar-EG"/>
        </w:rPr>
        <w:lastRenderedPageBreak/>
        <w:t xml:space="preserve">طرق حساب العجز في الموازنة العامة للدولة في مصر: </w:t>
      </w:r>
      <w:r w:rsidRPr="00FD5BEE">
        <w:rPr>
          <w:rFonts w:ascii="Simplified Arabic" w:hAnsi="Simplified Arabic" w:cs="Simplified Arabic"/>
          <w:sz w:val="28"/>
          <w:szCs w:val="28"/>
          <w:vertAlign w:val="superscript"/>
          <w:rtl/>
          <w:lang w:bidi="ar-EG"/>
        </w:rPr>
        <w:t>(</w:t>
      </w:r>
      <w:r w:rsidRPr="00FD5BEE">
        <w:rPr>
          <w:rFonts w:ascii="Simplified Arabic" w:hAnsi="Simplified Arabic" w:cs="Simplified Arabic"/>
          <w:sz w:val="28"/>
          <w:szCs w:val="28"/>
          <w:vertAlign w:val="superscript"/>
          <w:rtl/>
          <w:lang w:bidi="ar-EG"/>
        </w:rPr>
        <w:footnoteReference w:id="52"/>
      </w:r>
      <w:r w:rsidRPr="00FD5BEE">
        <w:rPr>
          <w:rFonts w:ascii="Simplified Arabic" w:hAnsi="Simplified Arabic" w:cs="Simplified Arabic"/>
          <w:sz w:val="28"/>
          <w:szCs w:val="28"/>
          <w:vertAlign w:val="superscript"/>
          <w:rtl/>
          <w:lang w:bidi="ar-EG"/>
        </w:rPr>
        <w:t>)</w:t>
      </w:r>
    </w:p>
    <w:p w14:paraId="6707D9A6" w14:textId="77777777" w:rsidR="002959BC" w:rsidRPr="00883B9A" w:rsidRDefault="002959BC" w:rsidP="002959BC">
      <w:pPr>
        <w:jc w:val="center"/>
        <w:rPr>
          <w:rFonts w:ascii="Simplified Arabic" w:hAnsi="Simplified Arabic" w:cs="Simplified Arabic"/>
          <w:b/>
          <w:bCs/>
          <w:color w:val="000000" w:themeColor="text1"/>
          <w:sz w:val="24"/>
          <w:szCs w:val="24"/>
          <w:rtl/>
        </w:rPr>
      </w:pPr>
      <w:r w:rsidRPr="00883B9A">
        <w:rPr>
          <w:rFonts w:ascii="Simplified Arabic" w:hAnsi="Simplified Arabic" w:cs="Simplified Arabic"/>
          <w:b/>
          <w:bCs/>
          <w:color w:val="000000" w:themeColor="text1"/>
          <w:sz w:val="24"/>
          <w:szCs w:val="24"/>
          <w:rtl/>
        </w:rPr>
        <w:t>جدول رقم (1-2)</w:t>
      </w:r>
    </w:p>
    <w:p w14:paraId="3335B476" w14:textId="77777777" w:rsidR="002959BC" w:rsidRPr="00883B9A" w:rsidRDefault="002959BC" w:rsidP="002959BC">
      <w:pPr>
        <w:jc w:val="center"/>
        <w:rPr>
          <w:rFonts w:ascii="Simplified Arabic" w:hAnsi="Simplified Arabic" w:cs="Simplified Arabic"/>
          <w:b/>
          <w:bCs/>
          <w:color w:val="000000" w:themeColor="text1"/>
          <w:sz w:val="24"/>
          <w:szCs w:val="24"/>
          <w:rtl/>
        </w:rPr>
      </w:pPr>
      <w:r w:rsidRPr="00883B9A">
        <w:rPr>
          <w:rFonts w:ascii="Simplified Arabic" w:hAnsi="Simplified Arabic" w:cs="Simplified Arabic"/>
          <w:b/>
          <w:bCs/>
          <w:color w:val="000000" w:themeColor="text1"/>
          <w:sz w:val="24"/>
          <w:szCs w:val="24"/>
          <w:rtl/>
        </w:rPr>
        <w:t>أبواب الموازنة العامة للدولة في مصر وطرق حساب عجز الموازنة العامة للدولة</w:t>
      </w:r>
    </w:p>
    <w:p w14:paraId="2E58CFB6" w14:textId="2D4FD394" w:rsidR="002959BC" w:rsidRPr="00FD5BEE" w:rsidRDefault="002959BC" w:rsidP="002959BC">
      <w:pPr>
        <w:jc w:val="both"/>
        <w:rPr>
          <w:rFonts w:ascii="Simplified Arabic" w:hAnsi="Simplified Arabic" w:cs="Simplified Arabic"/>
          <w:sz w:val="28"/>
          <w:szCs w:val="28"/>
          <w:rtl/>
          <w:lang w:bidi="ar-EG"/>
        </w:rPr>
      </w:pPr>
      <w:r>
        <w:rPr>
          <w:rFonts w:ascii="Simplified Arabic" w:hAnsi="Simplified Arabic" w:cs="Simplified Arabic"/>
          <w:sz w:val="28"/>
          <w:szCs w:val="28"/>
          <w:u w:val="single"/>
          <w:rtl/>
        </w:rPr>
        <mc:AlternateContent>
          <mc:Choice Requires="wpg">
            <w:drawing>
              <wp:anchor distT="0" distB="0" distL="114300" distR="114300" simplePos="0" relativeHeight="251670528" behindDoc="0" locked="0" layoutInCell="1" allowOverlap="1" wp14:anchorId="6CBE42B1" wp14:editId="553D576D">
                <wp:simplePos x="0" y="0"/>
                <wp:positionH relativeFrom="column">
                  <wp:posOffset>84455</wp:posOffset>
                </wp:positionH>
                <wp:positionV relativeFrom="paragraph">
                  <wp:posOffset>285750</wp:posOffset>
                </wp:positionV>
                <wp:extent cx="5695315" cy="7126605"/>
                <wp:effectExtent l="13970" t="16510" r="15240" b="1016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5315" cy="7126605"/>
                          <a:chOff x="1255" y="3322"/>
                          <a:chExt cx="8969" cy="11223"/>
                        </a:xfrm>
                      </wpg:grpSpPr>
                      <wps:wsp>
                        <wps:cNvPr id="70" name="Text Box 69"/>
                        <wps:cNvSpPr txBox="1">
                          <a:spLocks noChangeArrowheads="1"/>
                        </wps:cNvSpPr>
                        <wps:spPr bwMode="auto">
                          <a:xfrm>
                            <a:off x="1421" y="3777"/>
                            <a:ext cx="3969" cy="2938"/>
                          </a:xfrm>
                          <a:prstGeom prst="rect">
                            <a:avLst/>
                          </a:prstGeom>
                          <a:solidFill>
                            <a:srgbClr val="FFFFFF"/>
                          </a:solidFill>
                          <a:ln w="19050">
                            <a:solidFill>
                              <a:srgbClr val="000000"/>
                            </a:solidFill>
                            <a:miter lim="800000"/>
                            <a:headEnd/>
                            <a:tailEnd/>
                          </a:ln>
                        </wps:spPr>
                        <wps:txbx>
                          <w:txbxContent>
                            <w:p w14:paraId="02BF6CEB" w14:textId="77777777" w:rsidR="00270E6A" w:rsidRPr="006747F0" w:rsidRDefault="00270E6A" w:rsidP="002959BC">
                              <w:pPr>
                                <w:spacing w:before="40" w:after="40"/>
                                <w:ind w:left="1108" w:hanging="1134"/>
                                <w:jc w:val="lowKashida"/>
                                <w:rPr>
                                  <w:rFonts w:asciiTheme="minorBidi" w:hAnsiTheme="minorBidi"/>
                                  <w:sz w:val="28"/>
                                  <w:szCs w:val="28"/>
                                  <w:lang w:bidi="ar-EG"/>
                                </w:rPr>
                              </w:pPr>
                              <w:r w:rsidRPr="006747F0">
                                <w:rPr>
                                  <w:rFonts w:asciiTheme="minorBidi" w:hAnsiTheme="minorBidi" w:hint="cs"/>
                                  <w:sz w:val="28"/>
                                  <w:szCs w:val="28"/>
                                  <w:rtl/>
                                  <w:lang w:bidi="ar-EG"/>
                                </w:rPr>
                                <w:t>الباب الأول: الضرائب</w:t>
                              </w:r>
                            </w:p>
                            <w:p w14:paraId="04C213D2" w14:textId="77777777" w:rsidR="00270E6A" w:rsidRPr="006747F0" w:rsidRDefault="00270E6A" w:rsidP="002959BC">
                              <w:pPr>
                                <w:spacing w:before="40" w:after="40"/>
                                <w:ind w:left="1108" w:hanging="1134"/>
                                <w:jc w:val="lowKashida"/>
                                <w:rPr>
                                  <w:rFonts w:asciiTheme="minorBidi" w:hAnsiTheme="minorBidi"/>
                                  <w:sz w:val="28"/>
                                  <w:szCs w:val="28"/>
                                  <w:lang w:bidi="ar-EG"/>
                                </w:rPr>
                              </w:pPr>
                              <w:r w:rsidRPr="006747F0">
                                <w:rPr>
                                  <w:rFonts w:asciiTheme="minorBidi" w:hAnsiTheme="minorBidi" w:hint="cs"/>
                                  <w:sz w:val="28"/>
                                  <w:szCs w:val="28"/>
                                  <w:rtl/>
                                  <w:lang w:bidi="ar-EG"/>
                                </w:rPr>
                                <w:t>الباب الثاني: المنح</w:t>
                              </w:r>
                            </w:p>
                            <w:p w14:paraId="247F055B" w14:textId="77777777" w:rsidR="00270E6A" w:rsidRPr="006747F0" w:rsidRDefault="00270E6A" w:rsidP="002959BC">
                              <w:pPr>
                                <w:spacing w:before="40" w:after="40"/>
                                <w:ind w:left="1108" w:hanging="1134"/>
                                <w:jc w:val="lowKashida"/>
                              </w:pPr>
                              <w:r w:rsidRPr="006747F0">
                                <w:rPr>
                                  <w:rFonts w:asciiTheme="minorBidi" w:hAnsiTheme="minorBidi" w:hint="cs"/>
                                  <w:sz w:val="28"/>
                                  <w:szCs w:val="28"/>
                                  <w:rtl/>
                                  <w:lang w:bidi="ar-EG"/>
                                </w:rPr>
                                <w:t>الباب الثالث: الإيرادات أخرى</w:t>
                              </w:r>
                            </w:p>
                          </w:txbxContent>
                        </wps:txbx>
                        <wps:bodyPr rot="0" vert="horz" wrap="square" lIns="91440" tIns="45720" rIns="91440" bIns="45720" anchor="t" anchorCtr="0" upright="1">
                          <a:noAutofit/>
                        </wps:bodyPr>
                      </wps:wsp>
                      <wps:wsp>
                        <wps:cNvPr id="71" name="Text Box 70"/>
                        <wps:cNvSpPr txBox="1">
                          <a:spLocks noChangeArrowheads="1"/>
                        </wps:cNvSpPr>
                        <wps:spPr bwMode="auto">
                          <a:xfrm>
                            <a:off x="6056" y="3721"/>
                            <a:ext cx="3969" cy="2994"/>
                          </a:xfrm>
                          <a:prstGeom prst="rect">
                            <a:avLst/>
                          </a:prstGeom>
                          <a:solidFill>
                            <a:srgbClr val="FFFFFF"/>
                          </a:solidFill>
                          <a:ln w="19050">
                            <a:solidFill>
                              <a:srgbClr val="000000"/>
                            </a:solidFill>
                            <a:miter lim="800000"/>
                            <a:headEnd/>
                            <a:tailEnd/>
                          </a:ln>
                        </wps:spPr>
                        <wps:txbx>
                          <w:txbxContent>
                            <w:p w14:paraId="0AE70EA9" w14:textId="77777777" w:rsidR="00270E6A" w:rsidRPr="006747F0" w:rsidRDefault="00270E6A" w:rsidP="002959BC">
                              <w:pPr>
                                <w:spacing w:before="40" w:after="40"/>
                                <w:ind w:left="1108" w:hanging="1134"/>
                                <w:jc w:val="lowKashida"/>
                                <w:rPr>
                                  <w:rFonts w:asciiTheme="minorBidi" w:hAnsiTheme="minorBidi"/>
                                  <w:sz w:val="28"/>
                                  <w:szCs w:val="28"/>
                                  <w:lang w:bidi="ar-EG"/>
                                </w:rPr>
                              </w:pPr>
                              <w:r w:rsidRPr="006747F0">
                                <w:rPr>
                                  <w:rFonts w:asciiTheme="minorBidi" w:hAnsiTheme="minorBidi" w:hint="cs"/>
                                  <w:sz w:val="28"/>
                                  <w:szCs w:val="28"/>
                                  <w:rtl/>
                                  <w:lang w:bidi="ar-EG"/>
                                </w:rPr>
                                <w:t>الباب الأول:</w:t>
                              </w:r>
                              <w:r w:rsidRPr="006747F0">
                                <w:rPr>
                                  <w:rFonts w:asciiTheme="minorBidi" w:hAnsiTheme="minorBidi"/>
                                  <w:sz w:val="28"/>
                                  <w:szCs w:val="28"/>
                                  <w:rtl/>
                                  <w:lang w:bidi="ar-EG"/>
                                </w:rPr>
                                <w:tab/>
                              </w:r>
                              <w:r w:rsidRPr="006747F0">
                                <w:rPr>
                                  <w:rFonts w:asciiTheme="minorBidi" w:hAnsiTheme="minorBidi" w:hint="cs"/>
                                  <w:sz w:val="28"/>
                                  <w:szCs w:val="28"/>
                                  <w:rtl/>
                                  <w:lang w:bidi="ar-EG"/>
                                </w:rPr>
                                <w:t>الأجور وتعويضات العاملين</w:t>
                              </w:r>
                            </w:p>
                            <w:p w14:paraId="5D2A3046" w14:textId="77777777" w:rsidR="00270E6A" w:rsidRPr="006747F0" w:rsidRDefault="00270E6A" w:rsidP="002959BC">
                              <w:pPr>
                                <w:spacing w:before="40" w:after="40"/>
                                <w:ind w:left="1108" w:hanging="1134"/>
                                <w:jc w:val="lowKashida"/>
                                <w:rPr>
                                  <w:rFonts w:asciiTheme="minorBidi" w:hAnsiTheme="minorBidi"/>
                                  <w:sz w:val="28"/>
                                  <w:szCs w:val="28"/>
                                  <w:lang w:bidi="ar-EG"/>
                                </w:rPr>
                              </w:pPr>
                              <w:r w:rsidRPr="006747F0">
                                <w:rPr>
                                  <w:rFonts w:asciiTheme="minorBidi" w:hAnsiTheme="minorBidi" w:hint="cs"/>
                                  <w:sz w:val="28"/>
                                  <w:szCs w:val="28"/>
                                  <w:rtl/>
                                  <w:lang w:bidi="ar-EG"/>
                                </w:rPr>
                                <w:t>الباب الثاني:</w:t>
                              </w:r>
                              <w:r w:rsidRPr="006747F0">
                                <w:rPr>
                                  <w:rFonts w:asciiTheme="minorBidi" w:hAnsiTheme="minorBidi"/>
                                  <w:sz w:val="28"/>
                                  <w:szCs w:val="28"/>
                                  <w:rtl/>
                                  <w:lang w:bidi="ar-EG"/>
                                </w:rPr>
                                <w:tab/>
                              </w:r>
                              <w:r w:rsidRPr="006747F0">
                                <w:rPr>
                                  <w:rFonts w:asciiTheme="minorBidi" w:hAnsiTheme="minorBidi" w:hint="cs"/>
                                  <w:sz w:val="28"/>
                                  <w:szCs w:val="28"/>
                                  <w:rtl/>
                                  <w:lang w:bidi="ar-EG"/>
                                </w:rPr>
                                <w:t>شراء السلع والخدمات</w:t>
                              </w:r>
                            </w:p>
                            <w:p w14:paraId="368AE730" w14:textId="77777777" w:rsidR="00270E6A" w:rsidRPr="006747F0" w:rsidRDefault="00270E6A" w:rsidP="002959BC">
                              <w:pPr>
                                <w:spacing w:before="40" w:after="40"/>
                                <w:ind w:left="1108" w:hanging="1134"/>
                                <w:jc w:val="lowKashida"/>
                                <w:rPr>
                                  <w:rFonts w:asciiTheme="minorBidi" w:hAnsiTheme="minorBidi"/>
                                  <w:sz w:val="28"/>
                                  <w:szCs w:val="28"/>
                                  <w:lang w:bidi="ar-EG"/>
                                </w:rPr>
                              </w:pPr>
                              <w:r w:rsidRPr="006747F0">
                                <w:rPr>
                                  <w:rFonts w:asciiTheme="minorBidi" w:hAnsiTheme="minorBidi" w:hint="cs"/>
                                  <w:sz w:val="28"/>
                                  <w:szCs w:val="28"/>
                                  <w:rtl/>
                                  <w:lang w:bidi="ar-EG"/>
                                </w:rPr>
                                <w:t>الباب الثالث: الفوائد</w:t>
                              </w:r>
                            </w:p>
                            <w:p w14:paraId="09D3FCA6" w14:textId="77777777" w:rsidR="00270E6A" w:rsidRPr="006747F0" w:rsidRDefault="00270E6A" w:rsidP="002959BC">
                              <w:pPr>
                                <w:spacing w:before="40" w:after="40"/>
                                <w:ind w:left="1108" w:hanging="1134"/>
                                <w:jc w:val="lowKashida"/>
                                <w:rPr>
                                  <w:rFonts w:asciiTheme="minorBidi" w:hAnsiTheme="minorBidi"/>
                                  <w:sz w:val="28"/>
                                  <w:szCs w:val="28"/>
                                  <w:lang w:bidi="ar-EG"/>
                                </w:rPr>
                              </w:pPr>
                              <w:r w:rsidRPr="006747F0">
                                <w:rPr>
                                  <w:rFonts w:asciiTheme="minorBidi" w:hAnsiTheme="minorBidi" w:hint="cs"/>
                                  <w:sz w:val="28"/>
                                  <w:szCs w:val="28"/>
                                  <w:rtl/>
                                  <w:lang w:bidi="ar-EG"/>
                                </w:rPr>
                                <w:t>الباب الرابع: الدعم والمنح والمزايا الاجتماعية</w:t>
                              </w:r>
                            </w:p>
                            <w:p w14:paraId="24902879" w14:textId="77777777" w:rsidR="00270E6A" w:rsidRPr="006747F0" w:rsidRDefault="00270E6A" w:rsidP="002959BC">
                              <w:pPr>
                                <w:spacing w:before="40" w:after="40"/>
                                <w:ind w:left="1108" w:hanging="1134"/>
                                <w:jc w:val="lowKashida"/>
                                <w:rPr>
                                  <w:rFonts w:asciiTheme="minorBidi" w:hAnsiTheme="minorBidi"/>
                                  <w:sz w:val="28"/>
                                  <w:szCs w:val="28"/>
                                  <w:lang w:bidi="ar-EG"/>
                                </w:rPr>
                              </w:pPr>
                              <w:r w:rsidRPr="006747F0">
                                <w:rPr>
                                  <w:rFonts w:asciiTheme="minorBidi" w:hAnsiTheme="minorBidi" w:hint="cs"/>
                                  <w:sz w:val="28"/>
                                  <w:szCs w:val="28"/>
                                  <w:rtl/>
                                  <w:lang w:bidi="ar-EG"/>
                                </w:rPr>
                                <w:t>الباب الخامس: المصروفات الأخرى</w:t>
                              </w:r>
                            </w:p>
                            <w:p w14:paraId="496D7E53" w14:textId="77777777" w:rsidR="00270E6A" w:rsidRPr="006747F0" w:rsidRDefault="00270E6A" w:rsidP="002959BC">
                              <w:pPr>
                                <w:spacing w:before="40" w:after="40"/>
                                <w:ind w:left="1108" w:hanging="1134"/>
                                <w:jc w:val="lowKashida"/>
                              </w:pPr>
                              <w:r w:rsidRPr="006747F0">
                                <w:rPr>
                                  <w:rFonts w:asciiTheme="minorBidi" w:hAnsiTheme="minorBidi" w:hint="cs"/>
                                  <w:sz w:val="28"/>
                                  <w:szCs w:val="28"/>
                                  <w:rtl/>
                                  <w:lang w:bidi="ar-EG"/>
                                </w:rPr>
                                <w:t>الباب السادس: شراء الأصول غير المالية (الاستثمارات)</w:t>
                              </w:r>
                            </w:p>
                          </w:txbxContent>
                        </wps:txbx>
                        <wps:bodyPr rot="0" vert="horz" wrap="square" lIns="91440" tIns="45720" rIns="91440" bIns="45720" anchor="t" anchorCtr="0" upright="1">
                          <a:noAutofit/>
                        </wps:bodyPr>
                      </wps:wsp>
                      <wps:wsp>
                        <wps:cNvPr id="72" name="AutoShape 71"/>
                        <wps:cNvCnPr>
                          <a:cxnSpLocks noChangeShapeType="1"/>
                        </wps:cNvCnPr>
                        <wps:spPr bwMode="auto">
                          <a:xfrm flipH="1">
                            <a:off x="3392" y="6945"/>
                            <a:ext cx="4649"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AutoShape 72"/>
                        <wps:cNvCnPr>
                          <a:cxnSpLocks noChangeShapeType="1"/>
                        </wps:cNvCnPr>
                        <wps:spPr bwMode="auto">
                          <a:xfrm>
                            <a:off x="8023" y="6696"/>
                            <a:ext cx="0" cy="2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AutoShape 73"/>
                        <wps:cNvCnPr>
                          <a:cxnSpLocks noChangeShapeType="1"/>
                        </wps:cNvCnPr>
                        <wps:spPr bwMode="auto">
                          <a:xfrm>
                            <a:off x="5739" y="6959"/>
                            <a:ext cx="0" cy="346"/>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Text Box 74"/>
                        <wps:cNvSpPr txBox="1">
                          <a:spLocks noChangeArrowheads="1"/>
                        </wps:cNvSpPr>
                        <wps:spPr bwMode="auto">
                          <a:xfrm>
                            <a:off x="3461" y="7292"/>
                            <a:ext cx="4535" cy="539"/>
                          </a:xfrm>
                          <a:prstGeom prst="rect">
                            <a:avLst/>
                          </a:prstGeom>
                          <a:solidFill>
                            <a:srgbClr val="FFFFFF"/>
                          </a:solidFill>
                          <a:ln w="19050">
                            <a:solidFill>
                              <a:srgbClr val="000000"/>
                            </a:solidFill>
                            <a:miter lim="800000"/>
                            <a:headEnd/>
                            <a:tailEnd/>
                          </a:ln>
                        </wps:spPr>
                        <wps:txbx>
                          <w:txbxContent>
                            <w:p w14:paraId="363E7207" w14:textId="77777777" w:rsidR="00270E6A" w:rsidRPr="006747F0" w:rsidRDefault="00270E6A" w:rsidP="002959BC">
                              <w:pPr>
                                <w:rPr>
                                  <w:sz w:val="28"/>
                                  <w:szCs w:val="28"/>
                                </w:rPr>
                              </w:pPr>
                              <w:r w:rsidRPr="006747F0">
                                <w:rPr>
                                  <w:rFonts w:asciiTheme="minorBidi" w:hAnsiTheme="minorBidi" w:hint="cs"/>
                                  <w:sz w:val="28"/>
                                  <w:szCs w:val="28"/>
                                  <w:rtl/>
                                  <w:lang w:bidi="ar-EG"/>
                                </w:rPr>
                                <w:t>العجز النقدي = المصروفات - الإيرادات</w:t>
                              </w:r>
                            </w:p>
                          </w:txbxContent>
                        </wps:txbx>
                        <wps:bodyPr rot="0" vert="horz" wrap="square" lIns="91440" tIns="45720" rIns="91440" bIns="45720" anchor="t" anchorCtr="0" upright="1">
                          <a:noAutofit/>
                        </wps:bodyPr>
                      </wps:wsp>
                      <wps:wsp>
                        <wps:cNvPr id="76" name="Text Box 75"/>
                        <wps:cNvSpPr txBox="1">
                          <a:spLocks noChangeArrowheads="1"/>
                        </wps:cNvSpPr>
                        <wps:spPr bwMode="auto">
                          <a:xfrm>
                            <a:off x="1421" y="7945"/>
                            <a:ext cx="3969" cy="1204"/>
                          </a:xfrm>
                          <a:prstGeom prst="rect">
                            <a:avLst/>
                          </a:prstGeom>
                          <a:solidFill>
                            <a:srgbClr val="FFFFFF"/>
                          </a:solidFill>
                          <a:ln w="19050">
                            <a:solidFill>
                              <a:srgbClr val="000000"/>
                            </a:solidFill>
                            <a:miter lim="800000"/>
                            <a:headEnd/>
                            <a:tailEnd/>
                          </a:ln>
                        </wps:spPr>
                        <wps:txbx>
                          <w:txbxContent>
                            <w:p w14:paraId="3E66924F" w14:textId="77777777" w:rsidR="00270E6A" w:rsidRPr="006747F0" w:rsidRDefault="00270E6A" w:rsidP="002959BC">
                              <w:pPr>
                                <w:spacing w:before="40" w:after="40"/>
                                <w:ind w:left="1108" w:hanging="1134"/>
                                <w:jc w:val="lowKashida"/>
                                <w:rPr>
                                  <w:sz w:val="28"/>
                                  <w:szCs w:val="28"/>
                                  <w:lang w:bidi="ar-EG"/>
                                </w:rPr>
                              </w:pPr>
                              <w:r w:rsidRPr="006747F0">
                                <w:rPr>
                                  <w:rFonts w:asciiTheme="minorBidi" w:hAnsiTheme="minorBidi" w:hint="cs"/>
                                  <w:sz w:val="28"/>
                                  <w:szCs w:val="28"/>
                                  <w:rtl/>
                                  <w:lang w:bidi="ar-EG"/>
                                </w:rPr>
                                <w:t>الباب الرابع: المتحصلات من الإقراض ومبيعات الأصول المالية بدون حصيلة الخصخصة</w:t>
                              </w:r>
                            </w:p>
                          </w:txbxContent>
                        </wps:txbx>
                        <wps:bodyPr rot="0" vert="horz" wrap="square" lIns="91440" tIns="45720" rIns="91440" bIns="45720" anchor="t" anchorCtr="0" upright="1">
                          <a:noAutofit/>
                        </wps:bodyPr>
                      </wps:wsp>
                      <wps:wsp>
                        <wps:cNvPr id="77" name="Text Box 76"/>
                        <wps:cNvSpPr txBox="1">
                          <a:spLocks noChangeArrowheads="1"/>
                        </wps:cNvSpPr>
                        <wps:spPr bwMode="auto">
                          <a:xfrm>
                            <a:off x="6092" y="7917"/>
                            <a:ext cx="3969" cy="1246"/>
                          </a:xfrm>
                          <a:prstGeom prst="rect">
                            <a:avLst/>
                          </a:prstGeom>
                          <a:solidFill>
                            <a:srgbClr val="FFFFFF"/>
                          </a:solidFill>
                          <a:ln w="19050">
                            <a:solidFill>
                              <a:srgbClr val="000000"/>
                            </a:solidFill>
                            <a:miter lim="800000"/>
                            <a:headEnd/>
                            <a:tailEnd/>
                          </a:ln>
                        </wps:spPr>
                        <wps:txbx>
                          <w:txbxContent>
                            <w:p w14:paraId="42ABDBE4" w14:textId="77777777" w:rsidR="00270E6A" w:rsidRPr="006747F0" w:rsidRDefault="00270E6A" w:rsidP="002959BC">
                              <w:pPr>
                                <w:spacing w:before="40" w:after="40"/>
                                <w:ind w:left="1108" w:hanging="1134"/>
                                <w:jc w:val="lowKashida"/>
                                <w:rPr>
                                  <w:sz w:val="28"/>
                                  <w:szCs w:val="28"/>
                                  <w:lang w:bidi="ar-EG"/>
                                </w:rPr>
                              </w:pPr>
                              <w:r w:rsidRPr="006747F0">
                                <w:rPr>
                                  <w:rFonts w:asciiTheme="minorBidi" w:hAnsiTheme="minorBidi" w:hint="cs"/>
                                  <w:sz w:val="28"/>
                                  <w:szCs w:val="28"/>
                                  <w:rtl/>
                                  <w:lang w:bidi="ar-EG"/>
                                </w:rPr>
                                <w:t>الباب السابع: حيازة الأصول المالية المحلية والأجنبية</w:t>
                              </w:r>
                            </w:p>
                          </w:txbxContent>
                        </wps:txbx>
                        <wps:bodyPr rot="0" vert="horz" wrap="square" lIns="91440" tIns="45720" rIns="91440" bIns="45720" anchor="t" anchorCtr="0" upright="1">
                          <a:noAutofit/>
                        </wps:bodyPr>
                      </wps:wsp>
                      <wps:wsp>
                        <wps:cNvPr id="78" name="Text Box 77"/>
                        <wps:cNvSpPr txBox="1">
                          <a:spLocks noChangeArrowheads="1"/>
                        </wps:cNvSpPr>
                        <wps:spPr bwMode="auto">
                          <a:xfrm>
                            <a:off x="1527" y="12215"/>
                            <a:ext cx="3969" cy="1186"/>
                          </a:xfrm>
                          <a:prstGeom prst="rect">
                            <a:avLst/>
                          </a:prstGeom>
                          <a:solidFill>
                            <a:srgbClr val="FFFFFF"/>
                          </a:solidFill>
                          <a:ln w="19050">
                            <a:solidFill>
                              <a:srgbClr val="000000"/>
                            </a:solidFill>
                            <a:miter lim="800000"/>
                            <a:headEnd/>
                            <a:tailEnd/>
                          </a:ln>
                        </wps:spPr>
                        <wps:txbx>
                          <w:txbxContent>
                            <w:p w14:paraId="168D4E1F" w14:textId="77777777" w:rsidR="00270E6A" w:rsidRPr="006747F0" w:rsidRDefault="00270E6A" w:rsidP="002959BC">
                              <w:pPr>
                                <w:spacing w:before="40" w:after="40"/>
                                <w:ind w:left="1108" w:hanging="1134"/>
                                <w:jc w:val="lowKashida"/>
                                <w:rPr>
                                  <w:sz w:val="28"/>
                                  <w:szCs w:val="28"/>
                                  <w:lang w:bidi="ar-EG"/>
                                </w:rPr>
                              </w:pPr>
                              <w:r w:rsidRPr="006747F0">
                                <w:rPr>
                                  <w:rFonts w:asciiTheme="minorBidi" w:hAnsiTheme="minorBidi" w:hint="cs"/>
                                  <w:sz w:val="28"/>
                                  <w:szCs w:val="28"/>
                                  <w:rtl/>
                                  <w:lang w:bidi="ar-EG"/>
                                </w:rPr>
                                <w:t>الباب الخامس: الاقتراض وإصدار الأوراق المالية بخلاف الأسهم</w:t>
                              </w:r>
                            </w:p>
                          </w:txbxContent>
                        </wps:txbx>
                        <wps:bodyPr rot="0" vert="horz" wrap="square" lIns="91440" tIns="45720" rIns="91440" bIns="45720" anchor="t" anchorCtr="0" upright="1">
                          <a:noAutofit/>
                        </wps:bodyPr>
                      </wps:wsp>
                      <wps:wsp>
                        <wps:cNvPr id="79" name="Text Box 78"/>
                        <wps:cNvSpPr txBox="1">
                          <a:spLocks noChangeArrowheads="1"/>
                        </wps:cNvSpPr>
                        <wps:spPr bwMode="auto">
                          <a:xfrm>
                            <a:off x="6071" y="12261"/>
                            <a:ext cx="3969" cy="1115"/>
                          </a:xfrm>
                          <a:prstGeom prst="rect">
                            <a:avLst/>
                          </a:prstGeom>
                          <a:solidFill>
                            <a:srgbClr val="FFFFFF"/>
                          </a:solidFill>
                          <a:ln w="19050">
                            <a:solidFill>
                              <a:srgbClr val="000000"/>
                            </a:solidFill>
                            <a:miter lim="800000"/>
                            <a:headEnd/>
                            <a:tailEnd/>
                          </a:ln>
                        </wps:spPr>
                        <wps:txbx>
                          <w:txbxContent>
                            <w:p w14:paraId="3C33E429" w14:textId="77777777" w:rsidR="00270E6A" w:rsidRPr="006747F0" w:rsidRDefault="00270E6A" w:rsidP="002959BC">
                              <w:pPr>
                                <w:spacing w:before="40" w:after="40"/>
                                <w:ind w:left="1108" w:hanging="1134"/>
                                <w:jc w:val="lowKashida"/>
                                <w:rPr>
                                  <w:sz w:val="28"/>
                                  <w:szCs w:val="28"/>
                                  <w:lang w:bidi="ar-EG"/>
                                </w:rPr>
                              </w:pPr>
                              <w:r w:rsidRPr="006747F0">
                                <w:rPr>
                                  <w:rFonts w:asciiTheme="minorBidi" w:hAnsiTheme="minorBidi" w:hint="cs"/>
                                  <w:sz w:val="28"/>
                                  <w:szCs w:val="28"/>
                                  <w:rtl/>
                                  <w:lang w:bidi="ar-EG"/>
                                </w:rPr>
                                <w:t>الباب الثامن: سداد القروض المحلية والخارجية</w:t>
                              </w:r>
                            </w:p>
                          </w:txbxContent>
                        </wps:txbx>
                        <wps:bodyPr rot="0" vert="horz" wrap="square" lIns="91440" tIns="45720" rIns="91440" bIns="45720" anchor="t" anchorCtr="0" upright="1">
                          <a:noAutofit/>
                        </wps:bodyPr>
                      </wps:wsp>
                      <wps:wsp>
                        <wps:cNvPr id="80" name="AutoShape 79"/>
                        <wps:cNvCnPr>
                          <a:cxnSpLocks noChangeShapeType="1"/>
                        </wps:cNvCnPr>
                        <wps:spPr bwMode="auto">
                          <a:xfrm>
                            <a:off x="3386" y="6694"/>
                            <a:ext cx="0" cy="2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1" name="AutoShape 80"/>
                        <wps:cNvCnPr>
                          <a:cxnSpLocks noChangeShapeType="1"/>
                        </wps:cNvCnPr>
                        <wps:spPr bwMode="auto">
                          <a:xfrm flipH="1">
                            <a:off x="3422" y="9414"/>
                            <a:ext cx="4649"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2" name="AutoShape 81"/>
                        <wps:cNvCnPr>
                          <a:cxnSpLocks noChangeShapeType="1"/>
                        </wps:cNvCnPr>
                        <wps:spPr bwMode="auto">
                          <a:xfrm>
                            <a:off x="8066" y="9165"/>
                            <a:ext cx="0" cy="274"/>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3" name="AutoShape 82"/>
                        <wps:cNvCnPr>
                          <a:cxnSpLocks noChangeShapeType="1"/>
                        </wps:cNvCnPr>
                        <wps:spPr bwMode="auto">
                          <a:xfrm>
                            <a:off x="5769" y="9414"/>
                            <a:ext cx="0" cy="566"/>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AutoShape 83"/>
                        <wps:cNvCnPr>
                          <a:cxnSpLocks noChangeShapeType="1"/>
                        </wps:cNvCnPr>
                        <wps:spPr bwMode="auto">
                          <a:xfrm>
                            <a:off x="3416" y="9165"/>
                            <a:ext cx="0" cy="274"/>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5" name="Text Box 84"/>
                        <wps:cNvSpPr txBox="1">
                          <a:spLocks noChangeArrowheads="1"/>
                        </wps:cNvSpPr>
                        <wps:spPr bwMode="auto">
                          <a:xfrm>
                            <a:off x="2917" y="13608"/>
                            <a:ext cx="5593" cy="540"/>
                          </a:xfrm>
                          <a:prstGeom prst="rect">
                            <a:avLst/>
                          </a:prstGeom>
                          <a:solidFill>
                            <a:srgbClr val="FFFFFF"/>
                          </a:solidFill>
                          <a:ln w="19050">
                            <a:solidFill>
                              <a:srgbClr val="000000"/>
                            </a:solidFill>
                            <a:miter lim="800000"/>
                            <a:headEnd/>
                            <a:tailEnd/>
                          </a:ln>
                        </wps:spPr>
                        <wps:txbx>
                          <w:txbxContent>
                            <w:p w14:paraId="73B57DE1" w14:textId="77777777" w:rsidR="00270E6A" w:rsidRPr="006747F0" w:rsidRDefault="00270E6A" w:rsidP="002959BC">
                              <w:pPr>
                                <w:rPr>
                                  <w:sz w:val="28"/>
                                  <w:szCs w:val="28"/>
                                  <w:lang w:bidi="ar-EG"/>
                                </w:rPr>
                              </w:pPr>
                              <w:r w:rsidRPr="006747F0">
                                <w:rPr>
                                  <w:rFonts w:asciiTheme="minorBidi" w:hAnsiTheme="minorBidi" w:hint="cs"/>
                                  <w:sz w:val="28"/>
                                  <w:szCs w:val="28"/>
                                  <w:rtl/>
                                  <w:lang w:bidi="ar-EG"/>
                                </w:rPr>
                                <w:t>العجز الأولى = العجز الكلي - الفوائد المدفوعة</w:t>
                              </w:r>
                            </w:p>
                            <w:p w14:paraId="14AB11F5" w14:textId="77777777" w:rsidR="00270E6A" w:rsidRPr="006747F0" w:rsidRDefault="00270E6A" w:rsidP="002959BC">
                              <w:pPr>
                                <w:rPr>
                                  <w:sz w:val="28"/>
                                  <w:szCs w:val="28"/>
                                </w:rPr>
                              </w:pPr>
                            </w:p>
                          </w:txbxContent>
                        </wps:txbx>
                        <wps:bodyPr rot="0" vert="horz" wrap="square" lIns="91440" tIns="45720" rIns="91440" bIns="45720" anchor="t" anchorCtr="0" upright="1">
                          <a:noAutofit/>
                        </wps:bodyPr>
                      </wps:wsp>
                      <wps:wsp>
                        <wps:cNvPr id="86" name="AutoShape 85"/>
                        <wps:cNvCnPr>
                          <a:cxnSpLocks noChangeShapeType="1"/>
                        </wps:cNvCnPr>
                        <wps:spPr bwMode="auto">
                          <a:xfrm flipH="1">
                            <a:off x="1255" y="3338"/>
                            <a:ext cx="8957"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7" name="AutoShape 86"/>
                        <wps:cNvCnPr>
                          <a:cxnSpLocks noChangeShapeType="1"/>
                        </wps:cNvCnPr>
                        <wps:spPr bwMode="auto">
                          <a:xfrm>
                            <a:off x="10220" y="3322"/>
                            <a:ext cx="0" cy="11173"/>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8" name="AutoShape 87"/>
                        <wps:cNvCnPr>
                          <a:cxnSpLocks noChangeShapeType="1"/>
                        </wps:cNvCnPr>
                        <wps:spPr bwMode="auto">
                          <a:xfrm>
                            <a:off x="1270" y="3372"/>
                            <a:ext cx="0" cy="11173"/>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9" name="AutoShape 88"/>
                        <wps:cNvCnPr>
                          <a:cxnSpLocks noChangeShapeType="1"/>
                        </wps:cNvCnPr>
                        <wps:spPr bwMode="auto">
                          <a:xfrm flipH="1">
                            <a:off x="1267" y="14511"/>
                            <a:ext cx="8957"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0" name="Text Box 89"/>
                        <wps:cNvSpPr txBox="1">
                          <a:spLocks noChangeArrowheads="1"/>
                        </wps:cNvSpPr>
                        <wps:spPr bwMode="auto">
                          <a:xfrm>
                            <a:off x="1680" y="11094"/>
                            <a:ext cx="8247" cy="540"/>
                          </a:xfrm>
                          <a:prstGeom prst="rect">
                            <a:avLst/>
                          </a:prstGeom>
                          <a:solidFill>
                            <a:srgbClr val="FFFFFF"/>
                          </a:solidFill>
                          <a:ln w="19050">
                            <a:solidFill>
                              <a:srgbClr val="000000"/>
                            </a:solidFill>
                            <a:miter lim="800000"/>
                            <a:headEnd/>
                            <a:tailEnd/>
                          </a:ln>
                        </wps:spPr>
                        <wps:txbx>
                          <w:txbxContent>
                            <w:p w14:paraId="09527CD7" w14:textId="77777777" w:rsidR="00270E6A" w:rsidRPr="006747F0" w:rsidRDefault="00270E6A" w:rsidP="002959BC">
                              <w:pPr>
                                <w:rPr>
                                  <w:sz w:val="28"/>
                                  <w:szCs w:val="28"/>
                                  <w:lang w:bidi="ar-EG"/>
                                </w:rPr>
                              </w:pPr>
                              <w:r w:rsidRPr="006747F0">
                                <w:rPr>
                                  <w:rFonts w:asciiTheme="minorBidi" w:hAnsiTheme="minorBidi" w:hint="cs"/>
                                  <w:sz w:val="28"/>
                                  <w:szCs w:val="28"/>
                                  <w:rtl/>
                                  <w:lang w:bidi="ar-EG"/>
                                </w:rPr>
                                <w:t>ويتم تمويل العجز الكلي من خلال صافي الاقتراض بالإضافة إلى صافي حصيلة الخصخصة</w:t>
                              </w:r>
                            </w:p>
                            <w:p w14:paraId="3C8BE9A6" w14:textId="77777777" w:rsidR="00270E6A" w:rsidRPr="006747F0" w:rsidRDefault="00270E6A" w:rsidP="002959BC">
                              <w:pPr>
                                <w:rPr>
                                  <w:sz w:val="28"/>
                                  <w:szCs w:val="28"/>
                                </w:rPr>
                              </w:pPr>
                            </w:p>
                          </w:txbxContent>
                        </wps:txbx>
                        <wps:bodyPr rot="0" vert="horz" wrap="square" lIns="91440" tIns="45720" rIns="91440" bIns="45720" anchor="t" anchorCtr="0" upright="1">
                          <a:noAutofit/>
                        </wps:bodyPr>
                      </wps:wsp>
                      <wps:wsp>
                        <wps:cNvPr id="91" name="Text Box 90"/>
                        <wps:cNvSpPr txBox="1">
                          <a:spLocks noChangeArrowheads="1"/>
                        </wps:cNvSpPr>
                        <wps:spPr bwMode="auto">
                          <a:xfrm>
                            <a:off x="2880" y="9961"/>
                            <a:ext cx="5789" cy="540"/>
                          </a:xfrm>
                          <a:prstGeom prst="rect">
                            <a:avLst/>
                          </a:prstGeom>
                          <a:solidFill>
                            <a:srgbClr val="FFFFFF"/>
                          </a:solidFill>
                          <a:ln w="19050">
                            <a:solidFill>
                              <a:srgbClr val="000000"/>
                            </a:solidFill>
                            <a:miter lim="800000"/>
                            <a:headEnd/>
                            <a:tailEnd/>
                          </a:ln>
                        </wps:spPr>
                        <wps:txbx>
                          <w:txbxContent>
                            <w:p w14:paraId="3AF71E7C" w14:textId="77777777" w:rsidR="00270E6A" w:rsidRPr="006747F0" w:rsidRDefault="00270E6A" w:rsidP="002959BC">
                              <w:pPr>
                                <w:rPr>
                                  <w:sz w:val="28"/>
                                  <w:szCs w:val="28"/>
                                </w:rPr>
                              </w:pPr>
                              <w:r w:rsidRPr="006747F0">
                                <w:rPr>
                                  <w:rFonts w:asciiTheme="minorBidi" w:hAnsiTheme="minorBidi" w:hint="cs"/>
                                  <w:sz w:val="28"/>
                                  <w:szCs w:val="28"/>
                                  <w:rtl/>
                                  <w:lang w:bidi="ar-EG"/>
                                </w:rPr>
                                <w:t xml:space="preserve">العجز الكلي = العجز النقدي + صافي حيازة الأصول المالية </w:t>
                              </w:r>
                            </w:p>
                          </w:txbxContent>
                        </wps:txbx>
                        <wps:bodyPr rot="0" vert="horz" wrap="square" lIns="91440" tIns="45720" rIns="91440" bIns="45720" anchor="t" anchorCtr="0" upright="1">
                          <a:noAutofit/>
                        </wps:bodyPr>
                      </wps:wsp>
                      <wps:wsp>
                        <wps:cNvPr id="92" name="AutoShape 91"/>
                        <wps:cNvCnPr>
                          <a:cxnSpLocks noChangeShapeType="1"/>
                        </wps:cNvCnPr>
                        <wps:spPr bwMode="auto">
                          <a:xfrm>
                            <a:off x="5707" y="11667"/>
                            <a:ext cx="14" cy="364"/>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AutoShape 92"/>
                        <wps:cNvCnPr>
                          <a:cxnSpLocks noChangeShapeType="1"/>
                        </wps:cNvCnPr>
                        <wps:spPr bwMode="auto">
                          <a:xfrm flipH="1">
                            <a:off x="3400" y="12004"/>
                            <a:ext cx="4649"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4" name="AutoShape 93"/>
                        <wps:cNvCnPr>
                          <a:cxnSpLocks noChangeShapeType="1"/>
                        </wps:cNvCnPr>
                        <wps:spPr bwMode="auto">
                          <a:xfrm>
                            <a:off x="8041" y="11973"/>
                            <a:ext cx="0" cy="2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5" name="AutoShape 94"/>
                        <wps:cNvCnPr>
                          <a:cxnSpLocks noChangeShapeType="1"/>
                        </wps:cNvCnPr>
                        <wps:spPr bwMode="auto">
                          <a:xfrm>
                            <a:off x="3391" y="11973"/>
                            <a:ext cx="0" cy="2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6" name="AutoShape 95"/>
                        <wps:cNvCnPr>
                          <a:cxnSpLocks noChangeShapeType="1"/>
                        </wps:cNvCnPr>
                        <wps:spPr bwMode="auto">
                          <a:xfrm>
                            <a:off x="5790" y="10506"/>
                            <a:ext cx="0" cy="566"/>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BE42B1" id="Group 69" o:spid="_x0000_s1089" style="position:absolute;left:0;text-align:left;margin-left:6.65pt;margin-top:22.5pt;width:448.45pt;height:561.15pt;z-index:251670528" coordorigin="1255,3322" coordsize="8969,11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">
                <v:shape id="Text Box 69" o:spid="_x0000_s1090" type="#_x0000_t202" style="position:absolute;left:1421;top:3777;width:3969;height:2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" strokeweight="1.5pt">
                  <v:textbox>
                    <w:txbxContent>
                      <w:p w14:paraId="02BF6CEB" w14:textId="77777777" w:rsidR="00270E6A" w:rsidRPr="006747F0" w:rsidRDefault="00270E6A" w:rsidP="002959BC">
                        <w:pPr>
                          <w:spacing w:before="40" w:after="40"/>
                          <w:ind w:left="1108" w:hanging="1134"/>
                          <w:jc w:val="lowKashida"/>
                          <w:rPr>
                            <w:rFonts w:asciiTheme="minorBidi" w:hAnsiTheme="minorBidi"/>
                            <w:sz w:val="28"/>
                            <w:szCs w:val="28"/>
                            <w:lang w:bidi="ar-EG"/>
                          </w:rPr>
                        </w:pPr>
                        <w:r w:rsidRPr="006747F0">
                          <w:rPr>
                            <w:rFonts w:asciiTheme="minorBidi" w:hAnsiTheme="minorBidi" w:hint="cs"/>
                            <w:sz w:val="28"/>
                            <w:szCs w:val="28"/>
                            <w:rtl/>
                            <w:lang w:bidi="ar-EG"/>
                          </w:rPr>
                          <w:t>الباب الأول: الضرائب</w:t>
                        </w:r>
                      </w:p>
                      <w:p w14:paraId="04C213D2" w14:textId="77777777" w:rsidR="00270E6A" w:rsidRPr="006747F0" w:rsidRDefault="00270E6A" w:rsidP="002959BC">
                        <w:pPr>
                          <w:spacing w:before="40" w:after="40"/>
                          <w:ind w:left="1108" w:hanging="1134"/>
                          <w:jc w:val="lowKashida"/>
                          <w:rPr>
                            <w:rFonts w:asciiTheme="minorBidi" w:hAnsiTheme="minorBidi"/>
                            <w:sz w:val="28"/>
                            <w:szCs w:val="28"/>
                            <w:lang w:bidi="ar-EG"/>
                          </w:rPr>
                        </w:pPr>
                        <w:r w:rsidRPr="006747F0">
                          <w:rPr>
                            <w:rFonts w:asciiTheme="minorBidi" w:hAnsiTheme="minorBidi" w:hint="cs"/>
                            <w:sz w:val="28"/>
                            <w:szCs w:val="28"/>
                            <w:rtl/>
                            <w:lang w:bidi="ar-EG"/>
                          </w:rPr>
                          <w:t>الباب الثاني: المنح</w:t>
                        </w:r>
                      </w:p>
                      <w:p w14:paraId="247F055B" w14:textId="77777777" w:rsidR="00270E6A" w:rsidRPr="006747F0" w:rsidRDefault="00270E6A" w:rsidP="002959BC">
                        <w:pPr>
                          <w:spacing w:before="40" w:after="40"/>
                          <w:ind w:left="1108" w:hanging="1134"/>
                          <w:jc w:val="lowKashida"/>
                        </w:pPr>
                        <w:r w:rsidRPr="006747F0">
                          <w:rPr>
                            <w:rFonts w:asciiTheme="minorBidi" w:hAnsiTheme="minorBidi" w:hint="cs"/>
                            <w:sz w:val="28"/>
                            <w:szCs w:val="28"/>
                            <w:rtl/>
                            <w:lang w:bidi="ar-EG"/>
                          </w:rPr>
                          <w:t>الباب الثالث: الإيرادات أخرى</w:t>
                        </w:r>
                      </w:p>
                    </w:txbxContent>
                  </v:textbox>
                </v:shape>
                <v:shape id="Text Box 70" o:spid="_x0000_s1091" type="#_x0000_t202" style="position:absolute;left:6056;top:3721;width:3969;height:2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" strokeweight="1.5pt">
                  <v:textbox>
                    <w:txbxContent>
                      <w:p w14:paraId="0AE70EA9" w14:textId="77777777" w:rsidR="00270E6A" w:rsidRPr="006747F0" w:rsidRDefault="00270E6A" w:rsidP="002959BC">
                        <w:pPr>
                          <w:spacing w:before="40" w:after="40"/>
                          <w:ind w:left="1108" w:hanging="1134"/>
                          <w:jc w:val="lowKashida"/>
                          <w:rPr>
                            <w:rFonts w:asciiTheme="minorBidi" w:hAnsiTheme="minorBidi"/>
                            <w:sz w:val="28"/>
                            <w:szCs w:val="28"/>
                            <w:lang w:bidi="ar-EG"/>
                          </w:rPr>
                        </w:pPr>
                        <w:r w:rsidRPr="006747F0">
                          <w:rPr>
                            <w:rFonts w:asciiTheme="minorBidi" w:hAnsiTheme="minorBidi" w:hint="cs"/>
                            <w:sz w:val="28"/>
                            <w:szCs w:val="28"/>
                            <w:rtl/>
                            <w:lang w:bidi="ar-EG"/>
                          </w:rPr>
                          <w:t>الباب الأول:</w:t>
                        </w:r>
                        <w:r w:rsidRPr="006747F0">
                          <w:rPr>
                            <w:rFonts w:asciiTheme="minorBidi" w:hAnsiTheme="minorBidi"/>
                            <w:sz w:val="28"/>
                            <w:szCs w:val="28"/>
                            <w:rtl/>
                            <w:lang w:bidi="ar-EG"/>
                          </w:rPr>
                          <w:tab/>
                        </w:r>
                        <w:r w:rsidRPr="006747F0">
                          <w:rPr>
                            <w:rFonts w:asciiTheme="minorBidi" w:hAnsiTheme="minorBidi" w:hint="cs"/>
                            <w:sz w:val="28"/>
                            <w:szCs w:val="28"/>
                            <w:rtl/>
                            <w:lang w:bidi="ar-EG"/>
                          </w:rPr>
                          <w:t>الأجور وتعويضات العاملين</w:t>
                        </w:r>
                      </w:p>
                      <w:p w14:paraId="5D2A3046" w14:textId="77777777" w:rsidR="00270E6A" w:rsidRPr="006747F0" w:rsidRDefault="00270E6A" w:rsidP="002959BC">
                        <w:pPr>
                          <w:spacing w:before="40" w:after="40"/>
                          <w:ind w:left="1108" w:hanging="1134"/>
                          <w:jc w:val="lowKashida"/>
                          <w:rPr>
                            <w:rFonts w:asciiTheme="minorBidi" w:hAnsiTheme="minorBidi"/>
                            <w:sz w:val="28"/>
                            <w:szCs w:val="28"/>
                            <w:lang w:bidi="ar-EG"/>
                          </w:rPr>
                        </w:pPr>
                        <w:r w:rsidRPr="006747F0">
                          <w:rPr>
                            <w:rFonts w:asciiTheme="minorBidi" w:hAnsiTheme="minorBidi" w:hint="cs"/>
                            <w:sz w:val="28"/>
                            <w:szCs w:val="28"/>
                            <w:rtl/>
                            <w:lang w:bidi="ar-EG"/>
                          </w:rPr>
                          <w:t>الباب الثاني:</w:t>
                        </w:r>
                        <w:r w:rsidRPr="006747F0">
                          <w:rPr>
                            <w:rFonts w:asciiTheme="minorBidi" w:hAnsiTheme="minorBidi"/>
                            <w:sz w:val="28"/>
                            <w:szCs w:val="28"/>
                            <w:rtl/>
                            <w:lang w:bidi="ar-EG"/>
                          </w:rPr>
                          <w:tab/>
                        </w:r>
                        <w:r w:rsidRPr="006747F0">
                          <w:rPr>
                            <w:rFonts w:asciiTheme="minorBidi" w:hAnsiTheme="minorBidi" w:hint="cs"/>
                            <w:sz w:val="28"/>
                            <w:szCs w:val="28"/>
                            <w:rtl/>
                            <w:lang w:bidi="ar-EG"/>
                          </w:rPr>
                          <w:t>شراء السلع والخدمات</w:t>
                        </w:r>
                      </w:p>
                      <w:p w14:paraId="368AE730" w14:textId="77777777" w:rsidR="00270E6A" w:rsidRPr="006747F0" w:rsidRDefault="00270E6A" w:rsidP="002959BC">
                        <w:pPr>
                          <w:spacing w:before="40" w:after="40"/>
                          <w:ind w:left="1108" w:hanging="1134"/>
                          <w:jc w:val="lowKashida"/>
                          <w:rPr>
                            <w:rFonts w:asciiTheme="minorBidi" w:hAnsiTheme="minorBidi"/>
                            <w:sz w:val="28"/>
                            <w:szCs w:val="28"/>
                            <w:lang w:bidi="ar-EG"/>
                          </w:rPr>
                        </w:pPr>
                        <w:r w:rsidRPr="006747F0">
                          <w:rPr>
                            <w:rFonts w:asciiTheme="minorBidi" w:hAnsiTheme="minorBidi" w:hint="cs"/>
                            <w:sz w:val="28"/>
                            <w:szCs w:val="28"/>
                            <w:rtl/>
                            <w:lang w:bidi="ar-EG"/>
                          </w:rPr>
                          <w:t>الباب الثالث: الفوائد</w:t>
                        </w:r>
                      </w:p>
                      <w:p w14:paraId="09D3FCA6" w14:textId="77777777" w:rsidR="00270E6A" w:rsidRPr="006747F0" w:rsidRDefault="00270E6A" w:rsidP="002959BC">
                        <w:pPr>
                          <w:spacing w:before="40" w:after="40"/>
                          <w:ind w:left="1108" w:hanging="1134"/>
                          <w:jc w:val="lowKashida"/>
                          <w:rPr>
                            <w:rFonts w:asciiTheme="minorBidi" w:hAnsiTheme="minorBidi"/>
                            <w:sz w:val="28"/>
                            <w:szCs w:val="28"/>
                            <w:lang w:bidi="ar-EG"/>
                          </w:rPr>
                        </w:pPr>
                        <w:r w:rsidRPr="006747F0">
                          <w:rPr>
                            <w:rFonts w:asciiTheme="minorBidi" w:hAnsiTheme="minorBidi" w:hint="cs"/>
                            <w:sz w:val="28"/>
                            <w:szCs w:val="28"/>
                            <w:rtl/>
                            <w:lang w:bidi="ar-EG"/>
                          </w:rPr>
                          <w:t>الباب الرابع: الدعم والمنح والمزايا الاجتماعية</w:t>
                        </w:r>
                      </w:p>
                      <w:p w14:paraId="24902879" w14:textId="77777777" w:rsidR="00270E6A" w:rsidRPr="006747F0" w:rsidRDefault="00270E6A" w:rsidP="002959BC">
                        <w:pPr>
                          <w:spacing w:before="40" w:after="40"/>
                          <w:ind w:left="1108" w:hanging="1134"/>
                          <w:jc w:val="lowKashida"/>
                          <w:rPr>
                            <w:rFonts w:asciiTheme="minorBidi" w:hAnsiTheme="minorBidi"/>
                            <w:sz w:val="28"/>
                            <w:szCs w:val="28"/>
                            <w:lang w:bidi="ar-EG"/>
                          </w:rPr>
                        </w:pPr>
                        <w:r w:rsidRPr="006747F0">
                          <w:rPr>
                            <w:rFonts w:asciiTheme="minorBidi" w:hAnsiTheme="minorBidi" w:hint="cs"/>
                            <w:sz w:val="28"/>
                            <w:szCs w:val="28"/>
                            <w:rtl/>
                            <w:lang w:bidi="ar-EG"/>
                          </w:rPr>
                          <w:t>الباب الخامس: المصروفات الأخرى</w:t>
                        </w:r>
                      </w:p>
                      <w:p w14:paraId="496D7E53" w14:textId="77777777" w:rsidR="00270E6A" w:rsidRPr="006747F0" w:rsidRDefault="00270E6A" w:rsidP="002959BC">
                        <w:pPr>
                          <w:spacing w:before="40" w:after="40"/>
                          <w:ind w:left="1108" w:hanging="1134"/>
                          <w:jc w:val="lowKashida"/>
                        </w:pPr>
                        <w:r w:rsidRPr="006747F0">
                          <w:rPr>
                            <w:rFonts w:asciiTheme="minorBidi" w:hAnsiTheme="minorBidi" w:hint="cs"/>
                            <w:sz w:val="28"/>
                            <w:szCs w:val="28"/>
                            <w:rtl/>
                            <w:lang w:bidi="ar-EG"/>
                          </w:rPr>
                          <w:t>الباب السادس: شراء الأصول غير المالية (الاستثمارات)</w:t>
                        </w:r>
                      </w:p>
                    </w:txbxContent>
                  </v:textbox>
                </v:shape>
                <v:shape id="AutoShape 71" o:spid="_x0000_s1092" type="#_x0000_t32" style="position:absolute;left:3392;top:6945;width:464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" strokeweight="1.5pt"/>
                <v:shape id="AutoShape 72" o:spid="_x0000_s1093" type="#_x0000_t32" style="position:absolute;left:8023;top:6696;width:0;height:2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" strokeweight="1.5pt"/>
                <v:shape id="AutoShape 73" o:spid="_x0000_s1094" type="#_x0000_t32" style="position:absolute;left:5739;top:6959;width:0;height:3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" strokeweight="1.5pt">
                  <v:stroke endarrow="block"/>
                </v:shape>
                <v:shape id="Text Box 74" o:spid="_x0000_s1095" type="#_x0000_t202" style="position:absolute;left:3461;top:7292;width:4535;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" strokeweight="1.5pt">
                  <v:textbox>
                    <w:txbxContent>
                      <w:p w14:paraId="363E7207" w14:textId="77777777" w:rsidR="00270E6A" w:rsidRPr="006747F0" w:rsidRDefault="00270E6A" w:rsidP="002959BC">
                        <w:pPr>
                          <w:rPr>
                            <w:sz w:val="28"/>
                            <w:szCs w:val="28"/>
                          </w:rPr>
                        </w:pPr>
                        <w:r w:rsidRPr="006747F0">
                          <w:rPr>
                            <w:rFonts w:asciiTheme="minorBidi" w:hAnsiTheme="minorBidi" w:hint="cs"/>
                            <w:sz w:val="28"/>
                            <w:szCs w:val="28"/>
                            <w:rtl/>
                            <w:lang w:bidi="ar-EG"/>
                          </w:rPr>
                          <w:t>العجز النقدي = المصروفات - الإيرادات</w:t>
                        </w:r>
                      </w:p>
                    </w:txbxContent>
                  </v:textbox>
                </v:shape>
                <v:shape id="Text Box 75" o:spid="_x0000_s1096" type="#_x0000_t202" style="position:absolute;left:1421;top:7945;width:3969;height:1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" strokeweight="1.5pt">
                  <v:textbox>
                    <w:txbxContent>
                      <w:p w14:paraId="3E66924F" w14:textId="77777777" w:rsidR="00270E6A" w:rsidRPr="006747F0" w:rsidRDefault="00270E6A" w:rsidP="002959BC">
                        <w:pPr>
                          <w:spacing w:before="40" w:after="40"/>
                          <w:ind w:left="1108" w:hanging="1134"/>
                          <w:jc w:val="lowKashida"/>
                          <w:rPr>
                            <w:sz w:val="28"/>
                            <w:szCs w:val="28"/>
                            <w:lang w:bidi="ar-EG"/>
                          </w:rPr>
                        </w:pPr>
                        <w:r w:rsidRPr="006747F0">
                          <w:rPr>
                            <w:rFonts w:asciiTheme="minorBidi" w:hAnsiTheme="minorBidi" w:hint="cs"/>
                            <w:sz w:val="28"/>
                            <w:szCs w:val="28"/>
                            <w:rtl/>
                            <w:lang w:bidi="ar-EG"/>
                          </w:rPr>
                          <w:t>الباب الرابع: المتحصلات من الإقراض ومبيعات الأصول المالية بدون حصيلة الخصخصة</w:t>
                        </w:r>
                      </w:p>
                    </w:txbxContent>
                  </v:textbox>
                </v:shape>
                <v:shape id="Text Box 76" o:spid="_x0000_s1097" type="#_x0000_t202" style="position:absolute;left:6092;top:7917;width:3969;height:1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" strokeweight="1.5pt">
                  <v:textbox>
                    <w:txbxContent>
                      <w:p w14:paraId="42ABDBE4" w14:textId="77777777" w:rsidR="00270E6A" w:rsidRPr="006747F0" w:rsidRDefault="00270E6A" w:rsidP="002959BC">
                        <w:pPr>
                          <w:spacing w:before="40" w:after="40"/>
                          <w:ind w:left="1108" w:hanging="1134"/>
                          <w:jc w:val="lowKashida"/>
                          <w:rPr>
                            <w:sz w:val="28"/>
                            <w:szCs w:val="28"/>
                            <w:lang w:bidi="ar-EG"/>
                          </w:rPr>
                        </w:pPr>
                        <w:r w:rsidRPr="006747F0">
                          <w:rPr>
                            <w:rFonts w:asciiTheme="minorBidi" w:hAnsiTheme="minorBidi" w:hint="cs"/>
                            <w:sz w:val="28"/>
                            <w:szCs w:val="28"/>
                            <w:rtl/>
                            <w:lang w:bidi="ar-EG"/>
                          </w:rPr>
                          <w:t>الباب السابع: حيازة الأصول المالية المحلية والأجنبية</w:t>
                        </w:r>
                      </w:p>
                    </w:txbxContent>
                  </v:textbox>
                </v:shape>
                <v:shape id="Text Box 77" o:spid="_x0000_s1098" type="#_x0000_t202" style="position:absolute;left:1527;top:12215;width:3969;height:1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" strokeweight="1.5pt">
                  <v:textbox>
                    <w:txbxContent>
                      <w:p w14:paraId="168D4E1F" w14:textId="77777777" w:rsidR="00270E6A" w:rsidRPr="006747F0" w:rsidRDefault="00270E6A" w:rsidP="002959BC">
                        <w:pPr>
                          <w:spacing w:before="40" w:after="40"/>
                          <w:ind w:left="1108" w:hanging="1134"/>
                          <w:jc w:val="lowKashida"/>
                          <w:rPr>
                            <w:sz w:val="28"/>
                            <w:szCs w:val="28"/>
                            <w:lang w:bidi="ar-EG"/>
                          </w:rPr>
                        </w:pPr>
                        <w:r w:rsidRPr="006747F0">
                          <w:rPr>
                            <w:rFonts w:asciiTheme="minorBidi" w:hAnsiTheme="minorBidi" w:hint="cs"/>
                            <w:sz w:val="28"/>
                            <w:szCs w:val="28"/>
                            <w:rtl/>
                            <w:lang w:bidi="ar-EG"/>
                          </w:rPr>
                          <w:t>الباب الخامس: الاقتراض وإصدار الأوراق المالية بخلاف الأسهم</w:t>
                        </w:r>
                      </w:p>
                    </w:txbxContent>
                  </v:textbox>
                </v:shape>
                <v:shape id="Text Box 78" o:spid="_x0000_s1099" type="#_x0000_t202" style="position:absolute;left:6071;top:12261;width:3969;height:1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" strokeweight="1.5pt">
                  <v:textbox>
                    <w:txbxContent>
                      <w:p w14:paraId="3C33E429" w14:textId="77777777" w:rsidR="00270E6A" w:rsidRPr="006747F0" w:rsidRDefault="00270E6A" w:rsidP="002959BC">
                        <w:pPr>
                          <w:spacing w:before="40" w:after="40"/>
                          <w:ind w:left="1108" w:hanging="1134"/>
                          <w:jc w:val="lowKashida"/>
                          <w:rPr>
                            <w:sz w:val="28"/>
                            <w:szCs w:val="28"/>
                            <w:lang w:bidi="ar-EG"/>
                          </w:rPr>
                        </w:pPr>
                        <w:r w:rsidRPr="006747F0">
                          <w:rPr>
                            <w:rFonts w:asciiTheme="minorBidi" w:hAnsiTheme="minorBidi" w:hint="cs"/>
                            <w:sz w:val="28"/>
                            <w:szCs w:val="28"/>
                            <w:rtl/>
                            <w:lang w:bidi="ar-EG"/>
                          </w:rPr>
                          <w:t>الباب الثامن: سداد القروض المحلية والخارجية</w:t>
                        </w:r>
                      </w:p>
                    </w:txbxContent>
                  </v:textbox>
                </v:shape>
                <v:shape id="AutoShape 79" o:spid="_x0000_s1100" type="#_x0000_t32" style="position:absolute;left:3386;top:6694;width:0;height:2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" strokeweight="1.5pt"/>
                <v:shape id="AutoShape 80" o:spid="_x0000_s1101" type="#_x0000_t32" style="position:absolute;left:3422;top:9414;width:464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" strokeweight="1.5pt"/>
                <v:shape id="AutoShape 81" o:spid="_x0000_s1102" type="#_x0000_t32" style="position:absolute;left:8066;top:9165;width:0;height: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" strokeweight="1.5pt"/>
                <v:shape id="AutoShape 82" o:spid="_x0000_s1103" type="#_x0000_t32" style="position:absolute;left:5769;top:9414;width:0;height:5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" strokeweight="1.5pt">
                  <v:stroke endarrow="block"/>
                </v:shape>
                <v:shape id="AutoShape 83" o:spid="_x0000_s1104" type="#_x0000_t32" style="position:absolute;left:3416;top:9165;width:0;height: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" strokeweight="1.5pt"/>
                <v:shape id="Text Box 84" o:spid="_x0000_s1105" type="#_x0000_t202" style="position:absolute;left:2917;top:13608;width:559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" strokeweight="1.5pt">
                  <v:textbox>
                    <w:txbxContent>
                      <w:p w14:paraId="73B57DE1" w14:textId="77777777" w:rsidR="00270E6A" w:rsidRPr="006747F0" w:rsidRDefault="00270E6A" w:rsidP="002959BC">
                        <w:pPr>
                          <w:rPr>
                            <w:sz w:val="28"/>
                            <w:szCs w:val="28"/>
                            <w:lang w:bidi="ar-EG"/>
                          </w:rPr>
                        </w:pPr>
                        <w:r w:rsidRPr="006747F0">
                          <w:rPr>
                            <w:rFonts w:asciiTheme="minorBidi" w:hAnsiTheme="minorBidi" w:hint="cs"/>
                            <w:sz w:val="28"/>
                            <w:szCs w:val="28"/>
                            <w:rtl/>
                            <w:lang w:bidi="ar-EG"/>
                          </w:rPr>
                          <w:t>العجز الأولى = العجز الكلي - الفوائد المدفوعة</w:t>
                        </w:r>
                      </w:p>
                      <w:p w14:paraId="14AB11F5" w14:textId="77777777" w:rsidR="00270E6A" w:rsidRPr="006747F0" w:rsidRDefault="00270E6A" w:rsidP="002959BC">
                        <w:pPr>
                          <w:rPr>
                            <w:sz w:val="28"/>
                            <w:szCs w:val="28"/>
                          </w:rPr>
                        </w:pPr>
                      </w:p>
                    </w:txbxContent>
                  </v:textbox>
                </v:shape>
                <v:shape id="AutoShape 85" o:spid="_x0000_s1106" type="#_x0000_t32" style="position:absolute;left:1255;top:3338;width:895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" strokeweight="1.5pt"/>
                <v:shape id="AutoShape 86" o:spid="_x0000_s1107" type="#_x0000_t32" style="position:absolute;left:10220;top:3322;width:0;height:111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" strokeweight="1.5pt"/>
                <v:shape id="AutoShape 87" o:spid="_x0000_s1108" type="#_x0000_t32" style="position:absolute;left:1270;top:3372;width:0;height:111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" strokeweight="1.5pt"/>
                <v:shape id="AutoShape 88" o:spid="_x0000_s1109" type="#_x0000_t32" style="position:absolute;left:1267;top:14511;width:895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" strokeweight="1.5pt"/>
                <v:shape id="Text Box 89" o:spid="_x0000_s1110" type="#_x0000_t202" style="position:absolute;left:1680;top:11094;width:8247;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" strokeweight="1.5pt">
                  <v:textbox>
                    <w:txbxContent>
                      <w:p w14:paraId="09527CD7" w14:textId="77777777" w:rsidR="00270E6A" w:rsidRPr="006747F0" w:rsidRDefault="00270E6A" w:rsidP="002959BC">
                        <w:pPr>
                          <w:rPr>
                            <w:sz w:val="28"/>
                            <w:szCs w:val="28"/>
                            <w:lang w:bidi="ar-EG"/>
                          </w:rPr>
                        </w:pPr>
                        <w:r w:rsidRPr="006747F0">
                          <w:rPr>
                            <w:rFonts w:asciiTheme="minorBidi" w:hAnsiTheme="minorBidi" w:hint="cs"/>
                            <w:sz w:val="28"/>
                            <w:szCs w:val="28"/>
                            <w:rtl/>
                            <w:lang w:bidi="ar-EG"/>
                          </w:rPr>
                          <w:t>ويتم تمويل العجز الكلي من خلال صافي الاقتراض بالإضافة إلى صافي حصيلة الخصخصة</w:t>
                        </w:r>
                      </w:p>
                      <w:p w14:paraId="3C8BE9A6" w14:textId="77777777" w:rsidR="00270E6A" w:rsidRPr="006747F0" w:rsidRDefault="00270E6A" w:rsidP="002959BC">
                        <w:pPr>
                          <w:rPr>
                            <w:sz w:val="28"/>
                            <w:szCs w:val="28"/>
                          </w:rPr>
                        </w:pPr>
                      </w:p>
                    </w:txbxContent>
                  </v:textbox>
                </v:shape>
                <v:shape id="Text Box 90" o:spid="_x0000_s1111" type="#_x0000_t202" style="position:absolute;left:2880;top:9961;width:578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" strokeweight="1.5pt">
                  <v:textbox>
                    <w:txbxContent>
                      <w:p w14:paraId="3AF71E7C" w14:textId="77777777" w:rsidR="00270E6A" w:rsidRPr="006747F0" w:rsidRDefault="00270E6A" w:rsidP="002959BC">
                        <w:pPr>
                          <w:rPr>
                            <w:sz w:val="28"/>
                            <w:szCs w:val="28"/>
                          </w:rPr>
                        </w:pPr>
                        <w:r w:rsidRPr="006747F0">
                          <w:rPr>
                            <w:rFonts w:asciiTheme="minorBidi" w:hAnsiTheme="minorBidi" w:hint="cs"/>
                            <w:sz w:val="28"/>
                            <w:szCs w:val="28"/>
                            <w:rtl/>
                            <w:lang w:bidi="ar-EG"/>
                          </w:rPr>
                          <w:t xml:space="preserve">العجز الكلي = العجز النقدي + صافي حيازة الأصول المالية </w:t>
                        </w:r>
                      </w:p>
                    </w:txbxContent>
                  </v:textbox>
                </v:shape>
                <v:shape id="AutoShape 91" o:spid="_x0000_s1112" type="#_x0000_t32" style="position:absolute;left:5707;top:11667;width:14;height:3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" strokeweight="1.5pt">
                  <v:stroke endarrow="block"/>
                </v:shape>
                <v:shape id="AutoShape 92" o:spid="_x0000_s1113" type="#_x0000_t32" style="position:absolute;left:3400;top:12004;width:464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" strokeweight="1.5pt"/>
                <v:shape id="AutoShape 93" o:spid="_x0000_s1114" type="#_x0000_t32" style="position:absolute;left:8041;top:11973;width:0;height:2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" strokeweight="1.5pt"/>
                <v:shape id="AutoShape 94" o:spid="_x0000_s1115" type="#_x0000_t32" style="position:absolute;left:3391;top:11973;width:0;height:2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" strokeweight="1.5pt"/>
                <v:shape id="AutoShape 95" o:spid="_x0000_s1116" type="#_x0000_t32" style="position:absolute;left:5790;top:10506;width:0;height:5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" strokeweight="1.5pt">
                  <v:stroke endarrow="block"/>
                </v:shape>
              </v:group>
            </w:pict>
          </mc:Fallback>
        </mc:AlternateContent>
      </w:r>
      <w:r w:rsidRPr="00FD5BEE">
        <w:rPr>
          <w:rFonts w:ascii="Simplified Arabic" w:hAnsi="Simplified Arabic" w:cs="Simplified Arabic"/>
          <w:sz w:val="28"/>
          <w:szCs w:val="28"/>
          <w:rtl/>
          <w:lang w:bidi="ar-EG"/>
        </w:rPr>
        <w:t>المصروفات:</w:t>
      </w:r>
      <w:r w:rsidRPr="00FD5BEE">
        <w:rPr>
          <w:rFonts w:ascii="Simplified Arabic" w:hAnsi="Simplified Arabic" w:cs="Simplified Arabic"/>
          <w:sz w:val="28"/>
          <w:szCs w:val="28"/>
          <w:rtl/>
          <w:lang w:bidi="ar-EG"/>
        </w:rPr>
        <w:tab/>
      </w:r>
      <w:r w:rsidRPr="00FD5BEE">
        <w:rPr>
          <w:rFonts w:ascii="Simplified Arabic" w:hAnsi="Simplified Arabic" w:cs="Simplified Arabic"/>
          <w:sz w:val="28"/>
          <w:szCs w:val="28"/>
          <w:rtl/>
          <w:lang w:bidi="ar-EG"/>
        </w:rPr>
        <w:tab/>
      </w:r>
      <w:r w:rsidRPr="00FD5BEE">
        <w:rPr>
          <w:rFonts w:ascii="Simplified Arabic" w:hAnsi="Simplified Arabic" w:cs="Simplified Arabic"/>
          <w:sz w:val="28"/>
          <w:szCs w:val="28"/>
          <w:rtl/>
          <w:lang w:bidi="ar-EG"/>
        </w:rPr>
        <w:tab/>
      </w:r>
      <w:r w:rsidRPr="00FD5BEE">
        <w:rPr>
          <w:rFonts w:ascii="Simplified Arabic" w:hAnsi="Simplified Arabic" w:cs="Simplified Arabic"/>
          <w:sz w:val="28"/>
          <w:szCs w:val="28"/>
          <w:rtl/>
          <w:lang w:bidi="ar-EG"/>
        </w:rPr>
        <w:tab/>
      </w:r>
      <w:r w:rsidRPr="00FD5BEE">
        <w:rPr>
          <w:rFonts w:ascii="Simplified Arabic" w:hAnsi="Simplified Arabic" w:cs="Simplified Arabic"/>
          <w:sz w:val="28"/>
          <w:szCs w:val="28"/>
          <w:rtl/>
          <w:lang w:bidi="ar-EG"/>
        </w:rPr>
        <w:tab/>
      </w:r>
      <w:r w:rsidRPr="00FD5BEE">
        <w:rPr>
          <w:rFonts w:ascii="Simplified Arabic" w:hAnsi="Simplified Arabic" w:cs="Simplified Arabic"/>
          <w:sz w:val="28"/>
          <w:szCs w:val="28"/>
          <w:rtl/>
          <w:lang w:bidi="ar-EG"/>
        </w:rPr>
        <w:tab/>
        <w:t>الإيرادات:</w:t>
      </w:r>
    </w:p>
    <w:p w14:paraId="20253F7A" w14:textId="77777777" w:rsidR="002959BC" w:rsidRPr="00FD5BEE" w:rsidRDefault="002959BC" w:rsidP="002959BC">
      <w:pPr>
        <w:jc w:val="both"/>
        <w:rPr>
          <w:rFonts w:ascii="Simplified Arabic" w:hAnsi="Simplified Arabic" w:cs="Simplified Arabic"/>
          <w:sz w:val="28"/>
          <w:szCs w:val="28"/>
          <w:rtl/>
          <w:lang w:bidi="ar-EG"/>
        </w:rPr>
      </w:pPr>
    </w:p>
    <w:p w14:paraId="5000F44D" w14:textId="77777777" w:rsidR="002959BC" w:rsidRPr="00FD5BEE" w:rsidRDefault="002959BC" w:rsidP="002959BC">
      <w:pPr>
        <w:jc w:val="both"/>
        <w:rPr>
          <w:rFonts w:ascii="Simplified Arabic" w:hAnsi="Simplified Arabic" w:cs="Simplified Arabic"/>
          <w:sz w:val="28"/>
          <w:szCs w:val="28"/>
          <w:u w:val="single"/>
          <w:rtl/>
          <w:lang w:bidi="ar-EG"/>
        </w:rPr>
      </w:pPr>
    </w:p>
    <w:p w14:paraId="4FA904AA" w14:textId="77777777" w:rsidR="002959BC" w:rsidRPr="00FD5BEE" w:rsidRDefault="002959BC" w:rsidP="002959BC">
      <w:pPr>
        <w:jc w:val="both"/>
        <w:rPr>
          <w:rFonts w:ascii="Simplified Arabic" w:hAnsi="Simplified Arabic" w:cs="Simplified Arabic"/>
          <w:sz w:val="28"/>
          <w:szCs w:val="28"/>
          <w:u w:val="single"/>
          <w:rtl/>
          <w:lang w:bidi="ar-EG"/>
        </w:rPr>
      </w:pPr>
    </w:p>
    <w:p w14:paraId="2224CDAB" w14:textId="77777777" w:rsidR="002959BC" w:rsidRPr="00FD5BEE" w:rsidRDefault="002959BC" w:rsidP="002959BC">
      <w:pPr>
        <w:jc w:val="both"/>
        <w:rPr>
          <w:rFonts w:ascii="Simplified Arabic" w:hAnsi="Simplified Arabic" w:cs="Simplified Arabic"/>
          <w:sz w:val="28"/>
          <w:szCs w:val="28"/>
          <w:u w:val="single"/>
          <w:rtl/>
          <w:lang w:bidi="ar-EG"/>
        </w:rPr>
      </w:pPr>
    </w:p>
    <w:p w14:paraId="78F2DFC6" w14:textId="77777777" w:rsidR="002959BC" w:rsidRPr="00FD5BEE" w:rsidRDefault="002959BC" w:rsidP="002959BC">
      <w:pPr>
        <w:jc w:val="both"/>
        <w:rPr>
          <w:rFonts w:ascii="Simplified Arabic" w:hAnsi="Simplified Arabic" w:cs="Simplified Arabic"/>
          <w:sz w:val="28"/>
          <w:szCs w:val="28"/>
          <w:u w:val="single"/>
          <w:rtl/>
          <w:lang w:bidi="ar-EG"/>
        </w:rPr>
      </w:pPr>
    </w:p>
    <w:p w14:paraId="187FBA26" w14:textId="77777777" w:rsidR="002959BC" w:rsidRPr="00FD5BEE" w:rsidRDefault="002959BC" w:rsidP="002959BC">
      <w:pPr>
        <w:jc w:val="both"/>
        <w:rPr>
          <w:rFonts w:ascii="Simplified Arabic" w:hAnsi="Simplified Arabic" w:cs="Simplified Arabic"/>
          <w:sz w:val="28"/>
          <w:szCs w:val="28"/>
          <w:u w:val="single"/>
          <w:rtl/>
        </w:rPr>
      </w:pPr>
    </w:p>
    <w:p w14:paraId="77150A29" w14:textId="77777777" w:rsidR="002959BC" w:rsidRPr="00FD5BEE" w:rsidRDefault="002959BC" w:rsidP="002959BC">
      <w:pPr>
        <w:jc w:val="both"/>
        <w:rPr>
          <w:rFonts w:ascii="Simplified Arabic" w:hAnsi="Simplified Arabic" w:cs="Simplified Arabic"/>
          <w:sz w:val="28"/>
          <w:szCs w:val="28"/>
          <w:u w:val="single"/>
          <w:rtl/>
          <w:lang w:bidi="ar-EG"/>
        </w:rPr>
      </w:pPr>
    </w:p>
    <w:p w14:paraId="7D33B63C" w14:textId="77777777" w:rsidR="002959BC" w:rsidRPr="00FD5BEE" w:rsidRDefault="002959BC" w:rsidP="002959BC">
      <w:pPr>
        <w:jc w:val="both"/>
        <w:rPr>
          <w:rFonts w:ascii="Simplified Arabic" w:hAnsi="Simplified Arabic" w:cs="Simplified Arabic"/>
          <w:sz w:val="28"/>
          <w:szCs w:val="28"/>
          <w:u w:val="single"/>
          <w:rtl/>
        </w:rPr>
      </w:pPr>
    </w:p>
    <w:p w14:paraId="43E31901" w14:textId="77777777" w:rsidR="002959BC" w:rsidRPr="00FD5BEE" w:rsidRDefault="002959BC" w:rsidP="002959BC">
      <w:pPr>
        <w:jc w:val="both"/>
        <w:rPr>
          <w:rFonts w:ascii="Simplified Arabic" w:hAnsi="Simplified Arabic" w:cs="Simplified Arabic"/>
          <w:sz w:val="28"/>
          <w:szCs w:val="28"/>
          <w:u w:val="single"/>
          <w:rtl/>
        </w:rPr>
      </w:pPr>
    </w:p>
    <w:p w14:paraId="7A4302EB" w14:textId="77777777" w:rsidR="002959BC" w:rsidRPr="00FD5BEE" w:rsidRDefault="002959BC" w:rsidP="002959BC">
      <w:pPr>
        <w:jc w:val="both"/>
        <w:rPr>
          <w:rFonts w:ascii="Simplified Arabic" w:hAnsi="Simplified Arabic" w:cs="Simplified Arabic"/>
          <w:sz w:val="28"/>
          <w:szCs w:val="28"/>
          <w:u w:val="single"/>
          <w:rtl/>
        </w:rPr>
      </w:pPr>
    </w:p>
    <w:p w14:paraId="77D3DD1D" w14:textId="77777777" w:rsidR="002959BC" w:rsidRPr="00FD5BEE" w:rsidRDefault="002959BC" w:rsidP="002959BC">
      <w:pPr>
        <w:jc w:val="both"/>
        <w:rPr>
          <w:rFonts w:ascii="Simplified Arabic" w:hAnsi="Simplified Arabic" w:cs="Simplified Arabic"/>
          <w:sz w:val="28"/>
          <w:szCs w:val="28"/>
          <w:u w:val="single"/>
          <w:rtl/>
        </w:rPr>
      </w:pPr>
    </w:p>
    <w:p w14:paraId="15D6A988" w14:textId="77777777" w:rsidR="002959BC" w:rsidRPr="00FD5BEE" w:rsidRDefault="002959BC" w:rsidP="002959BC">
      <w:pPr>
        <w:jc w:val="both"/>
        <w:rPr>
          <w:rFonts w:ascii="Simplified Arabic" w:hAnsi="Simplified Arabic" w:cs="Simplified Arabic"/>
          <w:sz w:val="28"/>
          <w:szCs w:val="28"/>
          <w:u w:val="single"/>
          <w:rtl/>
        </w:rPr>
      </w:pPr>
    </w:p>
    <w:p w14:paraId="673293F4" w14:textId="77777777" w:rsidR="002959BC" w:rsidRPr="00FD5BEE" w:rsidRDefault="002959BC" w:rsidP="002959BC">
      <w:pPr>
        <w:jc w:val="both"/>
        <w:rPr>
          <w:rFonts w:ascii="Simplified Arabic" w:hAnsi="Simplified Arabic" w:cs="Simplified Arabic"/>
          <w:sz w:val="28"/>
          <w:szCs w:val="28"/>
          <w:u w:val="single"/>
          <w:rtl/>
        </w:rPr>
      </w:pPr>
    </w:p>
    <w:p w14:paraId="1A62F7C5" w14:textId="77777777" w:rsidR="002959BC" w:rsidRPr="00FD5BEE" w:rsidRDefault="002959BC" w:rsidP="002959BC">
      <w:pPr>
        <w:jc w:val="both"/>
        <w:rPr>
          <w:rFonts w:ascii="Simplified Arabic" w:hAnsi="Simplified Arabic" w:cs="Simplified Arabic"/>
          <w:sz w:val="28"/>
          <w:szCs w:val="28"/>
          <w:u w:val="single"/>
          <w:rtl/>
        </w:rPr>
      </w:pPr>
    </w:p>
    <w:p w14:paraId="61C80B45" w14:textId="77777777" w:rsidR="002959BC" w:rsidRPr="00FD5BEE" w:rsidRDefault="002959BC" w:rsidP="002959BC">
      <w:pPr>
        <w:jc w:val="both"/>
        <w:rPr>
          <w:rFonts w:ascii="Simplified Arabic" w:hAnsi="Simplified Arabic" w:cs="Simplified Arabic"/>
          <w:sz w:val="28"/>
          <w:szCs w:val="28"/>
          <w:u w:val="single"/>
          <w:rtl/>
        </w:rPr>
      </w:pPr>
    </w:p>
    <w:p w14:paraId="52653393" w14:textId="77777777" w:rsidR="002959BC" w:rsidRPr="00FD5BEE" w:rsidRDefault="002959BC" w:rsidP="002959BC">
      <w:pPr>
        <w:jc w:val="both"/>
        <w:rPr>
          <w:rFonts w:ascii="Simplified Arabic" w:hAnsi="Simplified Arabic" w:cs="Simplified Arabic"/>
          <w:sz w:val="28"/>
          <w:szCs w:val="28"/>
          <w:u w:val="single"/>
          <w:rtl/>
        </w:rPr>
      </w:pPr>
    </w:p>
    <w:p w14:paraId="0F78829F" w14:textId="77777777" w:rsidR="002959BC" w:rsidRPr="00FD5BEE" w:rsidRDefault="002959BC" w:rsidP="002959BC">
      <w:pPr>
        <w:jc w:val="both"/>
        <w:rPr>
          <w:rFonts w:ascii="Simplified Arabic" w:hAnsi="Simplified Arabic" w:cs="Simplified Arabic"/>
          <w:sz w:val="28"/>
          <w:szCs w:val="28"/>
          <w:u w:val="single"/>
          <w:rtl/>
          <w:lang w:bidi="ar-EG"/>
        </w:rPr>
      </w:pPr>
    </w:p>
    <w:p w14:paraId="1D37B6AD" w14:textId="77777777" w:rsidR="002959BC" w:rsidRPr="00FD5BEE" w:rsidRDefault="002959BC" w:rsidP="002959BC">
      <w:pPr>
        <w:jc w:val="both"/>
        <w:rPr>
          <w:rFonts w:ascii="Simplified Arabic" w:hAnsi="Simplified Arabic" w:cs="Simplified Arabic"/>
          <w:sz w:val="28"/>
          <w:szCs w:val="28"/>
          <w:u w:val="single"/>
          <w:rtl/>
        </w:rPr>
      </w:pPr>
    </w:p>
    <w:p w14:paraId="7D67C510" w14:textId="77777777" w:rsidR="002959BC" w:rsidRPr="00FD5BEE" w:rsidRDefault="002959BC" w:rsidP="002959BC">
      <w:pPr>
        <w:jc w:val="both"/>
        <w:rPr>
          <w:rFonts w:ascii="Simplified Arabic" w:hAnsi="Simplified Arabic" w:cs="Simplified Arabic"/>
          <w:sz w:val="28"/>
          <w:szCs w:val="28"/>
          <w:u w:val="single"/>
          <w:rtl/>
        </w:rPr>
      </w:pPr>
    </w:p>
    <w:p w14:paraId="10FFFC30" w14:textId="77777777" w:rsidR="002959BC" w:rsidRPr="00FD5BEE" w:rsidRDefault="002959BC" w:rsidP="002959BC">
      <w:pPr>
        <w:jc w:val="both"/>
        <w:rPr>
          <w:rFonts w:ascii="Simplified Arabic" w:hAnsi="Simplified Arabic" w:cs="Simplified Arabic"/>
          <w:sz w:val="28"/>
          <w:szCs w:val="28"/>
          <w:u w:val="single"/>
          <w:rtl/>
        </w:rPr>
      </w:pPr>
    </w:p>
    <w:p w14:paraId="477A7D34" w14:textId="77777777" w:rsidR="002959BC" w:rsidRPr="00FD5BEE" w:rsidRDefault="002959BC" w:rsidP="002959BC">
      <w:pPr>
        <w:jc w:val="both"/>
        <w:rPr>
          <w:rFonts w:ascii="Simplified Arabic" w:hAnsi="Simplified Arabic" w:cs="Simplified Arabic"/>
          <w:sz w:val="28"/>
          <w:szCs w:val="28"/>
          <w:u w:val="single"/>
          <w:rtl/>
          <w:lang w:bidi="ar-EG"/>
        </w:rPr>
      </w:pPr>
    </w:p>
    <w:p w14:paraId="4121FD78" w14:textId="77777777" w:rsidR="002959BC" w:rsidRPr="00FD5BEE" w:rsidRDefault="002959BC" w:rsidP="002959BC">
      <w:pPr>
        <w:jc w:val="both"/>
        <w:rPr>
          <w:rFonts w:ascii="Simplified Arabic" w:hAnsi="Simplified Arabic" w:cs="Simplified Arabic"/>
          <w:sz w:val="28"/>
          <w:szCs w:val="28"/>
          <w:u w:val="single"/>
          <w:rtl/>
        </w:rPr>
      </w:pPr>
    </w:p>
    <w:p w14:paraId="5005CCAB" w14:textId="77777777" w:rsidR="002959BC" w:rsidRPr="00FD5BEE" w:rsidRDefault="002959BC" w:rsidP="002959BC">
      <w:pPr>
        <w:jc w:val="both"/>
        <w:rPr>
          <w:rFonts w:ascii="Simplified Arabic" w:hAnsi="Simplified Arabic" w:cs="Simplified Arabic"/>
          <w:sz w:val="28"/>
          <w:szCs w:val="28"/>
          <w:u w:val="single"/>
          <w:rtl/>
        </w:rPr>
      </w:pPr>
    </w:p>
    <w:p w14:paraId="0989A16E" w14:textId="77777777" w:rsidR="002959BC" w:rsidRPr="00FD5BEE" w:rsidRDefault="002959BC" w:rsidP="002959BC">
      <w:pPr>
        <w:jc w:val="both"/>
        <w:rPr>
          <w:rFonts w:ascii="Simplified Arabic" w:hAnsi="Simplified Arabic" w:cs="Simplified Arabic"/>
          <w:sz w:val="28"/>
          <w:szCs w:val="28"/>
          <w:u w:val="single"/>
          <w:rtl/>
        </w:rPr>
      </w:pPr>
    </w:p>
    <w:p w14:paraId="00029C42" w14:textId="26D95924" w:rsidR="002959BC" w:rsidRDefault="002959BC" w:rsidP="002959BC">
      <w:pPr>
        <w:pStyle w:val="ListParagraph"/>
        <w:spacing w:after="0" w:line="240" w:lineRule="auto"/>
        <w:ind w:left="311"/>
        <w:contextualSpacing w:val="0"/>
        <w:jc w:val="both"/>
        <w:rPr>
          <w:rFonts w:ascii="Simplified Arabic" w:hAnsi="Simplified Arabic" w:cs="Simplified Arabic"/>
          <w:b/>
          <w:bCs/>
          <w:sz w:val="30"/>
          <w:szCs w:val="30"/>
          <w:rtl/>
          <w:lang w:bidi="ar-EG"/>
        </w:rPr>
      </w:pPr>
    </w:p>
    <w:p w14:paraId="7B3D7D83" w14:textId="0104F6B7" w:rsidR="00270E6A" w:rsidRDefault="00270E6A" w:rsidP="002959BC">
      <w:pPr>
        <w:pStyle w:val="ListParagraph"/>
        <w:spacing w:after="0" w:line="240" w:lineRule="auto"/>
        <w:ind w:left="311"/>
        <w:contextualSpacing w:val="0"/>
        <w:jc w:val="both"/>
        <w:rPr>
          <w:rFonts w:ascii="Simplified Arabic" w:hAnsi="Simplified Arabic" w:cs="Simplified Arabic"/>
          <w:b/>
          <w:bCs/>
          <w:sz w:val="30"/>
          <w:szCs w:val="30"/>
          <w:rtl/>
          <w:lang w:bidi="ar-EG"/>
        </w:rPr>
      </w:pPr>
    </w:p>
    <w:p w14:paraId="36798227" w14:textId="6E82EA6F" w:rsidR="00270E6A" w:rsidRDefault="00270E6A" w:rsidP="002959BC">
      <w:pPr>
        <w:pStyle w:val="ListParagraph"/>
        <w:spacing w:after="0" w:line="240" w:lineRule="auto"/>
        <w:ind w:left="311"/>
        <w:contextualSpacing w:val="0"/>
        <w:jc w:val="both"/>
        <w:rPr>
          <w:rFonts w:ascii="Simplified Arabic" w:hAnsi="Simplified Arabic" w:cs="Simplified Arabic"/>
          <w:b/>
          <w:bCs/>
          <w:sz w:val="30"/>
          <w:szCs w:val="30"/>
          <w:rtl/>
          <w:lang w:bidi="ar-EG"/>
        </w:rPr>
      </w:pPr>
    </w:p>
    <w:p w14:paraId="2F688894" w14:textId="77777777" w:rsidR="00270E6A" w:rsidRDefault="00270E6A" w:rsidP="002959BC">
      <w:pPr>
        <w:pStyle w:val="ListParagraph"/>
        <w:spacing w:after="0" w:line="240" w:lineRule="auto"/>
        <w:ind w:left="311"/>
        <w:contextualSpacing w:val="0"/>
        <w:jc w:val="both"/>
        <w:rPr>
          <w:rFonts w:ascii="Simplified Arabic" w:hAnsi="Simplified Arabic" w:cs="Simplified Arabic"/>
          <w:b/>
          <w:bCs/>
          <w:sz w:val="30"/>
          <w:szCs w:val="30"/>
          <w:lang w:bidi="ar-EG"/>
        </w:rPr>
      </w:pPr>
    </w:p>
    <w:p w14:paraId="7F31324A" w14:textId="77777777" w:rsidR="002959BC" w:rsidRPr="00FD5BEE" w:rsidRDefault="002959BC" w:rsidP="0041332D">
      <w:pPr>
        <w:pStyle w:val="ListParagraph"/>
        <w:numPr>
          <w:ilvl w:val="0"/>
          <w:numId w:val="2"/>
        </w:numPr>
        <w:spacing w:after="0" w:line="240" w:lineRule="auto"/>
        <w:ind w:left="311"/>
        <w:contextualSpacing w:val="0"/>
        <w:jc w:val="both"/>
        <w:rPr>
          <w:rFonts w:ascii="Simplified Arabic" w:hAnsi="Simplified Arabic" w:cs="Simplified Arabic"/>
          <w:b/>
          <w:bCs/>
          <w:sz w:val="30"/>
          <w:szCs w:val="30"/>
          <w:lang w:bidi="ar-EG"/>
        </w:rPr>
      </w:pPr>
      <w:r w:rsidRPr="00FD5BEE">
        <w:rPr>
          <w:rFonts w:ascii="Simplified Arabic" w:hAnsi="Simplified Arabic" w:cs="Simplified Arabic"/>
          <w:b/>
          <w:bCs/>
          <w:sz w:val="30"/>
          <w:szCs w:val="30"/>
          <w:rtl/>
          <w:lang w:bidi="ar-EG"/>
        </w:rPr>
        <w:t>أسباب عجز الموازنة العامة للدولة:</w:t>
      </w:r>
    </w:p>
    <w:p w14:paraId="1D63486F" w14:textId="77777777" w:rsidR="002959BC" w:rsidRPr="00FD5BEE" w:rsidRDefault="002959BC" w:rsidP="002959BC">
      <w:pPr>
        <w:spacing w:line="216" w:lineRule="auto"/>
        <w:ind w:firstLine="453"/>
        <w:jc w:val="both"/>
        <w:rPr>
          <w:rFonts w:ascii="Simplified Arabic" w:hAnsi="Simplified Arabic" w:cs="Simplified Arabic"/>
          <w:sz w:val="28"/>
          <w:szCs w:val="28"/>
          <w:rtl/>
          <w:lang w:bidi="ar-EG"/>
        </w:rPr>
      </w:pPr>
      <w:r w:rsidRPr="00FD5BEE">
        <w:rPr>
          <w:rFonts w:ascii="Simplified Arabic" w:hAnsi="Simplified Arabic" w:cs="Simplified Arabic"/>
          <w:sz w:val="28"/>
          <w:szCs w:val="28"/>
          <w:rtl/>
          <w:lang w:bidi="ar-EG"/>
        </w:rPr>
        <w:t xml:space="preserve">تختلف أسباب عجز الموازنة العامة من دولة إلى أخرى حسب درجة التقدم الاقتصادي والظروف الاقتصادية التي تمر بها كل دولة ففي معظم الدول المتقدمة اقتصادياً نجد أن عجز الموازنة هو عجز دوري يرتبط بالدورة الاقتصادية فيحدث عجز في الموازنة العامة للدولة في حالة الركود الاقتصادي لمواجهة آثار هذا الركود ففي الوقت الذي تقل فيه الإيرادات الضريبية يتم زيادة التحويلات الاجتماعية لمواجهة آثار البطالة والركود، وعلى الجانب المقابل في حالة الازدهار الاقتصادي يحدث فائض بالموازنة العامة للدولة مما يمكن من إعادة الاتزان المالي مرة أخرى ويحدث هذا الفائض نتيجة لزيادة الإيرادات الضريبية وانخفاض التحويلات الاجتماعية. </w:t>
      </w:r>
    </w:p>
    <w:p w14:paraId="04DE7BDB" w14:textId="77777777" w:rsidR="002959BC" w:rsidRPr="00440541" w:rsidRDefault="002959BC" w:rsidP="002959BC">
      <w:pPr>
        <w:spacing w:line="216" w:lineRule="auto"/>
        <w:ind w:firstLine="709"/>
        <w:jc w:val="both"/>
        <w:rPr>
          <w:rFonts w:ascii="Simplified Arabic" w:hAnsi="Simplified Arabic" w:cs="Simplified Arabic"/>
          <w:sz w:val="14"/>
          <w:szCs w:val="14"/>
          <w:rtl/>
          <w:lang w:bidi="ar-EG"/>
        </w:rPr>
      </w:pPr>
    </w:p>
    <w:p w14:paraId="66423681" w14:textId="77777777" w:rsidR="002959BC" w:rsidRPr="00FD5BEE" w:rsidRDefault="002959BC" w:rsidP="002959BC">
      <w:pPr>
        <w:spacing w:line="216" w:lineRule="auto"/>
        <w:ind w:firstLine="453"/>
        <w:jc w:val="both"/>
        <w:rPr>
          <w:rFonts w:ascii="Simplified Arabic" w:hAnsi="Simplified Arabic" w:cs="Simplified Arabic"/>
          <w:sz w:val="28"/>
          <w:szCs w:val="28"/>
          <w:lang w:bidi="ar-EG"/>
        </w:rPr>
      </w:pPr>
      <w:r w:rsidRPr="00FD5BEE">
        <w:rPr>
          <w:rFonts w:ascii="Simplified Arabic" w:hAnsi="Simplified Arabic" w:cs="Simplified Arabic"/>
          <w:sz w:val="28"/>
          <w:szCs w:val="28"/>
          <w:rtl/>
          <w:lang w:bidi="ar-EG"/>
        </w:rPr>
        <w:t>وتعمل سياسة المالية العامة في اتجاه مضاد لاتجاه الدورة الاقتصادية، بحيث يتم انتهاج سياسة مالية توسعية أثناء الركود الاقتصادي بينما يتم انتهاج سياسة مالية انكماشية أثناء حالة الازدهار الاقتصادي وذلك لموازنة الوضع الاقتصادي وللحفاظ على الطاقات الاقتصادية من التعطل أو الإجهاد.</w:t>
      </w:r>
    </w:p>
    <w:p w14:paraId="1531EAAD" w14:textId="77777777" w:rsidR="002959BC" w:rsidRPr="00440541" w:rsidRDefault="002959BC" w:rsidP="002959BC">
      <w:pPr>
        <w:spacing w:line="216" w:lineRule="auto"/>
        <w:ind w:left="1020"/>
        <w:jc w:val="both"/>
        <w:rPr>
          <w:rFonts w:ascii="Simplified Arabic" w:hAnsi="Simplified Arabic" w:cs="Simplified Arabic"/>
          <w:sz w:val="14"/>
          <w:szCs w:val="14"/>
          <w:rtl/>
          <w:lang w:bidi="ar-EG"/>
        </w:rPr>
      </w:pPr>
    </w:p>
    <w:p w14:paraId="3704B355" w14:textId="77777777" w:rsidR="002959BC" w:rsidRPr="00FD5BEE" w:rsidRDefault="002959BC" w:rsidP="002959BC">
      <w:pPr>
        <w:spacing w:line="216" w:lineRule="auto"/>
        <w:ind w:firstLine="453"/>
        <w:jc w:val="both"/>
        <w:rPr>
          <w:rFonts w:ascii="Simplified Arabic" w:hAnsi="Simplified Arabic" w:cs="Simplified Arabic"/>
          <w:sz w:val="28"/>
          <w:szCs w:val="28"/>
          <w:rtl/>
          <w:lang w:bidi="ar-EG"/>
        </w:rPr>
      </w:pPr>
      <w:r w:rsidRPr="00FD5BEE">
        <w:rPr>
          <w:rFonts w:ascii="Simplified Arabic" w:hAnsi="Simplified Arabic" w:cs="Simplified Arabic"/>
          <w:sz w:val="28"/>
          <w:szCs w:val="28"/>
          <w:rtl/>
          <w:lang w:bidi="ar-EG"/>
        </w:rPr>
        <w:t>أما في كثير من الدول النامية فإن عجز الموازنة العامة هو عجز هيكلي وغير مرتبط بالدورة الاقتصادية ويحدث هذا العجز عادة نتيجة تدخل الدولة في النشاط الاقتصادي لدفع معدلات النمو الاقتصادي والتشغيل والاستثمار كما تلعب التحويلات الاجتماعية وخاصة الدعم المعمم دوراً كبيراً في إحداث هذا العجز، بالإضافة إلى ما تمثله مدفوعات خدمة الدين العام (الفوائد والأقساط) من عبء يثقل كاهل الموازنة العامة للدولة.</w:t>
      </w:r>
    </w:p>
    <w:p w14:paraId="4A609E78" w14:textId="77777777" w:rsidR="002959BC" w:rsidRPr="00440541" w:rsidRDefault="002959BC" w:rsidP="002959BC">
      <w:pPr>
        <w:spacing w:line="216" w:lineRule="auto"/>
        <w:ind w:firstLine="709"/>
        <w:jc w:val="both"/>
        <w:rPr>
          <w:rFonts w:ascii="Simplified Arabic" w:hAnsi="Simplified Arabic" w:cs="Simplified Arabic"/>
          <w:sz w:val="14"/>
          <w:szCs w:val="14"/>
          <w:rtl/>
          <w:lang w:bidi="ar-EG"/>
        </w:rPr>
      </w:pPr>
    </w:p>
    <w:p w14:paraId="77AC2C38" w14:textId="77777777" w:rsidR="002959BC" w:rsidRPr="00FD5BEE" w:rsidRDefault="002959BC" w:rsidP="002959BC">
      <w:pPr>
        <w:spacing w:line="216" w:lineRule="auto"/>
        <w:jc w:val="both"/>
        <w:rPr>
          <w:rFonts w:ascii="Simplified Arabic" w:hAnsi="Simplified Arabic" w:cs="Simplified Arabic"/>
          <w:sz w:val="28"/>
          <w:szCs w:val="28"/>
          <w:u w:val="single"/>
          <w:rtl/>
          <w:lang w:bidi="ar-EG"/>
        </w:rPr>
      </w:pPr>
      <w:r w:rsidRPr="00FD5BEE">
        <w:rPr>
          <w:rFonts w:ascii="Simplified Arabic" w:hAnsi="Simplified Arabic" w:cs="Simplified Arabic"/>
          <w:sz w:val="28"/>
          <w:szCs w:val="28"/>
          <w:u w:val="single"/>
          <w:rtl/>
          <w:lang w:bidi="ar-EG"/>
        </w:rPr>
        <w:t>ويمكن تلخيص أهم أسباب عجز الموازنة العامة في مصر في الآتي:</w:t>
      </w:r>
    </w:p>
    <w:p w14:paraId="23295D40" w14:textId="77777777" w:rsidR="002959BC" w:rsidRPr="00FD5BEE" w:rsidRDefault="002959BC" w:rsidP="002959BC">
      <w:pPr>
        <w:pStyle w:val="ListParagraph"/>
        <w:spacing w:after="0" w:line="216" w:lineRule="auto"/>
        <w:ind w:left="170"/>
        <w:contextualSpacing w:val="0"/>
        <w:jc w:val="both"/>
        <w:rPr>
          <w:rFonts w:ascii="Simplified Arabic" w:hAnsi="Simplified Arabic" w:cs="Simplified Arabic"/>
          <w:sz w:val="28"/>
          <w:szCs w:val="28"/>
          <w:u w:val="single"/>
          <w:rtl/>
          <w:lang w:bidi="ar-EG"/>
        </w:rPr>
      </w:pPr>
      <w:r w:rsidRPr="00FD5BEE">
        <w:rPr>
          <w:rFonts w:ascii="Simplified Arabic" w:hAnsi="Simplified Arabic" w:cs="Simplified Arabic"/>
          <w:sz w:val="28"/>
          <w:szCs w:val="28"/>
          <w:u w:val="single"/>
          <w:rtl/>
          <w:lang w:bidi="ar-EG"/>
        </w:rPr>
        <w:t>في جانب النفقات:</w:t>
      </w:r>
    </w:p>
    <w:p w14:paraId="04EB324D" w14:textId="77777777" w:rsidR="002959BC" w:rsidRPr="00FD5BEE" w:rsidRDefault="002959BC" w:rsidP="0041332D">
      <w:pPr>
        <w:pStyle w:val="ListParagraph"/>
        <w:numPr>
          <w:ilvl w:val="0"/>
          <w:numId w:val="20"/>
        </w:numPr>
        <w:spacing w:after="0" w:line="216" w:lineRule="auto"/>
        <w:ind w:left="879" w:hanging="425"/>
        <w:contextualSpacing w:val="0"/>
        <w:jc w:val="both"/>
        <w:rPr>
          <w:rFonts w:ascii="Simplified Arabic" w:hAnsi="Simplified Arabic" w:cs="Simplified Arabic"/>
          <w:sz w:val="28"/>
          <w:szCs w:val="28"/>
          <w:lang w:bidi="ar-EG"/>
        </w:rPr>
      </w:pPr>
      <w:r w:rsidRPr="00FD5BEE">
        <w:rPr>
          <w:rFonts w:ascii="Simplified Arabic" w:hAnsi="Simplified Arabic" w:cs="Simplified Arabic"/>
          <w:sz w:val="28"/>
          <w:szCs w:val="28"/>
          <w:rtl/>
          <w:lang w:bidi="ar-EG"/>
        </w:rPr>
        <w:t>زيادة الطلب على الخدمات العامة مع زيادة نصيب الفرد من الدخل حسب قانون فاجنر</w:t>
      </w:r>
      <w:r w:rsidRPr="00FD5BEE">
        <w:rPr>
          <w:rFonts w:ascii="Simplified Arabic" w:hAnsi="Simplified Arabic" w:cs="Simplified Arabic"/>
          <w:sz w:val="28"/>
          <w:szCs w:val="28"/>
          <w:vertAlign w:val="superscript"/>
          <w:rtl/>
          <w:lang w:bidi="ar-EG"/>
        </w:rPr>
        <w:t>(</w:t>
      </w:r>
      <w:r w:rsidRPr="00FD5BEE">
        <w:rPr>
          <w:rFonts w:ascii="Simplified Arabic" w:hAnsi="Simplified Arabic" w:cs="Simplified Arabic"/>
          <w:sz w:val="28"/>
          <w:szCs w:val="28"/>
          <w:vertAlign w:val="superscript"/>
          <w:rtl/>
          <w:lang w:bidi="ar-EG"/>
        </w:rPr>
        <w:footnoteReference w:id="53"/>
      </w:r>
      <w:r w:rsidRPr="00FD5BEE">
        <w:rPr>
          <w:rFonts w:ascii="Simplified Arabic" w:hAnsi="Simplified Arabic" w:cs="Simplified Arabic"/>
          <w:sz w:val="28"/>
          <w:szCs w:val="28"/>
          <w:vertAlign w:val="superscript"/>
          <w:rtl/>
          <w:lang w:bidi="ar-EG"/>
        </w:rPr>
        <w:t>)</w:t>
      </w:r>
      <w:r w:rsidRPr="00FD5BEE">
        <w:rPr>
          <w:rFonts w:ascii="Simplified Arabic" w:hAnsi="Simplified Arabic" w:cs="Simplified Arabic"/>
          <w:sz w:val="28"/>
          <w:szCs w:val="28"/>
          <w:rtl/>
          <w:lang w:bidi="ar-EG"/>
        </w:rPr>
        <w:t xml:space="preserve">.، وهو ما ينطبق على مصر حيث ارتفع نصيب الفرد من إجمالي الدخل القومي (بالأسعار الثابتة للعملة المحلية) من 19788 جنيه عام 1991 إلى 37030 جنيه عام 2019 </w:t>
      </w:r>
      <w:r w:rsidRPr="00FD5BEE">
        <w:rPr>
          <w:rFonts w:ascii="Simplified Arabic" w:hAnsi="Simplified Arabic" w:cs="Simplified Arabic"/>
          <w:sz w:val="28"/>
          <w:szCs w:val="28"/>
          <w:vertAlign w:val="superscript"/>
          <w:rtl/>
          <w:lang w:bidi="ar-EG"/>
        </w:rPr>
        <w:t>(</w:t>
      </w:r>
      <w:r w:rsidRPr="00FD5BEE">
        <w:rPr>
          <w:rFonts w:ascii="Simplified Arabic" w:hAnsi="Simplified Arabic" w:cs="Simplified Arabic"/>
          <w:sz w:val="28"/>
          <w:szCs w:val="28"/>
          <w:vertAlign w:val="superscript"/>
          <w:rtl/>
          <w:lang w:bidi="ar-EG"/>
        </w:rPr>
        <w:footnoteReference w:id="54"/>
      </w:r>
      <w:r w:rsidRPr="00FD5BEE">
        <w:rPr>
          <w:rFonts w:ascii="Simplified Arabic" w:hAnsi="Simplified Arabic" w:cs="Simplified Arabic"/>
          <w:sz w:val="28"/>
          <w:szCs w:val="28"/>
          <w:vertAlign w:val="superscript"/>
          <w:rtl/>
          <w:lang w:bidi="ar-EG"/>
        </w:rPr>
        <w:t xml:space="preserve">) </w:t>
      </w:r>
      <w:r w:rsidRPr="00FD5BEE">
        <w:rPr>
          <w:rFonts w:ascii="Simplified Arabic" w:hAnsi="Simplified Arabic" w:cs="Simplified Arabic"/>
          <w:sz w:val="28"/>
          <w:szCs w:val="28"/>
          <w:rtl/>
          <w:lang w:bidi="ar-EG"/>
        </w:rPr>
        <w:t>وهو ما يفسر بعضاً من أسباب زيادة النفقات العامة في مصر.</w:t>
      </w:r>
    </w:p>
    <w:p w14:paraId="4DF5637A" w14:textId="77777777" w:rsidR="002959BC" w:rsidRPr="00FD5BEE" w:rsidRDefault="002959BC" w:rsidP="0041332D">
      <w:pPr>
        <w:pStyle w:val="ListParagraph"/>
        <w:numPr>
          <w:ilvl w:val="0"/>
          <w:numId w:val="20"/>
        </w:numPr>
        <w:spacing w:after="0" w:line="240" w:lineRule="auto"/>
        <w:ind w:left="879" w:hanging="425"/>
        <w:contextualSpacing w:val="0"/>
        <w:jc w:val="both"/>
        <w:rPr>
          <w:rFonts w:ascii="Simplified Arabic" w:hAnsi="Simplified Arabic" w:cs="Simplified Arabic"/>
          <w:sz w:val="28"/>
          <w:szCs w:val="28"/>
          <w:lang w:bidi="ar-EG"/>
        </w:rPr>
      </w:pPr>
      <w:r w:rsidRPr="00FD5BEE">
        <w:rPr>
          <w:rFonts w:ascii="Simplified Arabic" w:hAnsi="Simplified Arabic" w:cs="Simplified Arabic"/>
          <w:sz w:val="28"/>
          <w:szCs w:val="28"/>
          <w:rtl/>
          <w:lang w:bidi="ar-EG"/>
        </w:rPr>
        <w:lastRenderedPageBreak/>
        <w:t>مرض التكلفة حسب نظرية بومول (</w:t>
      </w:r>
      <w:r w:rsidRPr="00FD5BEE">
        <w:rPr>
          <w:rFonts w:ascii="Simplified Arabic" w:hAnsi="Simplified Arabic" w:cs="Simplified Arabic"/>
          <w:sz w:val="28"/>
          <w:szCs w:val="28"/>
          <w:lang w:bidi="ar-EG"/>
        </w:rPr>
        <w:t>Baumol’s Cost Disease</w:t>
      </w:r>
      <w:r w:rsidRPr="00FD5BEE">
        <w:rPr>
          <w:rFonts w:ascii="Simplified Arabic" w:hAnsi="Simplified Arabic" w:cs="Simplified Arabic"/>
          <w:sz w:val="28"/>
          <w:szCs w:val="28"/>
          <w:rtl/>
          <w:lang w:bidi="ar-EG"/>
        </w:rPr>
        <w:t xml:space="preserve">) حيث يميل سعر الخدمات العامة إلى الارتفاع بشكل أسرع من ارتفاع سعر السلع والخدمات في القطاع الخاص، وهو ما يؤدي بالتالي إلى "زيادة حصة الحكومة في الاقتصاد". </w:t>
      </w:r>
      <w:r w:rsidRPr="00FD5BEE">
        <w:rPr>
          <w:rFonts w:ascii="Simplified Arabic" w:hAnsi="Simplified Arabic" w:cs="Simplified Arabic"/>
          <w:sz w:val="28"/>
          <w:szCs w:val="28"/>
          <w:vertAlign w:val="superscript"/>
          <w:rtl/>
          <w:lang w:bidi="ar-EG"/>
        </w:rPr>
        <w:t>(</w:t>
      </w:r>
      <w:r w:rsidRPr="00FD5BEE">
        <w:rPr>
          <w:rFonts w:ascii="Simplified Arabic" w:hAnsi="Simplified Arabic" w:cs="Simplified Arabic"/>
          <w:sz w:val="28"/>
          <w:szCs w:val="28"/>
          <w:vertAlign w:val="superscript"/>
          <w:rtl/>
          <w:lang w:bidi="ar-EG"/>
        </w:rPr>
        <w:footnoteReference w:id="55"/>
      </w:r>
      <w:r w:rsidRPr="00FD5BEE">
        <w:rPr>
          <w:rFonts w:ascii="Simplified Arabic" w:hAnsi="Simplified Arabic" w:cs="Simplified Arabic"/>
          <w:sz w:val="28"/>
          <w:szCs w:val="28"/>
          <w:vertAlign w:val="superscript"/>
          <w:rtl/>
          <w:lang w:bidi="ar-EG"/>
        </w:rPr>
        <w:t>)</w:t>
      </w:r>
    </w:p>
    <w:p w14:paraId="59F61F4D" w14:textId="77777777" w:rsidR="002959BC" w:rsidRDefault="002959BC" w:rsidP="002959BC">
      <w:pPr>
        <w:pStyle w:val="ListParagraph"/>
        <w:spacing w:after="0" w:line="240" w:lineRule="auto"/>
        <w:ind w:left="879"/>
        <w:contextualSpacing w:val="0"/>
        <w:jc w:val="both"/>
        <w:rPr>
          <w:rFonts w:ascii="Simplified Arabic" w:hAnsi="Simplified Arabic" w:cs="Simplified Arabic"/>
          <w:sz w:val="28"/>
          <w:szCs w:val="28"/>
          <w:lang w:bidi="ar-EG"/>
        </w:rPr>
      </w:pPr>
    </w:p>
    <w:p w14:paraId="521BC0F6" w14:textId="77777777" w:rsidR="002959BC" w:rsidRDefault="002959BC" w:rsidP="0041332D">
      <w:pPr>
        <w:pStyle w:val="ListParagraph"/>
        <w:numPr>
          <w:ilvl w:val="0"/>
          <w:numId w:val="20"/>
        </w:numPr>
        <w:spacing w:after="0" w:line="240" w:lineRule="auto"/>
        <w:ind w:left="879" w:hanging="425"/>
        <w:contextualSpacing w:val="0"/>
        <w:jc w:val="both"/>
        <w:rPr>
          <w:rFonts w:ascii="Simplified Arabic" w:hAnsi="Simplified Arabic" w:cs="Simplified Arabic"/>
          <w:sz w:val="28"/>
          <w:szCs w:val="28"/>
          <w:lang w:bidi="ar-EG"/>
        </w:rPr>
      </w:pPr>
      <w:r w:rsidRPr="00885209">
        <w:rPr>
          <w:rFonts w:ascii="Simplified Arabic" w:hAnsi="Simplified Arabic" w:cs="Simplified Arabic"/>
          <w:sz w:val="28"/>
          <w:szCs w:val="28"/>
          <w:rtl/>
          <w:lang w:bidi="ar-EG"/>
        </w:rPr>
        <w:t xml:space="preserve">الزيادة الكبيرة في الدعم المعمم والذي غالباً لا يصل إلى مستحقيه بالشكل المناسب كما أن مشكلة الدعم تكمن في أن الفئات الأعلى دخلاً تستفيد منه بشكل أكبر من الفئات الأقل دخلاً (مثال على ذلك دعم الوقود فالفئات القادرة على اقتناء سيارة أو أكثر تستفيد أكثر من غيرها من مثل هذا الدعم). </w:t>
      </w:r>
      <w:r w:rsidRPr="00885209">
        <w:rPr>
          <w:rFonts w:ascii="Simplified Arabic" w:hAnsi="Simplified Arabic" w:cs="Simplified Arabic" w:hint="cs"/>
          <w:sz w:val="28"/>
          <w:szCs w:val="28"/>
          <w:rtl/>
          <w:lang w:bidi="ar-EG"/>
        </w:rPr>
        <w:t xml:space="preserve"> </w:t>
      </w:r>
    </w:p>
    <w:p w14:paraId="0DC67E1A" w14:textId="77777777" w:rsidR="002959BC" w:rsidRPr="00883B9A" w:rsidRDefault="002959BC" w:rsidP="002959BC">
      <w:pPr>
        <w:pStyle w:val="ListParagraph"/>
        <w:spacing w:after="0" w:line="240" w:lineRule="auto"/>
        <w:ind w:left="879"/>
        <w:contextualSpacing w:val="0"/>
        <w:jc w:val="both"/>
        <w:rPr>
          <w:rFonts w:ascii="Simplified Arabic" w:hAnsi="Simplified Arabic" w:cs="Simplified Arabic"/>
          <w:sz w:val="28"/>
          <w:szCs w:val="28"/>
          <w:u w:val="single"/>
          <w:lang w:bidi="ar-EG"/>
        </w:rPr>
      </w:pPr>
    </w:p>
    <w:p w14:paraId="12E07208" w14:textId="77777777" w:rsidR="002959BC" w:rsidRPr="00885209" w:rsidRDefault="002959BC" w:rsidP="0041332D">
      <w:pPr>
        <w:pStyle w:val="ListParagraph"/>
        <w:numPr>
          <w:ilvl w:val="0"/>
          <w:numId w:val="20"/>
        </w:numPr>
        <w:spacing w:after="0" w:line="240" w:lineRule="auto"/>
        <w:ind w:left="879" w:hanging="425"/>
        <w:contextualSpacing w:val="0"/>
        <w:jc w:val="both"/>
        <w:rPr>
          <w:rFonts w:ascii="Simplified Arabic" w:hAnsi="Simplified Arabic" w:cs="Simplified Arabic"/>
          <w:sz w:val="28"/>
          <w:szCs w:val="28"/>
          <w:u w:val="single"/>
          <w:lang w:bidi="ar-EG"/>
        </w:rPr>
      </w:pPr>
      <w:r w:rsidRPr="00885209">
        <w:rPr>
          <w:rFonts w:ascii="Simplified Arabic" w:hAnsi="Simplified Arabic" w:cs="Simplified Arabic"/>
          <w:sz w:val="28"/>
          <w:szCs w:val="28"/>
          <w:rtl/>
          <w:lang w:bidi="ar-EG"/>
        </w:rPr>
        <w:t>الزيادة الكبيرة في عدد السكان وما يمثله ذلك من تحدي أمام الدولة لزيادة الخدمات العامة والتحويلات الاجتماعية لتلبية احتياجات مواطنيها</w:t>
      </w:r>
      <w:r w:rsidRPr="00885209">
        <w:rPr>
          <w:rFonts w:ascii="Simplified Arabic" w:hAnsi="Simplified Arabic" w:cs="Simplified Arabic" w:hint="cs"/>
          <w:sz w:val="28"/>
          <w:szCs w:val="28"/>
          <w:rtl/>
          <w:lang w:bidi="ar-EG"/>
        </w:rPr>
        <w:t xml:space="preserve">، حيث زاد عدد السكان في مصر من 57.4 مليون نسمة عام 1191 إلى 102.3 مليون نسمة عام 2020. </w:t>
      </w:r>
      <w:r w:rsidRPr="00885209">
        <w:rPr>
          <w:rFonts w:ascii="Simplified Arabic" w:hAnsi="Simplified Arabic" w:cs="Simplified Arabic"/>
          <w:sz w:val="28"/>
          <w:szCs w:val="28"/>
          <w:vertAlign w:val="superscript"/>
          <w:rtl/>
          <w:lang w:bidi="ar-EG"/>
        </w:rPr>
        <w:t>(</w:t>
      </w:r>
      <w:r w:rsidRPr="00FD5BEE">
        <w:rPr>
          <w:rFonts w:ascii="Simplified Arabic" w:hAnsi="Simplified Arabic" w:cs="Simplified Arabic"/>
          <w:sz w:val="28"/>
          <w:szCs w:val="28"/>
          <w:vertAlign w:val="superscript"/>
          <w:rtl/>
          <w:lang w:bidi="ar-EG"/>
        </w:rPr>
        <w:footnoteReference w:id="56"/>
      </w:r>
      <w:r w:rsidRPr="00885209">
        <w:rPr>
          <w:rFonts w:ascii="Simplified Arabic" w:hAnsi="Simplified Arabic" w:cs="Simplified Arabic"/>
          <w:sz w:val="28"/>
          <w:szCs w:val="28"/>
          <w:vertAlign w:val="superscript"/>
          <w:rtl/>
          <w:lang w:bidi="ar-EG"/>
        </w:rPr>
        <w:t>)</w:t>
      </w:r>
    </w:p>
    <w:p w14:paraId="4783546E" w14:textId="77777777" w:rsidR="002959BC" w:rsidRDefault="002959BC" w:rsidP="002959BC">
      <w:pPr>
        <w:pStyle w:val="ListParagraph"/>
        <w:spacing w:after="0" w:line="240" w:lineRule="auto"/>
        <w:ind w:left="879"/>
        <w:contextualSpacing w:val="0"/>
        <w:jc w:val="both"/>
        <w:rPr>
          <w:rFonts w:ascii="Simplified Arabic" w:hAnsi="Simplified Arabic" w:cs="Simplified Arabic"/>
          <w:sz w:val="28"/>
          <w:szCs w:val="28"/>
          <w:lang w:bidi="ar-EG"/>
        </w:rPr>
      </w:pPr>
    </w:p>
    <w:p w14:paraId="144ACA4B" w14:textId="77777777" w:rsidR="002959BC" w:rsidRPr="00FD5BEE" w:rsidRDefault="002959BC" w:rsidP="0041332D">
      <w:pPr>
        <w:pStyle w:val="ListParagraph"/>
        <w:numPr>
          <w:ilvl w:val="0"/>
          <w:numId w:val="20"/>
        </w:numPr>
        <w:spacing w:after="0" w:line="240" w:lineRule="auto"/>
        <w:ind w:left="879" w:hanging="425"/>
        <w:contextualSpacing w:val="0"/>
        <w:jc w:val="both"/>
        <w:rPr>
          <w:rFonts w:ascii="Simplified Arabic" w:hAnsi="Simplified Arabic" w:cs="Simplified Arabic"/>
          <w:sz w:val="28"/>
          <w:szCs w:val="28"/>
          <w:lang w:bidi="ar-EG"/>
        </w:rPr>
      </w:pPr>
      <w:r w:rsidRPr="00FD5BEE">
        <w:rPr>
          <w:rFonts w:ascii="Simplified Arabic" w:hAnsi="Simplified Arabic" w:cs="Simplified Arabic"/>
          <w:sz w:val="28"/>
          <w:szCs w:val="28"/>
          <w:rtl/>
          <w:lang w:bidi="ar-EG"/>
        </w:rPr>
        <w:t>الزيادة الكبيرة في أعباء خدمة الدين العام وما يتطلبه من سداد فوائد وأقساط نظراً لأن العجز في الموازنة العامة للدولة في الدول النامية مزمن وهيكلي مما يؤيد إلى زيادة الدين العام عاماً بعد عام مما يزيد من أعباء خدمة هذا الدين بصورة كبيرة وهو ما يؤدي إلى مزيد من عجز الموازنة العامة للدولة.</w:t>
      </w:r>
      <w:r w:rsidRPr="00FD5BEE">
        <w:rPr>
          <w:rFonts w:ascii="Simplified Arabic" w:hAnsi="Simplified Arabic" w:cs="Simplified Arabic"/>
          <w:sz w:val="28"/>
          <w:szCs w:val="28"/>
          <w:vertAlign w:val="superscript"/>
          <w:rtl/>
          <w:lang w:bidi="ar-EG"/>
        </w:rPr>
        <w:t xml:space="preserve"> (</w:t>
      </w:r>
      <w:r w:rsidRPr="00FD5BEE">
        <w:rPr>
          <w:rFonts w:ascii="Simplified Arabic" w:hAnsi="Simplified Arabic" w:cs="Simplified Arabic"/>
          <w:sz w:val="28"/>
          <w:szCs w:val="28"/>
          <w:vertAlign w:val="superscript"/>
          <w:rtl/>
          <w:lang w:bidi="ar-EG"/>
        </w:rPr>
        <w:footnoteReference w:id="57"/>
      </w:r>
      <w:r w:rsidRPr="00FD5BEE">
        <w:rPr>
          <w:rFonts w:ascii="Simplified Arabic" w:hAnsi="Simplified Arabic" w:cs="Simplified Arabic"/>
          <w:sz w:val="28"/>
          <w:szCs w:val="28"/>
          <w:vertAlign w:val="superscript"/>
          <w:rtl/>
          <w:lang w:bidi="ar-EG"/>
        </w:rPr>
        <w:t>)</w:t>
      </w:r>
    </w:p>
    <w:p w14:paraId="143F59EB" w14:textId="77777777" w:rsidR="002959BC" w:rsidRDefault="002959BC" w:rsidP="002959BC">
      <w:pPr>
        <w:pStyle w:val="ListParagraph"/>
        <w:spacing w:after="0" w:line="240" w:lineRule="auto"/>
        <w:ind w:left="879"/>
        <w:contextualSpacing w:val="0"/>
        <w:jc w:val="both"/>
        <w:rPr>
          <w:rFonts w:ascii="Simplified Arabic" w:hAnsi="Simplified Arabic" w:cs="Simplified Arabic"/>
          <w:sz w:val="28"/>
          <w:szCs w:val="28"/>
          <w:lang w:bidi="ar-EG"/>
        </w:rPr>
      </w:pPr>
    </w:p>
    <w:p w14:paraId="5D694876" w14:textId="77777777" w:rsidR="002959BC" w:rsidRPr="00FD5BEE" w:rsidRDefault="002959BC" w:rsidP="0041332D">
      <w:pPr>
        <w:pStyle w:val="ListParagraph"/>
        <w:numPr>
          <w:ilvl w:val="0"/>
          <w:numId w:val="20"/>
        </w:numPr>
        <w:spacing w:after="0" w:line="240" w:lineRule="auto"/>
        <w:ind w:left="879" w:hanging="425"/>
        <w:contextualSpacing w:val="0"/>
        <w:jc w:val="both"/>
        <w:rPr>
          <w:rFonts w:ascii="Simplified Arabic" w:hAnsi="Simplified Arabic" w:cs="Simplified Arabic"/>
          <w:sz w:val="28"/>
          <w:szCs w:val="28"/>
          <w:lang w:bidi="ar-EG"/>
        </w:rPr>
      </w:pPr>
      <w:r w:rsidRPr="00FD5BEE">
        <w:rPr>
          <w:rFonts w:ascii="Simplified Arabic" w:hAnsi="Simplified Arabic" w:cs="Simplified Arabic"/>
          <w:sz w:val="28"/>
          <w:szCs w:val="28"/>
          <w:rtl/>
          <w:lang w:bidi="ar-EG"/>
        </w:rPr>
        <w:t>قيام الحكومة بدور المستثمر الأساسي لسد العجز القائم في الاستثمارات الخاصة ولتوفير السلع والخدمات العامة التي لا يوفرها القطاع الخاص، إلا أن هذا الدور غالباً ما يُشكل عبئاً على موارد الدولة نظراً لعدم كفاءة التشغيل وكذا نظراً لأن تلك المجالات غالباً لا يكون لها مردود مباشر على الإيرادات الحكومية، وإذا لم توظف تلك الاستثمارات الحكومية في مكانها الصحيح فإنها قد تُشكل عائقاً أيضاً أمام نمو القطاع الخاص الذي لن يغامر بالدخول في منافسة مع الحكومة.</w:t>
      </w:r>
    </w:p>
    <w:p w14:paraId="2B0DCAA2" w14:textId="77777777" w:rsidR="002959BC" w:rsidRPr="00FD5BEE" w:rsidRDefault="002959BC" w:rsidP="002959BC">
      <w:pPr>
        <w:ind w:left="453"/>
        <w:jc w:val="both"/>
        <w:rPr>
          <w:rFonts w:ascii="Simplified Arabic" w:hAnsi="Simplified Arabic" w:cs="Simplified Arabic"/>
          <w:sz w:val="28"/>
          <w:szCs w:val="28"/>
          <w:u w:val="single"/>
          <w:rtl/>
          <w:lang w:bidi="ar-EG"/>
        </w:rPr>
      </w:pPr>
      <w:r w:rsidRPr="00FD5BEE">
        <w:rPr>
          <w:rFonts w:ascii="Simplified Arabic" w:hAnsi="Simplified Arabic" w:cs="Simplified Arabic"/>
          <w:sz w:val="28"/>
          <w:szCs w:val="28"/>
          <w:u w:val="single"/>
          <w:rtl/>
          <w:lang w:bidi="ar-EG"/>
        </w:rPr>
        <w:t>في جانب الإيرادات:</w:t>
      </w:r>
    </w:p>
    <w:p w14:paraId="4B2374AE" w14:textId="77777777" w:rsidR="002959BC" w:rsidRDefault="002959BC" w:rsidP="0041332D">
      <w:pPr>
        <w:pStyle w:val="ListParagraph"/>
        <w:numPr>
          <w:ilvl w:val="0"/>
          <w:numId w:val="21"/>
        </w:numPr>
        <w:spacing w:after="0" w:line="240" w:lineRule="auto"/>
        <w:ind w:left="879" w:hanging="425"/>
        <w:contextualSpacing w:val="0"/>
        <w:jc w:val="both"/>
        <w:rPr>
          <w:rFonts w:ascii="Simplified Arabic" w:hAnsi="Simplified Arabic" w:cs="Simplified Arabic"/>
          <w:sz w:val="28"/>
          <w:szCs w:val="28"/>
          <w:lang w:bidi="ar-EG"/>
        </w:rPr>
      </w:pPr>
      <w:r w:rsidRPr="00FD5BEE">
        <w:rPr>
          <w:rFonts w:ascii="Simplified Arabic" w:hAnsi="Simplified Arabic" w:cs="Simplified Arabic"/>
          <w:sz w:val="28"/>
          <w:szCs w:val="28"/>
          <w:rtl/>
          <w:lang w:bidi="ar-EG"/>
        </w:rPr>
        <w:t xml:space="preserve">عدم كفاءة الجهاز الضريبي في تحصيل الإيرادات الضريبية بسبب ضعف قدرته على </w:t>
      </w:r>
      <w:r>
        <w:rPr>
          <w:rFonts w:ascii="Simplified Arabic" w:hAnsi="Simplified Arabic" w:cs="Simplified Arabic"/>
          <w:sz w:val="28"/>
          <w:szCs w:val="28"/>
          <w:rtl/>
          <w:lang w:bidi="ar-EG"/>
        </w:rPr>
        <w:t>التقدير السليم للضريبة وتحصيلها</w:t>
      </w:r>
      <w:r>
        <w:rPr>
          <w:rFonts w:ascii="Simplified Arabic" w:hAnsi="Simplified Arabic" w:cs="Simplified Arabic" w:hint="cs"/>
          <w:sz w:val="28"/>
          <w:szCs w:val="28"/>
          <w:rtl/>
          <w:lang w:bidi="ar-EG"/>
        </w:rPr>
        <w:t xml:space="preserve">، حيث </w:t>
      </w:r>
      <w:r w:rsidRPr="005674E1">
        <w:rPr>
          <w:rFonts w:ascii="Simplified Arabic" w:hAnsi="Simplified Arabic" w:cs="Simplified Arabic" w:hint="cs"/>
          <w:sz w:val="28"/>
          <w:szCs w:val="28"/>
          <w:rtl/>
          <w:lang w:bidi="ar-EG"/>
        </w:rPr>
        <w:t xml:space="preserve">بلغت الإيرادات الضريبية في مصر خلال العام المالي </w:t>
      </w:r>
      <w:r w:rsidRPr="005674E1">
        <w:rPr>
          <w:rFonts w:ascii="Simplified Arabic" w:hAnsi="Simplified Arabic" w:cs="Simplified Arabic" w:hint="cs"/>
          <w:sz w:val="28"/>
          <w:szCs w:val="28"/>
          <w:rtl/>
          <w:lang w:bidi="ar-EG"/>
        </w:rPr>
        <w:lastRenderedPageBreak/>
        <w:t xml:space="preserve">2018/2019 نسبة 13.8% إلى الناتج المحلي الإجمالي، وهي نسبة ضئيلة إذا ما قورنت بمعدلات الإيرادات </w:t>
      </w:r>
      <w:r>
        <w:rPr>
          <w:rFonts w:ascii="Simplified Arabic" w:hAnsi="Simplified Arabic" w:cs="Simplified Arabic" w:hint="cs"/>
          <w:sz w:val="28"/>
          <w:szCs w:val="28"/>
          <w:rtl/>
          <w:lang w:bidi="ar-EG"/>
        </w:rPr>
        <w:t>الضريبية في بعض الدول المثيلة (</w:t>
      </w:r>
      <w:r w:rsidRPr="005674E1">
        <w:rPr>
          <w:rFonts w:ascii="Simplified Arabic" w:hAnsi="Simplified Arabic" w:cs="Simplified Arabic" w:hint="cs"/>
          <w:sz w:val="28"/>
          <w:szCs w:val="28"/>
          <w:rtl/>
          <w:lang w:bidi="ar-EG"/>
        </w:rPr>
        <w:t>تونس 21.1%، المغرب 21.9%، جنوب إفريقيا 27.5%).</w:t>
      </w:r>
      <w:r w:rsidRPr="00FD5BEE">
        <w:rPr>
          <w:rFonts w:ascii="Simplified Arabic" w:hAnsi="Simplified Arabic" w:cs="Simplified Arabic"/>
          <w:sz w:val="28"/>
          <w:szCs w:val="28"/>
          <w:vertAlign w:val="superscript"/>
          <w:rtl/>
          <w:lang w:bidi="ar-EG"/>
        </w:rPr>
        <w:t>(</w:t>
      </w:r>
      <w:r w:rsidRPr="00FD5BEE">
        <w:rPr>
          <w:rFonts w:ascii="Simplified Arabic" w:hAnsi="Simplified Arabic" w:cs="Simplified Arabic"/>
          <w:sz w:val="28"/>
          <w:szCs w:val="28"/>
          <w:vertAlign w:val="superscript"/>
          <w:rtl/>
          <w:lang w:bidi="ar-EG"/>
        </w:rPr>
        <w:footnoteReference w:id="58"/>
      </w:r>
      <w:r w:rsidRPr="00FD5BEE">
        <w:rPr>
          <w:rFonts w:ascii="Simplified Arabic" w:hAnsi="Simplified Arabic" w:cs="Simplified Arabic"/>
          <w:sz w:val="28"/>
          <w:szCs w:val="28"/>
          <w:vertAlign w:val="superscript"/>
          <w:rtl/>
          <w:lang w:bidi="ar-EG"/>
        </w:rPr>
        <w:t>)</w:t>
      </w:r>
    </w:p>
    <w:p w14:paraId="2A400A29" w14:textId="77777777" w:rsidR="002959BC" w:rsidRDefault="002959BC" w:rsidP="002959BC">
      <w:pPr>
        <w:pStyle w:val="ListParagraph"/>
        <w:spacing w:after="0" w:line="240" w:lineRule="auto"/>
        <w:ind w:left="879"/>
        <w:contextualSpacing w:val="0"/>
        <w:jc w:val="both"/>
        <w:rPr>
          <w:rFonts w:ascii="Simplified Arabic" w:hAnsi="Simplified Arabic" w:cs="Simplified Arabic"/>
          <w:sz w:val="28"/>
          <w:szCs w:val="28"/>
          <w:lang w:bidi="ar-EG"/>
        </w:rPr>
      </w:pPr>
    </w:p>
    <w:p w14:paraId="75D27D4A" w14:textId="77777777" w:rsidR="002959BC" w:rsidRDefault="002959BC" w:rsidP="0041332D">
      <w:pPr>
        <w:pStyle w:val="ListParagraph"/>
        <w:numPr>
          <w:ilvl w:val="0"/>
          <w:numId w:val="21"/>
        </w:numPr>
        <w:spacing w:after="0" w:line="240" w:lineRule="auto"/>
        <w:ind w:left="879" w:hanging="425"/>
        <w:contextualSpacing w:val="0"/>
        <w:jc w:val="both"/>
        <w:rPr>
          <w:rFonts w:ascii="Simplified Arabic" w:hAnsi="Simplified Arabic" w:cs="Simplified Arabic"/>
          <w:sz w:val="28"/>
          <w:szCs w:val="28"/>
          <w:lang w:bidi="ar-EG"/>
        </w:rPr>
      </w:pPr>
      <w:r w:rsidRPr="00FD5BEE">
        <w:rPr>
          <w:rFonts w:ascii="Simplified Arabic" w:hAnsi="Simplified Arabic" w:cs="Simplified Arabic"/>
          <w:sz w:val="28"/>
          <w:szCs w:val="28"/>
          <w:rtl/>
          <w:lang w:bidi="ar-EG"/>
        </w:rPr>
        <w:t xml:space="preserve"> الزيادة الكبيرة في حجم الاقتصاد غير الرسمي والذي لا يقوم بدفع أية ضرائب على أنشطته</w:t>
      </w:r>
      <w:r>
        <w:rPr>
          <w:rFonts w:ascii="Simplified Arabic" w:hAnsi="Simplified Arabic" w:cs="Simplified Arabic" w:hint="cs"/>
          <w:sz w:val="28"/>
          <w:szCs w:val="28"/>
          <w:rtl/>
          <w:lang w:bidi="ar-EG"/>
        </w:rPr>
        <w:t xml:space="preserve">، حيث يساهم القطاع غير الرسمي في مصر بما يوازي 30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40 بالمائة من الناتج المحلي الإجمالي</w:t>
      </w:r>
      <w:r w:rsidRPr="00FD5BEE">
        <w:rPr>
          <w:rFonts w:ascii="Simplified Arabic" w:hAnsi="Simplified Arabic" w:cs="Simplified Arabic"/>
          <w:sz w:val="28"/>
          <w:szCs w:val="28"/>
          <w:rtl/>
          <w:lang w:bidi="ar-EG"/>
        </w:rPr>
        <w:t>.</w:t>
      </w:r>
      <w:r w:rsidRPr="003436CC">
        <w:rPr>
          <w:rFonts w:ascii="Simplified Arabic" w:hAnsi="Simplified Arabic" w:cs="Simplified Arabic"/>
          <w:sz w:val="28"/>
          <w:szCs w:val="28"/>
          <w:vertAlign w:val="superscript"/>
          <w:rtl/>
          <w:lang w:bidi="ar-EG"/>
        </w:rPr>
        <w:t xml:space="preserve"> </w:t>
      </w:r>
      <w:r w:rsidRPr="00FD5BEE">
        <w:rPr>
          <w:rFonts w:ascii="Simplified Arabic" w:hAnsi="Simplified Arabic" w:cs="Simplified Arabic"/>
          <w:sz w:val="28"/>
          <w:szCs w:val="28"/>
          <w:vertAlign w:val="superscript"/>
          <w:rtl/>
          <w:lang w:bidi="ar-EG"/>
        </w:rPr>
        <w:t>(</w:t>
      </w:r>
      <w:r w:rsidRPr="00FD5BEE">
        <w:rPr>
          <w:rFonts w:ascii="Simplified Arabic" w:hAnsi="Simplified Arabic" w:cs="Simplified Arabic"/>
          <w:sz w:val="28"/>
          <w:szCs w:val="28"/>
          <w:vertAlign w:val="superscript"/>
          <w:rtl/>
          <w:lang w:bidi="ar-EG"/>
        </w:rPr>
        <w:footnoteReference w:id="59"/>
      </w:r>
      <w:r w:rsidRPr="00FD5BEE">
        <w:rPr>
          <w:rFonts w:ascii="Simplified Arabic" w:hAnsi="Simplified Arabic" w:cs="Simplified Arabic"/>
          <w:sz w:val="28"/>
          <w:szCs w:val="28"/>
          <w:vertAlign w:val="superscript"/>
          <w:rtl/>
          <w:lang w:bidi="ar-EG"/>
        </w:rPr>
        <w:t>)</w:t>
      </w:r>
    </w:p>
    <w:p w14:paraId="271D7B24" w14:textId="77777777" w:rsidR="002959BC" w:rsidRPr="00883B9A" w:rsidRDefault="002959BC" w:rsidP="002959BC">
      <w:pPr>
        <w:pStyle w:val="ListParagraph"/>
        <w:rPr>
          <w:rFonts w:ascii="Simplified Arabic" w:hAnsi="Simplified Arabic" w:cs="Simplified Arabic"/>
          <w:sz w:val="28"/>
          <w:szCs w:val="28"/>
          <w:rtl/>
          <w:lang w:bidi="ar-EG"/>
        </w:rPr>
      </w:pPr>
    </w:p>
    <w:p w14:paraId="3109E647" w14:textId="77777777" w:rsidR="002959BC" w:rsidRDefault="002959BC" w:rsidP="0041332D">
      <w:pPr>
        <w:pStyle w:val="ListParagraph"/>
        <w:numPr>
          <w:ilvl w:val="0"/>
          <w:numId w:val="21"/>
        </w:numPr>
        <w:spacing w:after="0" w:line="240" w:lineRule="auto"/>
        <w:ind w:left="879" w:hanging="425"/>
        <w:contextualSpacing w:val="0"/>
        <w:jc w:val="both"/>
        <w:rPr>
          <w:rFonts w:ascii="Simplified Arabic" w:hAnsi="Simplified Arabic" w:cs="Simplified Arabic"/>
          <w:sz w:val="28"/>
          <w:szCs w:val="28"/>
          <w:lang w:bidi="ar-EG"/>
        </w:rPr>
      </w:pPr>
      <w:r w:rsidRPr="00FD5BEE">
        <w:rPr>
          <w:rFonts w:ascii="Simplified Arabic" w:hAnsi="Simplified Arabic" w:cs="Simplified Arabic"/>
          <w:sz w:val="28"/>
          <w:szCs w:val="28"/>
          <w:rtl/>
          <w:lang w:bidi="ar-EG"/>
        </w:rPr>
        <w:t>تعتمد معظم موارد الدولة على الدخل الريعي المتأتي من مصادر إيرادات تتأثر بسهولة بأي صدمات خارجية (قناة السويس، البترول، السياحة).</w:t>
      </w:r>
    </w:p>
    <w:p w14:paraId="63D3EF3B" w14:textId="77777777" w:rsidR="002959BC" w:rsidRPr="00883B9A" w:rsidRDefault="002959BC" w:rsidP="002959BC">
      <w:pPr>
        <w:pStyle w:val="ListParagraph"/>
        <w:rPr>
          <w:rFonts w:ascii="Simplified Arabic" w:hAnsi="Simplified Arabic" w:cs="Simplified Arabic"/>
          <w:sz w:val="28"/>
          <w:szCs w:val="28"/>
          <w:rtl/>
          <w:lang w:bidi="ar-EG"/>
        </w:rPr>
      </w:pPr>
    </w:p>
    <w:p w14:paraId="548DA889" w14:textId="77777777" w:rsidR="002959BC" w:rsidRDefault="002959BC" w:rsidP="0041332D">
      <w:pPr>
        <w:pStyle w:val="ListParagraph"/>
        <w:numPr>
          <w:ilvl w:val="0"/>
          <w:numId w:val="21"/>
        </w:numPr>
        <w:spacing w:after="0" w:line="240" w:lineRule="auto"/>
        <w:ind w:left="879" w:hanging="425"/>
        <w:contextualSpacing w:val="0"/>
        <w:jc w:val="both"/>
        <w:rPr>
          <w:rFonts w:ascii="Simplified Arabic" w:hAnsi="Simplified Arabic" w:cs="Simplified Arabic"/>
          <w:sz w:val="28"/>
          <w:szCs w:val="28"/>
          <w:lang w:bidi="ar-EG"/>
        </w:rPr>
      </w:pPr>
      <w:r w:rsidRPr="00FD5BEE">
        <w:rPr>
          <w:rFonts w:ascii="Simplified Arabic" w:hAnsi="Simplified Arabic" w:cs="Simplified Arabic"/>
          <w:sz w:val="28"/>
          <w:szCs w:val="28"/>
          <w:rtl/>
          <w:lang w:bidi="ar-EG"/>
        </w:rPr>
        <w:t>انخفاض الإيرادات الحقيقية للدولة عن تلك المقدرة بسبب التضخم، حيث أن هناك تأثير متبادل بين عجز الموازنة والتضخم.</w:t>
      </w:r>
    </w:p>
    <w:p w14:paraId="59878482" w14:textId="77777777" w:rsidR="002959BC" w:rsidRPr="00883B9A" w:rsidRDefault="002959BC" w:rsidP="002959BC">
      <w:pPr>
        <w:pStyle w:val="ListParagraph"/>
        <w:rPr>
          <w:rFonts w:ascii="Simplified Arabic" w:hAnsi="Simplified Arabic" w:cs="Simplified Arabic"/>
          <w:sz w:val="28"/>
          <w:szCs w:val="28"/>
          <w:rtl/>
          <w:lang w:bidi="ar-EG"/>
        </w:rPr>
      </w:pPr>
    </w:p>
    <w:p w14:paraId="3EF348EB" w14:textId="77777777" w:rsidR="002959BC" w:rsidRPr="00127548" w:rsidRDefault="002959BC" w:rsidP="0041332D">
      <w:pPr>
        <w:pStyle w:val="ListParagraph"/>
        <w:numPr>
          <w:ilvl w:val="0"/>
          <w:numId w:val="21"/>
        </w:numPr>
        <w:spacing w:after="0" w:line="240" w:lineRule="auto"/>
        <w:ind w:left="879" w:hanging="425"/>
        <w:contextualSpacing w:val="0"/>
        <w:jc w:val="both"/>
        <w:rPr>
          <w:rFonts w:ascii="Simplified Arabic" w:hAnsi="Simplified Arabic" w:cs="Simplified Arabic"/>
          <w:sz w:val="28"/>
          <w:szCs w:val="28"/>
          <w:u w:val="single"/>
          <w:rtl/>
          <w:lang w:bidi="ar-EG"/>
        </w:rPr>
      </w:pPr>
      <w:r w:rsidRPr="00076DA1">
        <w:rPr>
          <w:rFonts w:ascii="Simplified Arabic" w:hAnsi="Simplified Arabic" w:cs="Simplified Arabic"/>
          <w:sz w:val="28"/>
          <w:szCs w:val="28"/>
          <w:rtl/>
          <w:lang w:bidi="ar-EG"/>
        </w:rPr>
        <w:t xml:space="preserve">تحصيل الإيرادات الضريبية خلال الربع الثالث من العام المالي، وهو ما يدفع الحكومة إلى الاستدانة خلال الربع الأول والثاني من العام المالي لتغطية النفقات العامة، وهو ما يحمل الخزانة العامة ديناً وفائدة ليس لها مبرر. </w:t>
      </w:r>
    </w:p>
    <w:p w14:paraId="4EC35B06" w14:textId="248C6C77" w:rsidR="002959BC" w:rsidRDefault="002959BC">
      <w:pPr>
        <w:bidi w:val="0"/>
        <w:spacing w:after="160" w:line="259" w:lineRule="auto"/>
        <w:rPr>
          <w:rtl/>
          <w:lang w:bidi="ar-EG"/>
        </w:rPr>
      </w:pPr>
      <w:r>
        <w:rPr>
          <w:rtl/>
          <w:lang w:bidi="ar-EG"/>
        </w:rPr>
        <w:br w:type="page"/>
      </w:r>
    </w:p>
    <w:p w14:paraId="17C130A3" w14:textId="77777777" w:rsidR="002959BC" w:rsidRPr="005F470C" w:rsidRDefault="002959BC" w:rsidP="002959BC">
      <w:pPr>
        <w:shd w:val="clear" w:color="auto" w:fill="C5E0B3" w:themeFill="accent6" w:themeFillTint="66"/>
        <w:ind w:firstLine="28"/>
        <w:jc w:val="center"/>
        <w:rPr>
          <w:rFonts w:ascii="Simplified Arabic" w:hAnsi="Simplified Arabic" w:cs="Simplified Arabic"/>
          <w:b/>
          <w:bCs/>
          <w:sz w:val="32"/>
          <w:szCs w:val="32"/>
          <w:rtl/>
          <w:lang w:bidi="ar-EG"/>
        </w:rPr>
      </w:pPr>
      <w:r w:rsidRPr="005F470C">
        <w:rPr>
          <w:rFonts w:ascii="Simplified Arabic" w:hAnsi="Simplified Arabic" w:cs="Simplified Arabic"/>
          <w:b/>
          <w:bCs/>
          <w:sz w:val="32"/>
          <w:szCs w:val="32"/>
          <w:rtl/>
          <w:lang w:bidi="ar-EG"/>
        </w:rPr>
        <w:lastRenderedPageBreak/>
        <w:t>المبحث الثالث:</w:t>
      </w:r>
    </w:p>
    <w:p w14:paraId="6973A5D1" w14:textId="77777777" w:rsidR="002959BC" w:rsidRPr="005F470C" w:rsidRDefault="002959BC" w:rsidP="002959BC">
      <w:pPr>
        <w:shd w:val="clear" w:color="auto" w:fill="C5E0B3" w:themeFill="accent6" w:themeFillTint="66"/>
        <w:ind w:firstLine="28"/>
        <w:jc w:val="center"/>
        <w:rPr>
          <w:rFonts w:ascii="Simplified Arabic" w:hAnsi="Simplified Arabic" w:cs="Simplified Arabic"/>
          <w:b/>
          <w:bCs/>
          <w:sz w:val="32"/>
          <w:szCs w:val="32"/>
          <w:rtl/>
          <w:lang w:bidi="ar-EG"/>
        </w:rPr>
      </w:pPr>
      <w:r w:rsidRPr="005F470C">
        <w:rPr>
          <w:rFonts w:ascii="Simplified Arabic" w:hAnsi="Simplified Arabic" w:cs="Simplified Arabic"/>
          <w:b/>
          <w:bCs/>
          <w:sz w:val="32"/>
          <w:szCs w:val="32"/>
          <w:rtl/>
          <w:lang w:bidi="ar-EG"/>
        </w:rPr>
        <w:t>آليات تمويل عجز الموازنة العامة للدولة وأثرها على التضخم</w:t>
      </w:r>
    </w:p>
    <w:p w14:paraId="14AD4381" w14:textId="77777777" w:rsidR="002959BC" w:rsidRPr="005F470C" w:rsidRDefault="002959BC" w:rsidP="002959BC">
      <w:pPr>
        <w:ind w:firstLine="453"/>
        <w:jc w:val="both"/>
        <w:rPr>
          <w:rFonts w:ascii="Simplified Arabic" w:hAnsi="Simplified Arabic" w:cs="Simplified Arabic"/>
          <w:sz w:val="18"/>
          <w:szCs w:val="18"/>
          <w:lang w:bidi="ar-EG"/>
        </w:rPr>
      </w:pPr>
    </w:p>
    <w:p w14:paraId="56037A03" w14:textId="77777777" w:rsidR="002959BC" w:rsidRPr="005F470C" w:rsidRDefault="002959BC" w:rsidP="002959BC">
      <w:pPr>
        <w:ind w:firstLine="453"/>
        <w:jc w:val="both"/>
        <w:rPr>
          <w:rFonts w:ascii="Simplified Arabic" w:hAnsi="Simplified Arabic" w:cs="Simplified Arabic"/>
          <w:sz w:val="28"/>
          <w:szCs w:val="28"/>
          <w:rtl/>
          <w:lang w:bidi="ar-EG"/>
        </w:rPr>
      </w:pPr>
      <w:r w:rsidRPr="005F470C">
        <w:rPr>
          <w:rFonts w:ascii="Simplified Arabic" w:hAnsi="Simplified Arabic" w:cs="Simplified Arabic"/>
          <w:sz w:val="28"/>
          <w:szCs w:val="28"/>
          <w:rtl/>
          <w:lang w:bidi="ar-EG"/>
        </w:rPr>
        <w:t>تتعدد آليات تمويل عجز الموازنة العامة ويتم تصنيف آليات التمويل حسب مصدر عملية التمويل أو نتيجته حيث نجد التمويل الداخلي والتمويل الخارجي، والتمويل المصرفي والتمويل غير المصرفي، والتمويل التضخمي والتمويل غير التضخمي ولكل آلية من تلك الآليات آثار اقتصادية تترتب على استخدامها.</w:t>
      </w:r>
    </w:p>
    <w:p w14:paraId="5E6CB03C" w14:textId="77777777" w:rsidR="002959BC" w:rsidRPr="005F470C" w:rsidRDefault="002959BC" w:rsidP="002959BC">
      <w:pPr>
        <w:ind w:firstLine="453"/>
        <w:jc w:val="both"/>
        <w:rPr>
          <w:rFonts w:ascii="Simplified Arabic" w:hAnsi="Simplified Arabic" w:cs="Simplified Arabic"/>
          <w:sz w:val="18"/>
          <w:szCs w:val="18"/>
          <w:rtl/>
          <w:lang w:bidi="ar-EG"/>
        </w:rPr>
      </w:pPr>
    </w:p>
    <w:p w14:paraId="0AB1E443" w14:textId="77777777" w:rsidR="002959BC" w:rsidRPr="005F470C" w:rsidRDefault="002959BC" w:rsidP="002959BC">
      <w:pPr>
        <w:ind w:firstLine="453"/>
        <w:jc w:val="both"/>
        <w:rPr>
          <w:rFonts w:ascii="Simplified Arabic" w:hAnsi="Simplified Arabic" w:cs="Simplified Arabic"/>
          <w:sz w:val="28"/>
          <w:szCs w:val="28"/>
          <w:rtl/>
          <w:lang w:bidi="ar-EG"/>
        </w:rPr>
      </w:pPr>
      <w:r w:rsidRPr="005F470C">
        <w:rPr>
          <w:rFonts w:ascii="Simplified Arabic" w:hAnsi="Simplified Arabic" w:cs="Simplified Arabic"/>
          <w:sz w:val="28"/>
          <w:szCs w:val="28"/>
          <w:rtl/>
          <w:lang w:bidi="ar-EG"/>
        </w:rPr>
        <w:t>وتلجأ مصر وغيرها من الدول إلى استخدام بعض أو كل هذه الآليات لتمويل عجز الموازنة وذلك حسبما تقتضي حاجاتها ووفقاً لمحددات إتاحة كل آلية من هذه الآليات، حيث هناك حدوداً لاستخدام هذه المصادر، كما أن لكل من هذه المصادر عيوبه وآثاره السلبية على الاقتصاد القومي.</w:t>
      </w:r>
    </w:p>
    <w:p w14:paraId="658E987B" w14:textId="77777777" w:rsidR="002959BC" w:rsidRPr="005F470C" w:rsidRDefault="002959BC" w:rsidP="002959BC">
      <w:pPr>
        <w:jc w:val="both"/>
        <w:rPr>
          <w:rFonts w:ascii="Simplified Arabic" w:hAnsi="Simplified Arabic" w:cs="Simplified Arabic"/>
          <w:sz w:val="16"/>
          <w:szCs w:val="16"/>
          <w:rtl/>
          <w:lang w:bidi="ar-EG"/>
        </w:rPr>
      </w:pPr>
    </w:p>
    <w:p w14:paraId="2A7CA517" w14:textId="77777777" w:rsidR="002959BC" w:rsidRPr="005F470C" w:rsidRDefault="002959BC" w:rsidP="0041332D">
      <w:pPr>
        <w:pStyle w:val="ListParagraph"/>
        <w:numPr>
          <w:ilvl w:val="0"/>
          <w:numId w:val="3"/>
        </w:numPr>
        <w:spacing w:after="0" w:line="240" w:lineRule="auto"/>
        <w:ind w:left="453"/>
        <w:contextualSpacing w:val="0"/>
        <w:jc w:val="both"/>
        <w:rPr>
          <w:rFonts w:ascii="Simplified Arabic" w:hAnsi="Simplified Arabic" w:cs="Simplified Arabic"/>
          <w:b/>
          <w:bCs/>
          <w:sz w:val="30"/>
          <w:szCs w:val="30"/>
          <w:u w:val="single"/>
          <w:lang w:bidi="ar-EG"/>
        </w:rPr>
      </w:pPr>
      <w:r w:rsidRPr="005F470C">
        <w:rPr>
          <w:rFonts w:ascii="Simplified Arabic" w:hAnsi="Simplified Arabic" w:cs="Simplified Arabic"/>
          <w:b/>
          <w:bCs/>
          <w:sz w:val="30"/>
          <w:szCs w:val="30"/>
          <w:u w:val="single"/>
          <w:rtl/>
          <w:lang w:bidi="ar-EG"/>
        </w:rPr>
        <w:t>التمويل التضخمي (الإصدار النقدي الجديد):</w:t>
      </w:r>
    </w:p>
    <w:p w14:paraId="0AD6273E" w14:textId="77777777" w:rsidR="002959BC" w:rsidRDefault="002959BC" w:rsidP="002959BC">
      <w:pPr>
        <w:ind w:left="425" w:firstLine="453"/>
        <w:jc w:val="both"/>
        <w:rPr>
          <w:rFonts w:ascii="Simplified Arabic" w:hAnsi="Simplified Arabic" w:cs="Simplified Arabic"/>
          <w:sz w:val="28"/>
          <w:szCs w:val="28"/>
          <w:lang w:bidi="ar-EG"/>
        </w:rPr>
      </w:pPr>
      <w:r w:rsidRPr="005F470C">
        <w:rPr>
          <w:rFonts w:ascii="Simplified Arabic" w:hAnsi="Simplified Arabic" w:cs="Simplified Arabic"/>
          <w:sz w:val="28"/>
          <w:szCs w:val="28"/>
          <w:rtl/>
          <w:lang w:bidi="ar-EG"/>
        </w:rPr>
        <w:t>يستخدم التمويل التضخمي على نطاق واسع في الدول النامية، حيث تم تمويل عجز الموازنة العامة للدولة من خلال اقتراض الحكومة من البنك المركزي، وتشكل تلك الطريقة نوعاً من الادخار الإجباري يتم تكوينه قسراً من خلال عملية التوسع النقدي والمتمثلة في التوسع في الإصدار النقدي الجديد ويترتب عليه إحجام أصحاب الدخول الثابتة والمحدودة عن شراء ما يحتاجون إليه من سلع وخدمات بالكميات التي اعتادوا على شرائها قبل الإصدار الجديد وهذا يعني زيادة الادخار أي زيادة الموارد التي تتوفر نتيجة لانخفاض الاستهلاك والتي توجه إلى الاستثمار.</w:t>
      </w:r>
    </w:p>
    <w:p w14:paraId="54AC3EBA" w14:textId="77777777" w:rsidR="002959BC" w:rsidRPr="005F470C" w:rsidRDefault="002959BC" w:rsidP="002959BC">
      <w:pPr>
        <w:ind w:firstLine="453"/>
        <w:jc w:val="both"/>
        <w:rPr>
          <w:rFonts w:ascii="Simplified Arabic" w:hAnsi="Simplified Arabic" w:cs="Simplified Arabic"/>
          <w:sz w:val="28"/>
          <w:szCs w:val="28"/>
          <w:rtl/>
          <w:lang w:bidi="ar-EG"/>
        </w:rPr>
      </w:pPr>
    </w:p>
    <w:p w14:paraId="6EEF512A" w14:textId="77777777" w:rsidR="002959BC" w:rsidRDefault="002959BC" w:rsidP="002959BC">
      <w:pPr>
        <w:ind w:left="425" w:firstLine="453"/>
        <w:jc w:val="both"/>
        <w:rPr>
          <w:rFonts w:ascii="Simplified Arabic" w:hAnsi="Simplified Arabic" w:cs="Simplified Arabic"/>
          <w:sz w:val="28"/>
          <w:szCs w:val="28"/>
          <w:lang w:bidi="ar-EG"/>
        </w:rPr>
      </w:pPr>
      <w:r w:rsidRPr="005F470C">
        <w:rPr>
          <w:rFonts w:ascii="Simplified Arabic" w:hAnsi="Simplified Arabic" w:cs="Simplified Arabic"/>
          <w:sz w:val="28"/>
          <w:szCs w:val="28"/>
          <w:rtl/>
          <w:lang w:bidi="ar-EG"/>
        </w:rPr>
        <w:t>وتلجأ بعض الدول إلى استخدام هذا الإجراء نظراً لأنه وسيلة غير مكلفة وسهلة لتوفير التمويل اللازم لعجز الموازنة بعكس الضرائب التي تحتاج إلى جهاز إداري كبير، كما يستخدم العجز بالإصدار النقدي لزيادة مستويات الطلب المصاحبة لزيادة الإنتاج عند مستوى التوظيف غير الكامل وإعادة الزخم الاقتصادي في حالات الركود الاقتصادي.</w:t>
      </w:r>
    </w:p>
    <w:p w14:paraId="6E09B22A" w14:textId="77777777" w:rsidR="002959BC" w:rsidRPr="005F470C" w:rsidRDefault="002959BC" w:rsidP="002959BC">
      <w:pPr>
        <w:ind w:firstLine="453"/>
        <w:jc w:val="both"/>
        <w:rPr>
          <w:rFonts w:ascii="Simplified Arabic" w:hAnsi="Simplified Arabic" w:cs="Simplified Arabic"/>
          <w:sz w:val="28"/>
          <w:szCs w:val="28"/>
          <w:rtl/>
          <w:lang w:bidi="ar-EG"/>
        </w:rPr>
      </w:pPr>
    </w:p>
    <w:p w14:paraId="0504E37B" w14:textId="77777777" w:rsidR="002959BC" w:rsidRPr="005F470C" w:rsidRDefault="002959BC" w:rsidP="002959BC">
      <w:pPr>
        <w:ind w:left="425"/>
        <w:jc w:val="both"/>
        <w:rPr>
          <w:rFonts w:ascii="Simplified Arabic" w:hAnsi="Simplified Arabic" w:cs="Simplified Arabic"/>
          <w:sz w:val="28"/>
          <w:szCs w:val="28"/>
          <w:rtl/>
          <w:lang w:bidi="ar-EG"/>
        </w:rPr>
      </w:pPr>
      <w:r w:rsidRPr="005F470C">
        <w:rPr>
          <w:rFonts w:ascii="Simplified Arabic" w:hAnsi="Simplified Arabic" w:cs="Simplified Arabic" w:hint="cs"/>
          <w:sz w:val="28"/>
          <w:szCs w:val="28"/>
          <w:u w:val="single"/>
          <w:rtl/>
          <w:lang w:bidi="ar-EG"/>
        </w:rPr>
        <w:t>و</w:t>
      </w:r>
      <w:r w:rsidRPr="005F470C">
        <w:rPr>
          <w:rFonts w:ascii="Simplified Arabic" w:hAnsi="Simplified Arabic" w:cs="Simplified Arabic"/>
          <w:sz w:val="28"/>
          <w:szCs w:val="28"/>
          <w:u w:val="single"/>
          <w:rtl/>
        </w:rPr>
        <w:t xml:space="preserve">تتوقف فعالية </w:t>
      </w:r>
      <w:r w:rsidRPr="005F470C">
        <w:rPr>
          <w:rFonts w:ascii="Simplified Arabic" w:hAnsi="Simplified Arabic" w:cs="Simplified Arabic"/>
          <w:sz w:val="28"/>
          <w:szCs w:val="28"/>
          <w:u w:val="single"/>
          <w:rtl/>
          <w:lang w:bidi="ar-EG"/>
        </w:rPr>
        <w:t>التمويل</w:t>
      </w:r>
      <w:r w:rsidRPr="005F470C">
        <w:rPr>
          <w:rFonts w:ascii="Simplified Arabic" w:hAnsi="Simplified Arabic" w:cs="Simplified Arabic"/>
          <w:sz w:val="28"/>
          <w:szCs w:val="28"/>
          <w:u w:val="single"/>
          <w:rtl/>
        </w:rPr>
        <w:t xml:space="preserve"> التضخمي على عدة شروط منها: </w:t>
      </w:r>
      <w:r w:rsidRPr="005F470C">
        <w:rPr>
          <w:rFonts w:ascii="Simplified Arabic" w:hAnsi="Simplified Arabic" w:cs="Simplified Arabic"/>
          <w:sz w:val="28"/>
          <w:szCs w:val="28"/>
          <w:vertAlign w:val="superscript"/>
          <w:rtl/>
          <w:lang w:bidi="ar-EG"/>
        </w:rPr>
        <w:t>(</w:t>
      </w:r>
      <w:r w:rsidRPr="005F470C">
        <w:rPr>
          <w:rFonts w:ascii="Simplified Arabic" w:hAnsi="Simplified Arabic" w:cs="Simplified Arabic"/>
          <w:sz w:val="28"/>
          <w:szCs w:val="28"/>
          <w:vertAlign w:val="superscript"/>
          <w:rtl/>
          <w:lang w:bidi="ar-EG"/>
        </w:rPr>
        <w:footnoteReference w:id="60"/>
      </w:r>
      <w:r w:rsidRPr="005F470C">
        <w:rPr>
          <w:rFonts w:ascii="Simplified Arabic" w:hAnsi="Simplified Arabic" w:cs="Simplified Arabic"/>
          <w:sz w:val="28"/>
          <w:szCs w:val="28"/>
          <w:vertAlign w:val="superscript"/>
          <w:rtl/>
          <w:lang w:bidi="ar-EG"/>
        </w:rPr>
        <w:t>)</w:t>
      </w:r>
    </w:p>
    <w:p w14:paraId="2797A0A7" w14:textId="77777777" w:rsidR="002959BC" w:rsidRPr="005F470C" w:rsidRDefault="002959BC" w:rsidP="0041332D">
      <w:pPr>
        <w:pStyle w:val="ListParagraph"/>
        <w:numPr>
          <w:ilvl w:val="0"/>
          <w:numId w:val="30"/>
        </w:numPr>
        <w:spacing w:after="0" w:line="240" w:lineRule="auto"/>
        <w:ind w:left="850" w:hanging="357"/>
        <w:contextualSpacing w:val="0"/>
        <w:jc w:val="both"/>
        <w:rPr>
          <w:rFonts w:ascii="Simplified Arabic" w:hAnsi="Simplified Arabic" w:cs="Simplified Arabic"/>
          <w:sz w:val="28"/>
          <w:szCs w:val="28"/>
          <w:lang w:bidi="ar-EG"/>
        </w:rPr>
      </w:pPr>
      <w:r w:rsidRPr="005F470C">
        <w:rPr>
          <w:rFonts w:ascii="Simplified Arabic" w:hAnsi="Simplified Arabic" w:cs="Simplified Arabic"/>
          <w:sz w:val="28"/>
          <w:szCs w:val="28"/>
          <w:rtl/>
          <w:lang w:bidi="ar-EG"/>
        </w:rPr>
        <w:t xml:space="preserve">أن يؤدي ما يتضمنه من ادخار إجباري إلى زيادة الادخار القومي وإلى زيادة صافي في الإيرادات السيادية للدولة. </w:t>
      </w:r>
    </w:p>
    <w:p w14:paraId="7EFAFEA1" w14:textId="7230718D" w:rsidR="002959BC" w:rsidRPr="005F470C" w:rsidRDefault="002959BC" w:rsidP="0041332D">
      <w:pPr>
        <w:pStyle w:val="ListParagraph"/>
        <w:numPr>
          <w:ilvl w:val="0"/>
          <w:numId w:val="30"/>
        </w:numPr>
        <w:spacing w:after="0" w:line="240" w:lineRule="auto"/>
        <w:ind w:left="850" w:hanging="357"/>
        <w:contextualSpacing w:val="0"/>
        <w:jc w:val="both"/>
        <w:rPr>
          <w:rFonts w:ascii="Simplified Arabic" w:hAnsi="Simplified Arabic" w:cs="Simplified Arabic"/>
          <w:sz w:val="28"/>
          <w:szCs w:val="28"/>
          <w:lang w:bidi="ar-EG"/>
        </w:rPr>
      </w:pPr>
      <w:r w:rsidRPr="005F470C">
        <w:rPr>
          <w:rFonts w:ascii="Simplified Arabic" w:hAnsi="Simplified Arabic" w:cs="Simplified Arabic"/>
          <w:sz w:val="28"/>
          <w:szCs w:val="28"/>
          <w:rtl/>
          <w:lang w:bidi="ar-EG"/>
        </w:rPr>
        <w:t>أن توجه "حصيلة ضريبة التضخم" إلى الانفاق الاستثماري.</w:t>
      </w:r>
    </w:p>
    <w:p w14:paraId="7E077021" w14:textId="77777777" w:rsidR="002959BC" w:rsidRDefault="002959BC" w:rsidP="0041332D">
      <w:pPr>
        <w:pStyle w:val="ListParagraph"/>
        <w:numPr>
          <w:ilvl w:val="0"/>
          <w:numId w:val="30"/>
        </w:numPr>
        <w:spacing w:after="0" w:line="240" w:lineRule="auto"/>
        <w:ind w:left="850" w:hanging="357"/>
        <w:contextualSpacing w:val="0"/>
        <w:jc w:val="both"/>
        <w:rPr>
          <w:rFonts w:ascii="Simplified Arabic" w:hAnsi="Simplified Arabic" w:cs="Simplified Arabic"/>
          <w:sz w:val="28"/>
          <w:szCs w:val="28"/>
        </w:rPr>
      </w:pPr>
      <w:r w:rsidRPr="005F470C">
        <w:rPr>
          <w:rFonts w:ascii="Simplified Arabic" w:hAnsi="Simplified Arabic" w:cs="Simplified Arabic"/>
          <w:sz w:val="28"/>
          <w:szCs w:val="28"/>
          <w:rtl/>
          <w:lang w:bidi="ar-EG"/>
        </w:rPr>
        <w:t>أن يترتب على هذا الإنفاق الاستثماري زيادة في الدخل القومي ومن ثم الإسراع بعملية التنمية الاقتصادية</w:t>
      </w:r>
      <w:r w:rsidRPr="005F470C">
        <w:rPr>
          <w:rFonts w:ascii="Simplified Arabic" w:hAnsi="Simplified Arabic" w:cs="Simplified Arabic"/>
          <w:sz w:val="28"/>
          <w:szCs w:val="28"/>
          <w:rtl/>
        </w:rPr>
        <w:t xml:space="preserve">. </w:t>
      </w:r>
    </w:p>
    <w:p w14:paraId="7E6595C0" w14:textId="77777777" w:rsidR="002959BC" w:rsidRPr="005F470C" w:rsidRDefault="002959BC" w:rsidP="002959BC">
      <w:pPr>
        <w:pStyle w:val="ListParagraph"/>
        <w:spacing w:after="0" w:line="240" w:lineRule="auto"/>
        <w:ind w:left="811"/>
        <w:contextualSpacing w:val="0"/>
        <w:jc w:val="both"/>
        <w:rPr>
          <w:rFonts w:ascii="Simplified Arabic" w:hAnsi="Simplified Arabic" w:cs="Simplified Arabic"/>
          <w:sz w:val="28"/>
          <w:szCs w:val="28"/>
        </w:rPr>
      </w:pPr>
    </w:p>
    <w:p w14:paraId="1A2ED905" w14:textId="77777777" w:rsidR="002959BC" w:rsidRPr="005F470C" w:rsidRDefault="002959BC" w:rsidP="0041332D">
      <w:pPr>
        <w:pStyle w:val="ListParagraph"/>
        <w:numPr>
          <w:ilvl w:val="0"/>
          <w:numId w:val="27"/>
        </w:numPr>
        <w:spacing w:after="0" w:line="240" w:lineRule="auto"/>
        <w:ind w:left="595" w:hanging="284"/>
        <w:contextualSpacing w:val="0"/>
        <w:jc w:val="both"/>
        <w:rPr>
          <w:rFonts w:ascii="Simplified Arabic" w:hAnsi="Simplified Arabic" w:cs="Simplified Arabic"/>
          <w:sz w:val="28"/>
          <w:szCs w:val="28"/>
          <w:u w:val="single"/>
          <w:rtl/>
          <w:lang w:bidi="ar-EG"/>
        </w:rPr>
      </w:pPr>
      <w:r w:rsidRPr="005F470C">
        <w:rPr>
          <w:rFonts w:ascii="Simplified Arabic" w:hAnsi="Simplified Arabic" w:cs="Simplified Arabic"/>
          <w:sz w:val="28"/>
          <w:szCs w:val="28"/>
          <w:u w:val="single"/>
          <w:rtl/>
          <w:lang w:bidi="ar-EG"/>
        </w:rPr>
        <w:t xml:space="preserve">عيوب التمويل التضخمي: </w:t>
      </w:r>
    </w:p>
    <w:p w14:paraId="12484872" w14:textId="77777777" w:rsidR="002959BC" w:rsidRPr="005F470C" w:rsidRDefault="002959BC" w:rsidP="0041332D">
      <w:pPr>
        <w:pStyle w:val="ListParagraph"/>
        <w:numPr>
          <w:ilvl w:val="0"/>
          <w:numId w:val="30"/>
        </w:numPr>
        <w:spacing w:after="0" w:line="240" w:lineRule="auto"/>
        <w:ind w:left="850" w:hanging="357"/>
        <w:contextualSpacing w:val="0"/>
        <w:jc w:val="both"/>
        <w:rPr>
          <w:rFonts w:ascii="Simplified Arabic" w:hAnsi="Simplified Arabic" w:cs="Simplified Arabic"/>
          <w:sz w:val="28"/>
          <w:szCs w:val="28"/>
          <w:lang w:bidi="ar-EG"/>
        </w:rPr>
      </w:pPr>
      <w:r w:rsidRPr="005F470C">
        <w:rPr>
          <w:rFonts w:ascii="Simplified Arabic" w:hAnsi="Simplified Arabic" w:cs="Simplified Arabic"/>
          <w:sz w:val="28"/>
          <w:szCs w:val="28"/>
          <w:rtl/>
          <w:lang w:bidi="ar-EG"/>
        </w:rPr>
        <w:t xml:space="preserve">ضعف الثقة في العملة المحلية والتحول إلى استخدام العملات الأجنبية. </w:t>
      </w:r>
    </w:p>
    <w:p w14:paraId="7A0FF6A8" w14:textId="77777777" w:rsidR="002959BC" w:rsidRPr="005F470C" w:rsidRDefault="002959BC" w:rsidP="0041332D">
      <w:pPr>
        <w:pStyle w:val="ListParagraph"/>
        <w:numPr>
          <w:ilvl w:val="0"/>
          <w:numId w:val="30"/>
        </w:numPr>
        <w:spacing w:after="0" w:line="240" w:lineRule="auto"/>
        <w:ind w:left="850" w:hanging="357"/>
        <w:contextualSpacing w:val="0"/>
        <w:jc w:val="both"/>
        <w:rPr>
          <w:rFonts w:ascii="Simplified Arabic" w:hAnsi="Simplified Arabic" w:cs="Simplified Arabic"/>
          <w:sz w:val="28"/>
          <w:szCs w:val="28"/>
          <w:lang w:bidi="ar-EG"/>
        </w:rPr>
      </w:pPr>
      <w:r w:rsidRPr="005F470C">
        <w:rPr>
          <w:rFonts w:ascii="Simplified Arabic" w:hAnsi="Simplified Arabic" w:cs="Simplified Arabic"/>
          <w:sz w:val="28"/>
          <w:szCs w:val="28"/>
          <w:rtl/>
          <w:lang w:bidi="ar-EG"/>
        </w:rPr>
        <w:t>إرباك الحسابات الاقتصادية وعملية التنبؤ الاقتصادي.</w:t>
      </w:r>
    </w:p>
    <w:p w14:paraId="5176828B" w14:textId="77777777" w:rsidR="002959BC" w:rsidRPr="005F470C" w:rsidRDefault="002959BC" w:rsidP="0041332D">
      <w:pPr>
        <w:pStyle w:val="ListParagraph"/>
        <w:numPr>
          <w:ilvl w:val="0"/>
          <w:numId w:val="30"/>
        </w:numPr>
        <w:spacing w:after="0" w:line="240" w:lineRule="auto"/>
        <w:ind w:left="850" w:hanging="357"/>
        <w:contextualSpacing w:val="0"/>
        <w:jc w:val="both"/>
        <w:rPr>
          <w:rFonts w:ascii="Simplified Arabic" w:hAnsi="Simplified Arabic" w:cs="Simplified Arabic"/>
          <w:sz w:val="28"/>
          <w:szCs w:val="28"/>
          <w:lang w:bidi="ar-EG"/>
        </w:rPr>
      </w:pPr>
      <w:r w:rsidRPr="005F470C">
        <w:rPr>
          <w:rFonts w:ascii="Simplified Arabic" w:hAnsi="Simplified Arabic" w:cs="Simplified Arabic"/>
          <w:sz w:val="28"/>
          <w:szCs w:val="28"/>
          <w:rtl/>
          <w:lang w:bidi="ar-EG"/>
        </w:rPr>
        <w:t>زيادة الميل الحدي للاستهلاك لدى أصحاب الدخول المتدنية نتيجة لتفضيلهم عدم الاحتفاظ بالسيولة لانخفاض القوة الشرائية للنقود.</w:t>
      </w:r>
    </w:p>
    <w:p w14:paraId="4A7ADD8C" w14:textId="77777777" w:rsidR="002959BC" w:rsidRPr="005F470C" w:rsidRDefault="002959BC" w:rsidP="0041332D">
      <w:pPr>
        <w:pStyle w:val="ListParagraph"/>
        <w:numPr>
          <w:ilvl w:val="0"/>
          <w:numId w:val="30"/>
        </w:numPr>
        <w:spacing w:after="0" w:line="240" w:lineRule="auto"/>
        <w:ind w:left="850" w:hanging="357"/>
        <w:contextualSpacing w:val="0"/>
        <w:jc w:val="both"/>
        <w:rPr>
          <w:rFonts w:ascii="Simplified Arabic" w:hAnsi="Simplified Arabic" w:cs="Simplified Arabic"/>
          <w:sz w:val="28"/>
          <w:szCs w:val="28"/>
          <w:lang w:bidi="ar-EG"/>
        </w:rPr>
      </w:pPr>
      <w:r w:rsidRPr="005F470C">
        <w:rPr>
          <w:rFonts w:ascii="Simplified Arabic" w:hAnsi="Simplified Arabic" w:cs="Simplified Arabic"/>
          <w:sz w:val="28"/>
          <w:szCs w:val="28"/>
          <w:rtl/>
          <w:lang w:bidi="ar-EG"/>
        </w:rPr>
        <w:t>تؤثر سلبياً على ميزان المدفوعات، حيث يؤدي ارتفاع الأسعار إلى إضعاف القدرة التنافسية للصادرات أمام السلع العالمية.</w:t>
      </w:r>
    </w:p>
    <w:p w14:paraId="66920F89" w14:textId="77777777" w:rsidR="002959BC" w:rsidRPr="005F470C" w:rsidRDefault="002959BC" w:rsidP="0041332D">
      <w:pPr>
        <w:pStyle w:val="ListParagraph"/>
        <w:numPr>
          <w:ilvl w:val="0"/>
          <w:numId w:val="30"/>
        </w:numPr>
        <w:spacing w:after="0" w:line="240" w:lineRule="auto"/>
        <w:ind w:left="850" w:hanging="357"/>
        <w:contextualSpacing w:val="0"/>
        <w:jc w:val="both"/>
        <w:rPr>
          <w:rFonts w:ascii="Simplified Arabic" w:hAnsi="Simplified Arabic" w:cs="Simplified Arabic"/>
          <w:sz w:val="28"/>
          <w:szCs w:val="28"/>
        </w:rPr>
      </w:pPr>
      <w:r w:rsidRPr="005F470C">
        <w:rPr>
          <w:rFonts w:ascii="Simplified Arabic" w:hAnsi="Simplified Arabic" w:cs="Simplified Arabic"/>
          <w:sz w:val="28"/>
          <w:szCs w:val="28"/>
          <w:rtl/>
          <w:lang w:bidi="ar-EG"/>
        </w:rPr>
        <w:t>آثاره التوزيعية تكون عشوائية لا تتفق من أي نمط من أنماط العدالة الاجتماعية</w:t>
      </w:r>
      <w:r w:rsidRPr="005F470C">
        <w:rPr>
          <w:rFonts w:ascii="Simplified Arabic" w:hAnsi="Simplified Arabic" w:cs="Simplified Arabic"/>
          <w:sz w:val="28"/>
          <w:szCs w:val="28"/>
          <w:rtl/>
        </w:rPr>
        <w:t xml:space="preserve">. </w:t>
      </w:r>
      <w:r w:rsidRPr="005F470C">
        <w:rPr>
          <w:rFonts w:ascii="Simplified Arabic" w:hAnsi="Simplified Arabic" w:cs="Simplified Arabic"/>
          <w:sz w:val="28"/>
          <w:szCs w:val="28"/>
          <w:vertAlign w:val="superscript"/>
          <w:rtl/>
          <w:lang w:bidi="ar-EG"/>
        </w:rPr>
        <w:t>(</w:t>
      </w:r>
      <w:r w:rsidRPr="005F470C">
        <w:rPr>
          <w:rFonts w:ascii="Simplified Arabic" w:hAnsi="Simplified Arabic" w:cs="Simplified Arabic"/>
          <w:sz w:val="28"/>
          <w:szCs w:val="28"/>
          <w:vertAlign w:val="superscript"/>
          <w:rtl/>
          <w:lang w:bidi="ar-EG"/>
        </w:rPr>
        <w:footnoteReference w:id="61"/>
      </w:r>
      <w:r w:rsidRPr="005F470C">
        <w:rPr>
          <w:rFonts w:ascii="Simplified Arabic" w:hAnsi="Simplified Arabic" w:cs="Simplified Arabic"/>
          <w:sz w:val="28"/>
          <w:szCs w:val="28"/>
          <w:vertAlign w:val="superscript"/>
          <w:rtl/>
          <w:lang w:bidi="ar-EG"/>
        </w:rPr>
        <w:t>)</w:t>
      </w:r>
    </w:p>
    <w:p w14:paraId="0C6AE625" w14:textId="77777777" w:rsidR="002959BC" w:rsidRPr="005F470C" w:rsidRDefault="002959BC" w:rsidP="002959BC">
      <w:pPr>
        <w:ind w:firstLine="453"/>
        <w:jc w:val="both"/>
        <w:rPr>
          <w:rFonts w:ascii="Simplified Arabic" w:hAnsi="Simplified Arabic" w:cs="Simplified Arabic"/>
          <w:sz w:val="28"/>
          <w:szCs w:val="28"/>
          <w:rtl/>
          <w:lang w:bidi="ar-EG"/>
        </w:rPr>
      </w:pPr>
    </w:p>
    <w:p w14:paraId="7C0BD814" w14:textId="77777777" w:rsidR="002959BC" w:rsidRPr="005F470C" w:rsidRDefault="002959BC" w:rsidP="002959BC">
      <w:pPr>
        <w:ind w:left="425"/>
        <w:jc w:val="both"/>
        <w:rPr>
          <w:rFonts w:ascii="Simplified Arabic" w:hAnsi="Simplified Arabic" w:cs="Simplified Arabic"/>
          <w:sz w:val="28"/>
          <w:szCs w:val="28"/>
          <w:u w:val="single"/>
          <w:rtl/>
          <w:lang w:bidi="ar-EG"/>
        </w:rPr>
      </w:pPr>
      <w:r w:rsidRPr="005F470C">
        <w:rPr>
          <w:rFonts w:ascii="Simplified Arabic" w:hAnsi="Simplified Arabic" w:cs="Simplified Arabic"/>
          <w:sz w:val="28"/>
          <w:szCs w:val="28"/>
          <w:rtl/>
          <w:lang w:bidi="ar-EG"/>
        </w:rPr>
        <w:t xml:space="preserve">كما يمكن النظر إلى ذلك الإجراء كنوع من أنواع الضرائب التي تفرض على من يحوزون نقوداً وتسمى (ضريبة التضخم </w:t>
      </w:r>
      <w:r w:rsidRPr="005F470C">
        <w:rPr>
          <w:rFonts w:ascii="Simplified Arabic" w:hAnsi="Simplified Arabic" w:cs="Simplified Arabic"/>
          <w:sz w:val="28"/>
          <w:szCs w:val="28"/>
          <w:lang w:bidi="ar-EG"/>
        </w:rPr>
        <w:t>The Inflation Tax</w:t>
      </w:r>
      <w:r w:rsidRPr="005F470C">
        <w:rPr>
          <w:rFonts w:ascii="Simplified Arabic" w:hAnsi="Simplified Arabic" w:cs="Simplified Arabic"/>
          <w:sz w:val="28"/>
          <w:szCs w:val="28"/>
          <w:rtl/>
          <w:lang w:bidi="ar-EG"/>
        </w:rPr>
        <w:t>)، وهنا تثار مجموعة من النقاط أهمها:</w:t>
      </w:r>
      <w:r w:rsidRPr="005F470C">
        <w:rPr>
          <w:rFonts w:ascii="Simplified Arabic" w:hAnsi="Simplified Arabic" w:cs="Simplified Arabic"/>
          <w:sz w:val="28"/>
          <w:szCs w:val="28"/>
          <w:vertAlign w:val="superscript"/>
          <w:rtl/>
          <w:lang w:bidi="ar-EG"/>
        </w:rPr>
        <w:t xml:space="preserve"> (</w:t>
      </w:r>
      <w:r w:rsidRPr="005F470C">
        <w:rPr>
          <w:rFonts w:ascii="Simplified Arabic" w:hAnsi="Simplified Arabic" w:cs="Simplified Arabic"/>
          <w:sz w:val="28"/>
          <w:szCs w:val="28"/>
          <w:vertAlign w:val="superscript"/>
          <w:rtl/>
          <w:lang w:bidi="ar-EG"/>
        </w:rPr>
        <w:footnoteReference w:id="62"/>
      </w:r>
      <w:r w:rsidRPr="005F470C">
        <w:rPr>
          <w:rFonts w:ascii="Simplified Arabic" w:hAnsi="Simplified Arabic" w:cs="Simplified Arabic"/>
          <w:sz w:val="28"/>
          <w:szCs w:val="28"/>
          <w:vertAlign w:val="superscript"/>
          <w:rtl/>
          <w:lang w:bidi="ar-EG"/>
        </w:rPr>
        <w:t>)</w:t>
      </w:r>
      <w:r w:rsidRPr="005F470C">
        <w:rPr>
          <w:rFonts w:ascii="Simplified Arabic" w:hAnsi="Simplified Arabic" w:cs="Simplified Arabic"/>
          <w:sz w:val="28"/>
          <w:szCs w:val="28"/>
          <w:u w:val="single"/>
          <w:rtl/>
          <w:lang w:bidi="ar-EG"/>
        </w:rPr>
        <w:t xml:space="preserve"> </w:t>
      </w:r>
    </w:p>
    <w:p w14:paraId="6D6D71C5" w14:textId="77777777" w:rsidR="002959BC" w:rsidRDefault="002959BC" w:rsidP="0041332D">
      <w:pPr>
        <w:pStyle w:val="ListParagraph"/>
        <w:numPr>
          <w:ilvl w:val="0"/>
          <w:numId w:val="30"/>
        </w:numPr>
        <w:spacing w:after="0" w:line="240" w:lineRule="auto"/>
        <w:ind w:left="850" w:hanging="357"/>
        <w:contextualSpacing w:val="0"/>
        <w:jc w:val="both"/>
        <w:rPr>
          <w:rFonts w:ascii="Simplified Arabic" w:hAnsi="Simplified Arabic" w:cs="Simplified Arabic"/>
          <w:sz w:val="28"/>
          <w:szCs w:val="28"/>
          <w:lang w:bidi="ar-EG"/>
        </w:rPr>
      </w:pPr>
      <w:r w:rsidRPr="005F470C">
        <w:rPr>
          <w:rFonts w:ascii="Simplified Arabic" w:hAnsi="Simplified Arabic" w:cs="Simplified Arabic"/>
          <w:sz w:val="28"/>
          <w:szCs w:val="28"/>
          <w:rtl/>
          <w:lang w:bidi="ar-EG"/>
        </w:rPr>
        <w:t>إن ضريبة التضخم التي يتحملها الأفراد أعلى بكثير من الضريبة التي تحصلها الحكومة، أي أن التكلفة التي يتحملها الأفراد بسبب سياسة الحكومة في سد العجز اعتماداً على طبع النقود هي تكلفة أعلى بكثير من الموارد الحقيقية التي تخصصها الحكومة، ولذلك فإن ضريبة التضخم تكون متدنية الكفاءة.</w:t>
      </w:r>
    </w:p>
    <w:p w14:paraId="1AB2922C" w14:textId="77777777" w:rsidR="002959BC" w:rsidRPr="008115BF" w:rsidRDefault="002959BC" w:rsidP="002959BC">
      <w:pPr>
        <w:pStyle w:val="ListParagraph"/>
        <w:spacing w:after="0" w:line="240" w:lineRule="auto"/>
        <w:ind w:left="850"/>
        <w:contextualSpacing w:val="0"/>
        <w:jc w:val="both"/>
        <w:rPr>
          <w:rFonts w:ascii="Simplified Arabic" w:hAnsi="Simplified Arabic" w:cs="Simplified Arabic"/>
          <w:sz w:val="16"/>
          <w:szCs w:val="16"/>
          <w:lang w:bidi="ar-EG"/>
        </w:rPr>
      </w:pPr>
    </w:p>
    <w:p w14:paraId="4F9E6259" w14:textId="77777777" w:rsidR="002959BC" w:rsidRDefault="002959BC" w:rsidP="0041332D">
      <w:pPr>
        <w:pStyle w:val="ListParagraph"/>
        <w:numPr>
          <w:ilvl w:val="0"/>
          <w:numId w:val="30"/>
        </w:numPr>
        <w:spacing w:after="0" w:line="240" w:lineRule="auto"/>
        <w:ind w:left="850" w:hanging="357"/>
        <w:contextualSpacing w:val="0"/>
        <w:jc w:val="both"/>
        <w:rPr>
          <w:rFonts w:ascii="Simplified Arabic" w:hAnsi="Simplified Arabic" w:cs="Simplified Arabic"/>
          <w:sz w:val="28"/>
          <w:szCs w:val="28"/>
          <w:lang w:bidi="ar-EG"/>
        </w:rPr>
      </w:pPr>
      <w:r w:rsidRPr="005F470C">
        <w:rPr>
          <w:rFonts w:ascii="Simplified Arabic" w:hAnsi="Simplified Arabic" w:cs="Simplified Arabic"/>
          <w:sz w:val="28"/>
          <w:szCs w:val="28"/>
          <w:rtl/>
          <w:lang w:bidi="ar-EG"/>
        </w:rPr>
        <w:t>إن انخفاض قيمة النقود الحقيقية بسبب ارتفاع معدل التضخم يعني انكماشاً في وعاء ضريبة التضخم وهذا يعني أنه لكي تحصل الحكومة على نفس العائد من ضريبة التضخم يجب عليها أن تطبق معدل ضريبة أكثر ارتفاعاً.</w:t>
      </w:r>
    </w:p>
    <w:p w14:paraId="0A2FCB4C" w14:textId="77777777" w:rsidR="002959BC" w:rsidRPr="008115BF" w:rsidRDefault="002959BC" w:rsidP="002959BC">
      <w:pPr>
        <w:pStyle w:val="ListParagraph"/>
        <w:spacing w:after="0" w:line="240" w:lineRule="auto"/>
        <w:ind w:left="850"/>
        <w:contextualSpacing w:val="0"/>
        <w:jc w:val="both"/>
        <w:rPr>
          <w:rFonts w:ascii="Simplified Arabic" w:hAnsi="Simplified Arabic" w:cs="Simplified Arabic"/>
          <w:rtl/>
          <w:lang w:bidi="ar-EG"/>
        </w:rPr>
      </w:pPr>
    </w:p>
    <w:p w14:paraId="6696E9B7" w14:textId="77777777" w:rsidR="002959BC" w:rsidRDefault="002959BC" w:rsidP="0041332D">
      <w:pPr>
        <w:pStyle w:val="ListParagraph"/>
        <w:numPr>
          <w:ilvl w:val="0"/>
          <w:numId w:val="30"/>
        </w:numPr>
        <w:spacing w:after="0" w:line="240" w:lineRule="auto"/>
        <w:ind w:left="850" w:hanging="357"/>
        <w:contextualSpacing w:val="0"/>
        <w:jc w:val="both"/>
        <w:rPr>
          <w:rFonts w:ascii="Simplified Arabic" w:hAnsi="Simplified Arabic" w:cs="Simplified Arabic"/>
          <w:sz w:val="28"/>
          <w:szCs w:val="28"/>
          <w:lang w:bidi="ar-EG"/>
        </w:rPr>
      </w:pPr>
      <w:r w:rsidRPr="005F470C">
        <w:rPr>
          <w:rFonts w:ascii="Simplified Arabic" w:hAnsi="Simplified Arabic" w:cs="Simplified Arabic"/>
          <w:sz w:val="28"/>
          <w:szCs w:val="28"/>
          <w:rtl/>
          <w:lang w:bidi="ar-EG"/>
        </w:rPr>
        <w:t>إن انخفاض الطلب على الأرصدة النقدية الحقيقية سيكون أكثر احتمالاً في ظل تزايد معدل التضخم، حيث إن الجمهور يتكيف مع هذا الارتفاع في معدل التضخم بأساليب مختلفة مثل استبدال العملة المحلية بالعملات الأجنبية.</w:t>
      </w:r>
    </w:p>
    <w:p w14:paraId="42CB4180" w14:textId="77777777" w:rsidR="002959BC" w:rsidRPr="005F470C" w:rsidRDefault="002959BC" w:rsidP="0041332D">
      <w:pPr>
        <w:pStyle w:val="ListParagraph"/>
        <w:numPr>
          <w:ilvl w:val="0"/>
          <w:numId w:val="27"/>
        </w:numPr>
        <w:spacing w:after="0" w:line="240" w:lineRule="auto"/>
        <w:ind w:left="595" w:hanging="284"/>
        <w:contextualSpacing w:val="0"/>
        <w:jc w:val="both"/>
        <w:rPr>
          <w:rFonts w:ascii="Simplified Arabic" w:hAnsi="Simplified Arabic" w:cs="Simplified Arabic"/>
          <w:sz w:val="28"/>
          <w:szCs w:val="28"/>
          <w:u w:val="single"/>
          <w:lang w:bidi="ar-EG"/>
        </w:rPr>
      </w:pPr>
      <w:r w:rsidRPr="005F470C">
        <w:rPr>
          <w:rFonts w:ascii="Simplified Arabic" w:hAnsi="Simplified Arabic" w:cs="Simplified Arabic"/>
          <w:sz w:val="28"/>
          <w:szCs w:val="28"/>
          <w:u w:val="single"/>
          <w:rtl/>
          <w:lang w:bidi="ar-EG"/>
        </w:rPr>
        <w:t>أثر التمويل بالإصدار النقدي الجديد على التضخم:</w:t>
      </w:r>
    </w:p>
    <w:p w14:paraId="0A9CAF29" w14:textId="77777777" w:rsidR="002959BC" w:rsidRDefault="002959BC" w:rsidP="0041332D">
      <w:pPr>
        <w:pStyle w:val="ListParagraph"/>
        <w:numPr>
          <w:ilvl w:val="0"/>
          <w:numId w:val="30"/>
        </w:numPr>
        <w:spacing w:after="0" w:line="240" w:lineRule="auto"/>
        <w:ind w:left="850" w:hanging="357"/>
        <w:contextualSpacing w:val="0"/>
        <w:jc w:val="both"/>
        <w:rPr>
          <w:rFonts w:ascii="Simplified Arabic" w:hAnsi="Simplified Arabic" w:cs="Simplified Arabic"/>
          <w:sz w:val="28"/>
          <w:szCs w:val="28"/>
          <w:lang w:bidi="ar-EG"/>
        </w:rPr>
      </w:pPr>
      <w:r w:rsidRPr="005F470C">
        <w:rPr>
          <w:rFonts w:ascii="Simplified Arabic" w:hAnsi="Simplified Arabic" w:cs="Simplified Arabic"/>
          <w:sz w:val="28"/>
          <w:szCs w:val="28"/>
          <w:rtl/>
          <w:lang w:bidi="ar-EG"/>
        </w:rPr>
        <w:t>عبر ميلتون فريدمان عن هذه العلاقة بمقولته الشهيرة "التضخم دائماً وأبداً ظاهرة نقدية"</w:t>
      </w:r>
      <w:r w:rsidRPr="00473C79">
        <w:rPr>
          <w:rFonts w:ascii="Simplified Arabic" w:hAnsi="Simplified Arabic" w:cs="Simplified Arabic"/>
          <w:sz w:val="28"/>
          <w:szCs w:val="28"/>
          <w:rtl/>
          <w:lang w:bidi="ar-EG"/>
        </w:rPr>
        <w:t>(</w:t>
      </w:r>
      <w:r w:rsidRPr="00473C79">
        <w:rPr>
          <w:rFonts w:ascii="Simplified Arabic" w:hAnsi="Simplified Arabic" w:cs="Simplified Arabic"/>
          <w:sz w:val="28"/>
          <w:szCs w:val="28"/>
          <w:rtl/>
          <w:lang w:bidi="ar-EG"/>
        </w:rPr>
        <w:footnoteReference w:id="63"/>
      </w:r>
      <w:r w:rsidRPr="00473C79">
        <w:rPr>
          <w:rFonts w:ascii="Simplified Arabic" w:hAnsi="Simplified Arabic" w:cs="Simplified Arabic"/>
          <w:sz w:val="28"/>
          <w:szCs w:val="28"/>
          <w:rtl/>
          <w:lang w:bidi="ar-EG"/>
        </w:rPr>
        <w:t>)</w:t>
      </w:r>
      <w:r w:rsidRPr="005F470C">
        <w:rPr>
          <w:rFonts w:ascii="Simplified Arabic" w:hAnsi="Simplified Arabic" w:cs="Simplified Arabic"/>
          <w:sz w:val="28"/>
          <w:szCs w:val="28"/>
          <w:rtl/>
          <w:lang w:bidi="ar-EG"/>
        </w:rPr>
        <w:t>، حيث أن تمويل عجز الموازنة من خلال الاقتراض من البنك المركزي يؤدي إلى زيادة الأرصدة النقدية بطريقة مفرطة مما يسبب ارتفاع معدلات التضخم نظراً لانخفاض القيمة الحقيقية لوحدة النقود.</w:t>
      </w:r>
    </w:p>
    <w:p w14:paraId="37F85B56" w14:textId="77777777" w:rsidR="002959BC" w:rsidRDefault="002959BC" w:rsidP="002959BC">
      <w:pPr>
        <w:pStyle w:val="ListParagraph"/>
        <w:spacing w:after="0" w:line="240" w:lineRule="auto"/>
        <w:ind w:left="850"/>
        <w:contextualSpacing w:val="0"/>
        <w:jc w:val="both"/>
        <w:rPr>
          <w:rFonts w:ascii="Simplified Arabic" w:hAnsi="Simplified Arabic" w:cs="Simplified Arabic"/>
          <w:sz w:val="28"/>
          <w:szCs w:val="28"/>
          <w:lang w:bidi="ar-EG"/>
        </w:rPr>
      </w:pPr>
    </w:p>
    <w:p w14:paraId="4DD4C8DC" w14:textId="77777777" w:rsidR="002959BC" w:rsidRPr="005F470C" w:rsidRDefault="002959BC" w:rsidP="0041332D">
      <w:pPr>
        <w:pStyle w:val="ListParagraph"/>
        <w:numPr>
          <w:ilvl w:val="0"/>
          <w:numId w:val="30"/>
        </w:numPr>
        <w:spacing w:after="0" w:line="240" w:lineRule="auto"/>
        <w:ind w:left="850" w:hanging="357"/>
        <w:contextualSpacing w:val="0"/>
        <w:jc w:val="both"/>
        <w:rPr>
          <w:rFonts w:ascii="Simplified Arabic" w:hAnsi="Simplified Arabic" w:cs="Simplified Arabic"/>
          <w:sz w:val="28"/>
          <w:szCs w:val="28"/>
          <w:rtl/>
          <w:lang w:bidi="ar-EG"/>
        </w:rPr>
      </w:pPr>
      <w:r w:rsidRPr="005F470C">
        <w:rPr>
          <w:rFonts w:ascii="Simplified Arabic" w:hAnsi="Simplified Arabic" w:cs="Simplified Arabic"/>
          <w:sz w:val="28"/>
          <w:szCs w:val="28"/>
          <w:rtl/>
          <w:lang w:bidi="ar-EG"/>
        </w:rPr>
        <w:t>تُعد سياسة التمويل التضخمي من أوسع السياسات انتشاراً في البلدان النامية ومن بينها مصر، حيث يتم سد عجز الموازنة العامة للدولة عن طريق خلق نقود جديدة بالالتجاء إلى البنك المركزي الذي يقوم بالإصدار الجديد مما يؤدي إلى ارتفاع في الأسعار</w:t>
      </w:r>
      <w:r w:rsidRPr="005F470C">
        <w:rPr>
          <w:rFonts w:ascii="Simplified Arabic" w:hAnsi="Simplified Arabic" w:cs="Simplified Arabic"/>
          <w:sz w:val="28"/>
          <w:szCs w:val="28"/>
          <w:vertAlign w:val="superscript"/>
          <w:rtl/>
          <w:lang w:bidi="ar-EG"/>
        </w:rPr>
        <w:t>(</w:t>
      </w:r>
      <w:r w:rsidRPr="005F470C">
        <w:rPr>
          <w:rFonts w:ascii="Simplified Arabic" w:hAnsi="Simplified Arabic" w:cs="Simplified Arabic"/>
          <w:sz w:val="28"/>
          <w:szCs w:val="28"/>
          <w:vertAlign w:val="superscript"/>
          <w:rtl/>
          <w:lang w:bidi="ar-EG"/>
        </w:rPr>
        <w:footnoteReference w:id="64"/>
      </w:r>
      <w:r w:rsidRPr="005F470C">
        <w:rPr>
          <w:rFonts w:ascii="Simplified Arabic" w:hAnsi="Simplified Arabic" w:cs="Simplified Arabic"/>
          <w:sz w:val="28"/>
          <w:szCs w:val="28"/>
          <w:vertAlign w:val="superscript"/>
          <w:rtl/>
          <w:lang w:bidi="ar-EG"/>
        </w:rPr>
        <w:t>)</w:t>
      </w:r>
      <w:r w:rsidRPr="005F470C">
        <w:rPr>
          <w:rFonts w:ascii="Simplified Arabic" w:hAnsi="Simplified Arabic" w:cs="Simplified Arabic"/>
          <w:sz w:val="28"/>
          <w:szCs w:val="28"/>
          <w:rtl/>
          <w:lang w:bidi="ar-EG"/>
        </w:rPr>
        <w:t>.</w:t>
      </w:r>
    </w:p>
    <w:p w14:paraId="772A78DC" w14:textId="77777777" w:rsidR="002959BC" w:rsidRPr="005F470C" w:rsidRDefault="002959BC" w:rsidP="002959BC">
      <w:pPr>
        <w:jc w:val="both"/>
        <w:rPr>
          <w:rFonts w:ascii="Simplified Arabic" w:hAnsi="Simplified Arabic" w:cs="Simplified Arabic"/>
          <w:sz w:val="28"/>
          <w:szCs w:val="28"/>
          <w:lang w:bidi="ar-EG"/>
        </w:rPr>
      </w:pPr>
    </w:p>
    <w:p w14:paraId="336B8111" w14:textId="77777777" w:rsidR="002959BC" w:rsidRPr="005F470C" w:rsidRDefault="002959BC" w:rsidP="0041332D">
      <w:pPr>
        <w:pStyle w:val="ListParagraph"/>
        <w:numPr>
          <w:ilvl w:val="0"/>
          <w:numId w:val="3"/>
        </w:numPr>
        <w:spacing w:after="0" w:line="240" w:lineRule="auto"/>
        <w:ind w:left="453"/>
        <w:contextualSpacing w:val="0"/>
        <w:jc w:val="both"/>
        <w:rPr>
          <w:rFonts w:ascii="Simplified Arabic" w:hAnsi="Simplified Arabic" w:cs="Simplified Arabic"/>
          <w:b/>
          <w:bCs/>
          <w:sz w:val="30"/>
          <w:szCs w:val="30"/>
          <w:u w:val="single"/>
          <w:lang w:bidi="ar-EG"/>
        </w:rPr>
      </w:pPr>
      <w:r w:rsidRPr="005F470C">
        <w:rPr>
          <w:rFonts w:ascii="Simplified Arabic" w:hAnsi="Simplified Arabic" w:cs="Simplified Arabic"/>
          <w:b/>
          <w:bCs/>
          <w:sz w:val="30"/>
          <w:szCs w:val="30"/>
          <w:u w:val="single"/>
          <w:rtl/>
          <w:lang w:bidi="ar-EG"/>
        </w:rPr>
        <w:t>آليات التمويل غير التضخمي:</w:t>
      </w:r>
    </w:p>
    <w:p w14:paraId="3E432771" w14:textId="77777777" w:rsidR="002959BC" w:rsidRPr="005F470C" w:rsidRDefault="002959BC" w:rsidP="002959BC">
      <w:pPr>
        <w:ind w:left="425" w:firstLine="453"/>
        <w:jc w:val="both"/>
        <w:rPr>
          <w:rFonts w:ascii="Simplified Arabic" w:hAnsi="Simplified Arabic" w:cs="Simplified Arabic"/>
          <w:sz w:val="28"/>
          <w:szCs w:val="28"/>
          <w:rtl/>
          <w:lang w:bidi="ar-EG"/>
        </w:rPr>
      </w:pPr>
      <w:r w:rsidRPr="005F470C">
        <w:rPr>
          <w:rFonts w:ascii="Simplified Arabic" w:hAnsi="Simplified Arabic" w:cs="Simplified Arabic"/>
          <w:sz w:val="28"/>
          <w:szCs w:val="28"/>
          <w:rtl/>
          <w:lang w:bidi="ar-EG"/>
        </w:rPr>
        <w:t>تتعدد آليات التمويل غير التضخمي، وهو التمويل الذي لا يؤدي بطريقة مباشرة إلى زيادة القاعدة النقدية مما يعني عدم تأثيره مباشرة على التضخم، إلا أنه رغماً عن ذلك فإن بعض تلك الآليات تلعب دوراً في ارتفاع معدلات التضخم، وتتلخص تلك الآليات في الآتي:</w:t>
      </w:r>
    </w:p>
    <w:p w14:paraId="314CF1B8" w14:textId="77777777" w:rsidR="002959BC" w:rsidRPr="005F470C" w:rsidRDefault="002959BC" w:rsidP="002959BC">
      <w:pPr>
        <w:jc w:val="both"/>
        <w:rPr>
          <w:rFonts w:ascii="Simplified Arabic" w:hAnsi="Simplified Arabic" w:cs="Simplified Arabic"/>
          <w:u w:val="single"/>
          <w:rtl/>
          <w:lang w:bidi="ar-EG"/>
        </w:rPr>
      </w:pPr>
    </w:p>
    <w:p w14:paraId="6FE1E73F" w14:textId="77777777" w:rsidR="002959BC" w:rsidRPr="006904A4" w:rsidRDefault="002959BC" w:rsidP="0041332D">
      <w:pPr>
        <w:pStyle w:val="ListParagraph"/>
        <w:numPr>
          <w:ilvl w:val="0"/>
          <w:numId w:val="27"/>
        </w:numPr>
        <w:spacing w:after="0" w:line="240" w:lineRule="auto"/>
        <w:ind w:left="596" w:hanging="284"/>
        <w:contextualSpacing w:val="0"/>
        <w:jc w:val="both"/>
        <w:rPr>
          <w:rFonts w:ascii="Simplified Arabic" w:hAnsi="Simplified Arabic" w:cs="Simplified Arabic"/>
          <w:b/>
          <w:bCs/>
          <w:sz w:val="28"/>
          <w:szCs w:val="28"/>
          <w:u w:val="single"/>
          <w:lang w:bidi="ar-EG"/>
        </w:rPr>
      </w:pPr>
      <w:r w:rsidRPr="006904A4">
        <w:rPr>
          <w:rFonts w:ascii="Simplified Arabic" w:hAnsi="Simplified Arabic" w:cs="Simplified Arabic"/>
          <w:b/>
          <w:bCs/>
          <w:sz w:val="28"/>
          <w:szCs w:val="28"/>
          <w:u w:val="single"/>
          <w:rtl/>
          <w:lang w:bidi="ar-EG"/>
        </w:rPr>
        <w:t>التمويل عن طريق الاقتراض الخارجي:</w:t>
      </w:r>
    </w:p>
    <w:p w14:paraId="4871600F" w14:textId="77777777" w:rsidR="002959BC" w:rsidRDefault="002959BC" w:rsidP="002959BC">
      <w:pPr>
        <w:pStyle w:val="ListParagraph"/>
        <w:spacing w:after="0" w:line="240" w:lineRule="auto"/>
        <w:contextualSpacing w:val="0"/>
        <w:jc w:val="both"/>
        <w:rPr>
          <w:rFonts w:ascii="Simplified Arabic" w:hAnsi="Simplified Arabic" w:cs="Simplified Arabic"/>
          <w:sz w:val="28"/>
          <w:szCs w:val="28"/>
          <w:rtl/>
          <w:lang w:bidi="ar-EG"/>
        </w:rPr>
      </w:pPr>
      <w:r w:rsidRPr="005F470C">
        <w:rPr>
          <w:rFonts w:ascii="Simplified Arabic" w:hAnsi="Simplified Arabic" w:cs="Simplified Arabic"/>
          <w:sz w:val="28"/>
          <w:szCs w:val="28"/>
          <w:rtl/>
          <w:lang w:bidi="ar-EG"/>
        </w:rPr>
        <w:t>يتمثل الاقتراض الخارجي في قيام الحكومة بالاقتراض من غير المقيمين سواء من الهيئات والمؤسسات الدولية، والبنوك التجارية الأجنبية، والدول الأخرى أو عن طريق إصدار سندات لغير المقيمين، ويتمثل العنصر الحاكم لاستخدام هذا العنصر في الاقتدار المالي للدولة الطالبة للقرض، حيث كلما زادت الجدارة الائتمانية للدولة كلما زادت الأموال المتاحة أمامها وقلت أسعار الفائدة، وذلك بسبب ثقة المقرضين في قدرتها على السداد، والعكس صحيح بالنسبة للدول التي تعاني من انخفاض في جدارتها الائتمانية، وتتمثل مصادر الاقتراض الخارجي وآثرها على التضخم في الآتي:</w:t>
      </w:r>
    </w:p>
    <w:p w14:paraId="407F092C" w14:textId="77777777" w:rsidR="002959BC" w:rsidRPr="005F470C" w:rsidRDefault="002959BC" w:rsidP="002959BC">
      <w:pPr>
        <w:pStyle w:val="ListParagraph"/>
        <w:spacing w:after="0" w:line="240" w:lineRule="auto"/>
        <w:contextualSpacing w:val="0"/>
        <w:jc w:val="both"/>
        <w:rPr>
          <w:rFonts w:ascii="Simplified Arabic" w:hAnsi="Simplified Arabic" w:cs="Simplified Arabic"/>
          <w:rtl/>
          <w:lang w:bidi="ar-EG"/>
        </w:rPr>
      </w:pPr>
    </w:p>
    <w:p w14:paraId="648FC223" w14:textId="77777777" w:rsidR="002959BC" w:rsidRPr="006904A4" w:rsidRDefault="002959BC" w:rsidP="0041332D">
      <w:pPr>
        <w:pStyle w:val="ListParagraph"/>
        <w:numPr>
          <w:ilvl w:val="0"/>
          <w:numId w:val="25"/>
        </w:numPr>
        <w:spacing w:after="0" w:line="240" w:lineRule="auto"/>
        <w:ind w:left="1134" w:hanging="425"/>
        <w:contextualSpacing w:val="0"/>
        <w:jc w:val="both"/>
        <w:rPr>
          <w:rFonts w:ascii="Simplified Arabic" w:hAnsi="Simplified Arabic" w:cs="Simplified Arabic"/>
          <w:b/>
          <w:bCs/>
          <w:sz w:val="28"/>
          <w:szCs w:val="28"/>
          <w:u w:val="single"/>
          <w:lang w:bidi="ar-EG"/>
        </w:rPr>
      </w:pPr>
      <w:r w:rsidRPr="006904A4">
        <w:rPr>
          <w:rFonts w:ascii="Simplified Arabic" w:hAnsi="Simplified Arabic" w:cs="Simplified Arabic"/>
          <w:b/>
          <w:bCs/>
          <w:sz w:val="28"/>
          <w:szCs w:val="28"/>
          <w:u w:val="single"/>
          <w:rtl/>
          <w:lang w:bidi="ar-EG"/>
        </w:rPr>
        <w:t>الاقتراض من الهيئات والمؤسسات الدولية:</w:t>
      </w:r>
    </w:p>
    <w:p w14:paraId="7A179ACB" w14:textId="77777777" w:rsidR="002959BC" w:rsidRPr="005F470C" w:rsidRDefault="002959BC" w:rsidP="002959BC">
      <w:pPr>
        <w:pStyle w:val="ListParagraph"/>
        <w:spacing w:after="0" w:line="240" w:lineRule="auto"/>
        <w:ind w:left="1080"/>
        <w:contextualSpacing w:val="0"/>
        <w:jc w:val="both"/>
        <w:rPr>
          <w:rFonts w:ascii="Simplified Arabic" w:hAnsi="Simplified Arabic" w:cs="Simplified Arabic"/>
          <w:sz w:val="28"/>
          <w:szCs w:val="28"/>
          <w:vertAlign w:val="superscript"/>
          <w:rtl/>
          <w:lang w:bidi="ar-EG"/>
        </w:rPr>
      </w:pPr>
      <w:r w:rsidRPr="005F470C">
        <w:rPr>
          <w:rFonts w:ascii="Simplified Arabic" w:hAnsi="Simplified Arabic" w:cs="Simplified Arabic"/>
          <w:sz w:val="28"/>
          <w:szCs w:val="28"/>
          <w:rtl/>
          <w:lang w:bidi="ar-EG"/>
        </w:rPr>
        <w:t xml:space="preserve">لعل من أبرز الدوافع التي تدفع الدول للاستدانة الخارجية لتمويل عجز الموازنة العامة بها أو لتمويل المشروعات العامة هو قصور التمويل المحلي عن الوفاء باحتياجات تلك الدولة، وكذا الإغراءات الخارجية المتمثلة في قيام المؤسسات والهيئات الدولية مثل صندوق النقد الدولي والبنك الدولي وغيرها بتقديم قروض بأسعار فائدة منخفضة </w:t>
      </w:r>
      <w:r w:rsidRPr="005F470C">
        <w:rPr>
          <w:rFonts w:ascii="Simplified Arabic" w:hAnsi="Simplified Arabic" w:cs="Simplified Arabic"/>
          <w:sz w:val="28"/>
          <w:szCs w:val="28"/>
          <w:vertAlign w:val="superscript"/>
          <w:rtl/>
          <w:lang w:bidi="ar-EG"/>
        </w:rPr>
        <w:t>(</w:t>
      </w:r>
      <w:r w:rsidRPr="005F470C">
        <w:rPr>
          <w:rFonts w:ascii="Simplified Arabic" w:hAnsi="Simplified Arabic" w:cs="Simplified Arabic"/>
          <w:sz w:val="28"/>
          <w:szCs w:val="28"/>
          <w:vertAlign w:val="superscript"/>
          <w:rtl/>
          <w:lang w:bidi="ar-EG"/>
        </w:rPr>
        <w:footnoteReference w:id="65"/>
      </w:r>
      <w:r w:rsidRPr="005F470C">
        <w:rPr>
          <w:rFonts w:ascii="Simplified Arabic" w:hAnsi="Simplified Arabic" w:cs="Simplified Arabic"/>
          <w:sz w:val="28"/>
          <w:szCs w:val="28"/>
          <w:vertAlign w:val="superscript"/>
          <w:rtl/>
          <w:lang w:bidi="ar-EG"/>
        </w:rPr>
        <w:t xml:space="preserve">) </w:t>
      </w:r>
      <w:r w:rsidRPr="005F470C">
        <w:rPr>
          <w:rFonts w:ascii="Simplified Arabic" w:hAnsi="Simplified Arabic" w:cs="Simplified Arabic"/>
          <w:sz w:val="28"/>
          <w:szCs w:val="28"/>
          <w:rtl/>
          <w:lang w:bidi="ar-EG"/>
        </w:rPr>
        <w:t>وفترات سداد طويلة نسبياً، وفترات سماح قد تمتد لخمس سنوات، كما تقدم تلك المؤسسات دراسات جدوى مجانية لبعض المشروعات كما تقدم دعم فني أثناء عمليتي إنشاء وتشغيل المشروعات العامة التي تقوم بتمويلها.</w:t>
      </w:r>
    </w:p>
    <w:p w14:paraId="769A5507" w14:textId="77777777" w:rsidR="002959BC" w:rsidRPr="005F470C" w:rsidRDefault="002959BC" w:rsidP="002959BC">
      <w:pPr>
        <w:pStyle w:val="ListParagraph"/>
        <w:spacing w:after="0" w:line="240" w:lineRule="auto"/>
        <w:ind w:left="1080"/>
        <w:contextualSpacing w:val="0"/>
        <w:jc w:val="both"/>
        <w:rPr>
          <w:rFonts w:ascii="Simplified Arabic" w:hAnsi="Simplified Arabic" w:cs="Simplified Arabic"/>
          <w:sz w:val="28"/>
          <w:szCs w:val="28"/>
          <w:rtl/>
          <w:lang w:bidi="ar-EG"/>
        </w:rPr>
      </w:pPr>
    </w:p>
    <w:p w14:paraId="19BCF457" w14:textId="77777777" w:rsidR="002959BC" w:rsidRPr="005F470C" w:rsidRDefault="002959BC" w:rsidP="002959BC">
      <w:pPr>
        <w:pStyle w:val="ListParagraph"/>
        <w:spacing w:after="0" w:line="240" w:lineRule="auto"/>
        <w:ind w:left="1080"/>
        <w:contextualSpacing w:val="0"/>
        <w:jc w:val="both"/>
        <w:rPr>
          <w:rFonts w:ascii="Simplified Arabic" w:hAnsi="Simplified Arabic" w:cs="Simplified Arabic"/>
          <w:sz w:val="28"/>
          <w:szCs w:val="28"/>
          <w:rtl/>
          <w:lang w:bidi="ar-EG"/>
        </w:rPr>
      </w:pPr>
      <w:r w:rsidRPr="005F470C">
        <w:rPr>
          <w:rFonts w:ascii="Simplified Arabic" w:hAnsi="Simplified Arabic" w:cs="Simplified Arabic"/>
          <w:sz w:val="28"/>
          <w:szCs w:val="28"/>
          <w:rtl/>
          <w:lang w:bidi="ar-EG"/>
        </w:rPr>
        <w:t>إلا أن ذلك الاقتراض غالباً ما يكون مرتبطاً بتنفيذ الدول المقترضة لبرامج اقتصادية تضعها لها تلك المؤسسات الدولية</w:t>
      </w:r>
      <w:r w:rsidRPr="005F470C">
        <w:rPr>
          <w:rFonts w:ascii="Simplified Arabic" w:hAnsi="Simplified Arabic" w:cs="Simplified Arabic"/>
          <w:sz w:val="28"/>
          <w:szCs w:val="28"/>
          <w:vertAlign w:val="superscript"/>
          <w:rtl/>
          <w:lang w:bidi="ar-EG"/>
        </w:rPr>
        <w:t xml:space="preserve"> </w:t>
      </w:r>
      <w:r w:rsidRPr="005F470C">
        <w:rPr>
          <w:rFonts w:ascii="Simplified Arabic" w:hAnsi="Simplified Arabic" w:cs="Simplified Arabic"/>
          <w:sz w:val="28"/>
          <w:szCs w:val="28"/>
          <w:rtl/>
          <w:lang w:bidi="ar-EG"/>
        </w:rPr>
        <w:t xml:space="preserve">وفي بعض الأحيان لا تنجح مثل هذه البرامج في إصلاح المالية </w:t>
      </w:r>
      <w:r w:rsidRPr="005F470C">
        <w:rPr>
          <w:rFonts w:ascii="Simplified Arabic" w:hAnsi="Simplified Arabic" w:cs="Simplified Arabic"/>
          <w:sz w:val="28"/>
          <w:szCs w:val="28"/>
          <w:rtl/>
          <w:lang w:bidi="ar-EG"/>
        </w:rPr>
        <w:lastRenderedPageBreak/>
        <w:t>العامة أو تحقيق التنمية الاقتصادية المتوقعة منها، كما أن هذه البرامج أدت في بعض البلاد إلى حدوث أزمات اقتصادية واضطرابات اجتماعية ضخمة.</w:t>
      </w:r>
    </w:p>
    <w:p w14:paraId="00F67EC2" w14:textId="77777777" w:rsidR="002959BC" w:rsidRPr="005F470C" w:rsidRDefault="002959BC" w:rsidP="002959BC">
      <w:pPr>
        <w:pStyle w:val="ListParagraph"/>
        <w:spacing w:after="0" w:line="240" w:lineRule="auto"/>
        <w:ind w:left="1080"/>
        <w:contextualSpacing w:val="0"/>
        <w:jc w:val="both"/>
        <w:rPr>
          <w:rFonts w:ascii="Simplified Arabic" w:hAnsi="Simplified Arabic" w:cs="Simplified Arabic"/>
          <w:sz w:val="28"/>
          <w:szCs w:val="28"/>
          <w:rtl/>
          <w:lang w:bidi="ar-EG"/>
        </w:rPr>
      </w:pPr>
    </w:p>
    <w:p w14:paraId="0B698117" w14:textId="77777777" w:rsidR="002959BC" w:rsidRPr="006904A4" w:rsidRDefault="002959BC" w:rsidP="0041332D">
      <w:pPr>
        <w:pStyle w:val="ListParagraph"/>
        <w:numPr>
          <w:ilvl w:val="0"/>
          <w:numId w:val="25"/>
        </w:numPr>
        <w:spacing w:after="0" w:line="240" w:lineRule="auto"/>
        <w:ind w:left="1134" w:hanging="425"/>
        <w:contextualSpacing w:val="0"/>
        <w:jc w:val="both"/>
        <w:rPr>
          <w:rFonts w:ascii="Simplified Arabic" w:hAnsi="Simplified Arabic" w:cs="Simplified Arabic"/>
          <w:b/>
          <w:bCs/>
          <w:sz w:val="28"/>
          <w:szCs w:val="28"/>
          <w:u w:val="single"/>
          <w:rtl/>
          <w:lang w:bidi="ar-EG"/>
        </w:rPr>
      </w:pPr>
      <w:r w:rsidRPr="006904A4">
        <w:rPr>
          <w:rFonts w:ascii="Simplified Arabic" w:hAnsi="Simplified Arabic" w:cs="Simplified Arabic"/>
          <w:b/>
          <w:bCs/>
          <w:sz w:val="28"/>
          <w:szCs w:val="28"/>
          <w:u w:val="single"/>
          <w:rtl/>
          <w:lang w:bidi="ar-EG"/>
        </w:rPr>
        <w:t>الاقتراض من البنوك التجارية الأجنبية:</w:t>
      </w:r>
    </w:p>
    <w:p w14:paraId="698A1410" w14:textId="77777777" w:rsidR="002959BC" w:rsidRPr="005F470C" w:rsidRDefault="002959BC" w:rsidP="002959BC">
      <w:pPr>
        <w:pStyle w:val="ListParagraph"/>
        <w:spacing w:after="0" w:line="240" w:lineRule="auto"/>
        <w:ind w:left="1080"/>
        <w:contextualSpacing w:val="0"/>
        <w:jc w:val="both"/>
        <w:rPr>
          <w:rFonts w:ascii="Simplified Arabic" w:hAnsi="Simplified Arabic" w:cs="Simplified Arabic"/>
          <w:sz w:val="28"/>
          <w:szCs w:val="28"/>
          <w:rtl/>
          <w:lang w:bidi="ar-EG"/>
        </w:rPr>
      </w:pPr>
      <w:r w:rsidRPr="005F470C">
        <w:rPr>
          <w:rFonts w:ascii="Simplified Arabic" w:hAnsi="Simplified Arabic" w:cs="Simplified Arabic"/>
          <w:sz w:val="28"/>
          <w:szCs w:val="28"/>
          <w:rtl/>
          <w:lang w:bidi="ar-EG"/>
        </w:rPr>
        <w:t>كما تُقدم بعض الدول على الاقتراض من البنوك التجارية الأجنبية لتمويل عجز الموازنة، إلا أن الاقتراض في هذه الحالة يتم وفقاً لأسعار الفائدة السائدة في السوق وربما بأسعار فائدة أعلى وذلك حسب التصنيف الائتماني للدولة الراغبة في الاقتراض، كما أن فترات السماح والسداد تكون قصيرة، وهو ما لا يتناسب مع حاجة الدولة إلى القروض الإنمائية والتي لا تؤتي ثمارها إلا في المدى الطويل.</w:t>
      </w:r>
      <w:r w:rsidRPr="005F470C">
        <w:rPr>
          <w:rFonts w:ascii="Simplified Arabic" w:hAnsi="Simplified Arabic" w:cs="Simplified Arabic"/>
          <w:sz w:val="28"/>
          <w:szCs w:val="28"/>
          <w:vertAlign w:val="superscript"/>
          <w:rtl/>
          <w:lang w:bidi="ar-EG"/>
        </w:rPr>
        <w:t xml:space="preserve"> (</w:t>
      </w:r>
      <w:r w:rsidRPr="005F470C">
        <w:rPr>
          <w:rFonts w:ascii="Simplified Arabic" w:hAnsi="Simplified Arabic" w:cs="Simplified Arabic"/>
          <w:sz w:val="28"/>
          <w:szCs w:val="28"/>
          <w:vertAlign w:val="superscript"/>
          <w:rtl/>
          <w:lang w:bidi="ar-EG"/>
        </w:rPr>
        <w:footnoteReference w:id="66"/>
      </w:r>
      <w:r w:rsidRPr="005F470C">
        <w:rPr>
          <w:rFonts w:ascii="Simplified Arabic" w:hAnsi="Simplified Arabic" w:cs="Simplified Arabic"/>
          <w:sz w:val="28"/>
          <w:szCs w:val="28"/>
          <w:vertAlign w:val="superscript"/>
          <w:rtl/>
          <w:lang w:bidi="ar-EG"/>
        </w:rPr>
        <w:t xml:space="preserve">)  </w:t>
      </w:r>
      <w:r w:rsidRPr="005F470C">
        <w:rPr>
          <w:rFonts w:ascii="Simplified Arabic" w:hAnsi="Simplified Arabic" w:cs="Simplified Arabic"/>
          <w:sz w:val="28"/>
          <w:szCs w:val="28"/>
          <w:vertAlign w:val="superscript"/>
          <w:rtl/>
          <w:lang w:bidi="ar-EG"/>
        </w:rPr>
        <w:tab/>
        <w:t xml:space="preserve"> </w:t>
      </w:r>
      <w:r w:rsidRPr="005F470C">
        <w:rPr>
          <w:rFonts w:ascii="Simplified Arabic" w:hAnsi="Simplified Arabic" w:cs="Simplified Arabic"/>
          <w:sz w:val="28"/>
          <w:szCs w:val="28"/>
          <w:vertAlign w:val="superscript"/>
          <w:rtl/>
          <w:lang w:bidi="ar-EG"/>
        </w:rPr>
        <w:tab/>
      </w:r>
    </w:p>
    <w:p w14:paraId="7130A4CE" w14:textId="77777777" w:rsidR="002959BC" w:rsidRPr="005F470C" w:rsidRDefault="002959BC" w:rsidP="002959BC">
      <w:pPr>
        <w:pStyle w:val="ListParagraph"/>
        <w:spacing w:after="0" w:line="240" w:lineRule="auto"/>
        <w:ind w:left="1077"/>
        <w:contextualSpacing w:val="0"/>
        <w:jc w:val="both"/>
        <w:rPr>
          <w:rFonts w:ascii="Simplified Arabic" w:hAnsi="Simplified Arabic" w:cs="Simplified Arabic"/>
          <w:sz w:val="28"/>
          <w:szCs w:val="28"/>
          <w:rtl/>
          <w:lang w:bidi="ar-EG"/>
        </w:rPr>
      </w:pPr>
    </w:p>
    <w:p w14:paraId="722F6613" w14:textId="77777777" w:rsidR="002959BC" w:rsidRPr="006904A4" w:rsidRDefault="002959BC" w:rsidP="0041332D">
      <w:pPr>
        <w:pStyle w:val="ListParagraph"/>
        <w:numPr>
          <w:ilvl w:val="0"/>
          <w:numId w:val="25"/>
        </w:numPr>
        <w:spacing w:after="0" w:line="240" w:lineRule="auto"/>
        <w:ind w:left="1134" w:hanging="425"/>
        <w:contextualSpacing w:val="0"/>
        <w:jc w:val="both"/>
        <w:rPr>
          <w:rFonts w:ascii="Simplified Arabic" w:hAnsi="Simplified Arabic" w:cs="Simplified Arabic"/>
          <w:b/>
          <w:bCs/>
          <w:sz w:val="28"/>
          <w:szCs w:val="28"/>
          <w:u w:val="single"/>
          <w:rtl/>
          <w:lang w:bidi="ar-EG"/>
        </w:rPr>
      </w:pPr>
      <w:r w:rsidRPr="006904A4">
        <w:rPr>
          <w:rFonts w:ascii="Simplified Arabic" w:hAnsi="Simplified Arabic" w:cs="Simplified Arabic"/>
          <w:b/>
          <w:bCs/>
          <w:sz w:val="28"/>
          <w:szCs w:val="28"/>
          <w:u w:val="single"/>
          <w:rtl/>
          <w:lang w:bidi="ar-EG"/>
        </w:rPr>
        <w:t>الاقتراض من الدول الأخرى:</w:t>
      </w:r>
    </w:p>
    <w:p w14:paraId="1F6BCED5" w14:textId="77777777" w:rsidR="002959BC" w:rsidRPr="005F470C" w:rsidRDefault="002959BC" w:rsidP="002959BC">
      <w:pPr>
        <w:pStyle w:val="ListParagraph"/>
        <w:spacing w:after="0" w:line="240" w:lineRule="auto"/>
        <w:ind w:left="1080"/>
        <w:contextualSpacing w:val="0"/>
        <w:jc w:val="both"/>
        <w:rPr>
          <w:rFonts w:ascii="Simplified Arabic" w:hAnsi="Simplified Arabic" w:cs="Simplified Arabic"/>
          <w:sz w:val="28"/>
          <w:szCs w:val="28"/>
          <w:rtl/>
          <w:lang w:bidi="ar-EG"/>
        </w:rPr>
      </w:pPr>
      <w:r w:rsidRPr="005F470C">
        <w:rPr>
          <w:rFonts w:ascii="Simplified Arabic" w:hAnsi="Simplified Arabic" w:cs="Simplified Arabic"/>
          <w:sz w:val="28"/>
          <w:szCs w:val="28"/>
          <w:rtl/>
          <w:lang w:bidi="ar-EG"/>
        </w:rPr>
        <w:t xml:space="preserve">وقد يتأتى الاقتراض الخارجي من دول أخرى ترتبط بها بعلاقات سياسية وثيقة وغالباً ما تقوم الدولة المقرضة بتقديم تلك القروض لأهداف سياسية بحتة بغرض تدعيم الموقف الاقتصادي للدولة المقترضة لأنها تشكل حليفاً وراعياً لمصالح الدولة المقرضة، ويكون هذا النوع من القروض على شكل قروض ميسرة للغاية، كما قد يكون هذا الاقتراض في صورة منتجات وسلع عينية وليست نقدية. </w:t>
      </w:r>
    </w:p>
    <w:p w14:paraId="05EA7276" w14:textId="77777777" w:rsidR="002959BC" w:rsidRPr="005F470C" w:rsidRDefault="002959BC" w:rsidP="002959BC">
      <w:pPr>
        <w:pStyle w:val="ListParagraph"/>
        <w:spacing w:after="0" w:line="240" w:lineRule="auto"/>
        <w:ind w:left="1080"/>
        <w:contextualSpacing w:val="0"/>
        <w:jc w:val="both"/>
        <w:rPr>
          <w:rFonts w:ascii="Simplified Arabic" w:hAnsi="Simplified Arabic" w:cs="Simplified Arabic"/>
          <w:sz w:val="28"/>
          <w:szCs w:val="28"/>
          <w:rtl/>
          <w:lang w:bidi="ar-EG"/>
        </w:rPr>
      </w:pPr>
    </w:p>
    <w:p w14:paraId="0E35CB5F" w14:textId="77777777" w:rsidR="002959BC" w:rsidRPr="005F470C" w:rsidRDefault="002959BC" w:rsidP="002959BC">
      <w:pPr>
        <w:pStyle w:val="ListParagraph"/>
        <w:spacing w:after="0" w:line="240" w:lineRule="auto"/>
        <w:contextualSpacing w:val="0"/>
        <w:jc w:val="both"/>
        <w:rPr>
          <w:rFonts w:ascii="Simplified Arabic" w:hAnsi="Simplified Arabic" w:cs="Simplified Arabic"/>
          <w:sz w:val="28"/>
          <w:szCs w:val="28"/>
          <w:vertAlign w:val="superscript"/>
          <w:rtl/>
          <w:lang w:bidi="ar-EG"/>
        </w:rPr>
      </w:pPr>
      <w:r w:rsidRPr="005F470C">
        <w:rPr>
          <w:rFonts w:ascii="Simplified Arabic" w:hAnsi="Simplified Arabic" w:cs="Simplified Arabic"/>
          <w:sz w:val="28"/>
          <w:szCs w:val="28"/>
          <w:rtl/>
          <w:lang w:bidi="ar-EG"/>
        </w:rPr>
        <w:t xml:space="preserve">ومن المهم الإشارة إلى أن تمويل عجز الموازنة الممول بالاقتراض الخارجي يحتاج إلى أن يتم تقييمه في إطار وضع الدين الخارجي للدولة واحتمالات أوضاع ميزان المدفوعات في الأجل المتوسط، والشروط التي يتم وفقاً لها الاقتراض، والاستخدامات التي يمكن أن يوجه إليها مثل هذا الاقتراض من الخارج. </w:t>
      </w:r>
      <w:r w:rsidRPr="005F470C">
        <w:rPr>
          <w:rFonts w:ascii="Simplified Arabic" w:hAnsi="Simplified Arabic" w:cs="Simplified Arabic"/>
          <w:sz w:val="28"/>
          <w:szCs w:val="28"/>
          <w:vertAlign w:val="superscript"/>
          <w:rtl/>
          <w:lang w:bidi="ar-EG"/>
        </w:rPr>
        <w:t>(</w:t>
      </w:r>
      <w:r w:rsidRPr="005F470C">
        <w:rPr>
          <w:rFonts w:ascii="Simplified Arabic" w:hAnsi="Simplified Arabic" w:cs="Simplified Arabic"/>
          <w:sz w:val="28"/>
          <w:szCs w:val="28"/>
          <w:vertAlign w:val="superscript"/>
          <w:rtl/>
          <w:lang w:bidi="ar-EG"/>
        </w:rPr>
        <w:footnoteReference w:id="67"/>
      </w:r>
      <w:r w:rsidRPr="005F470C">
        <w:rPr>
          <w:rFonts w:ascii="Simplified Arabic" w:hAnsi="Simplified Arabic" w:cs="Simplified Arabic"/>
          <w:sz w:val="28"/>
          <w:szCs w:val="28"/>
          <w:vertAlign w:val="superscript"/>
          <w:rtl/>
          <w:lang w:bidi="ar-EG"/>
        </w:rPr>
        <w:t>)</w:t>
      </w:r>
    </w:p>
    <w:p w14:paraId="40C7BF52" w14:textId="77777777" w:rsidR="002959BC" w:rsidRPr="005F470C" w:rsidRDefault="002959BC" w:rsidP="002959BC">
      <w:pPr>
        <w:pStyle w:val="ListParagraph"/>
        <w:spacing w:after="0" w:line="240" w:lineRule="auto"/>
        <w:contextualSpacing w:val="0"/>
        <w:jc w:val="both"/>
        <w:rPr>
          <w:rFonts w:ascii="Simplified Arabic" w:hAnsi="Simplified Arabic" w:cs="Simplified Arabic"/>
          <w:sz w:val="28"/>
          <w:szCs w:val="28"/>
          <w:vertAlign w:val="superscript"/>
          <w:rtl/>
          <w:lang w:bidi="ar-EG"/>
        </w:rPr>
      </w:pPr>
    </w:p>
    <w:p w14:paraId="4A039563" w14:textId="77777777" w:rsidR="002959BC" w:rsidRPr="005F470C" w:rsidRDefault="002959BC" w:rsidP="002959BC">
      <w:pPr>
        <w:pStyle w:val="ListParagraph"/>
        <w:spacing w:after="0" w:line="240" w:lineRule="auto"/>
        <w:contextualSpacing w:val="0"/>
        <w:jc w:val="both"/>
        <w:rPr>
          <w:rFonts w:ascii="Simplified Arabic" w:hAnsi="Simplified Arabic" w:cs="Simplified Arabic"/>
          <w:sz w:val="28"/>
          <w:szCs w:val="28"/>
          <w:rtl/>
          <w:lang w:bidi="ar-EG"/>
        </w:rPr>
      </w:pPr>
      <w:r w:rsidRPr="005F470C">
        <w:rPr>
          <w:rFonts w:ascii="Simplified Arabic" w:hAnsi="Simplified Arabic" w:cs="Simplified Arabic"/>
          <w:sz w:val="28"/>
          <w:szCs w:val="28"/>
          <w:rtl/>
          <w:lang w:bidi="ar-EG"/>
        </w:rPr>
        <w:t xml:space="preserve">كما أن ارتفاع المديونية وازدياد عبء خدمتها (أي عبء دفع أقساط الديون وفوائدها) عاجلاً أو آجلاً يضعف من القدرة على الاستثمار ومن ثم على معدل نمو الناتج الإجمالي ومتوسط الدخل، وكذلك يضعف القدرة على تصحيح الهيكل الإنتاجي بتوجيه مزيد من الاستثمارات إلى قطاع الصناعة التحويلية </w:t>
      </w:r>
      <w:r w:rsidRPr="005F470C">
        <w:rPr>
          <w:rFonts w:ascii="Simplified Arabic" w:hAnsi="Simplified Arabic" w:cs="Simplified Arabic"/>
          <w:sz w:val="28"/>
          <w:szCs w:val="28"/>
          <w:vertAlign w:val="superscript"/>
          <w:rtl/>
          <w:lang w:bidi="ar-EG"/>
        </w:rPr>
        <w:t>(</w:t>
      </w:r>
      <w:r w:rsidRPr="005F470C">
        <w:rPr>
          <w:rFonts w:ascii="Simplified Arabic" w:hAnsi="Simplified Arabic" w:cs="Simplified Arabic"/>
          <w:sz w:val="28"/>
          <w:szCs w:val="28"/>
          <w:vertAlign w:val="superscript"/>
          <w:rtl/>
          <w:lang w:bidi="ar-EG"/>
        </w:rPr>
        <w:footnoteReference w:id="68"/>
      </w:r>
      <w:r w:rsidRPr="005F470C">
        <w:rPr>
          <w:rFonts w:ascii="Simplified Arabic" w:hAnsi="Simplified Arabic" w:cs="Simplified Arabic"/>
          <w:sz w:val="28"/>
          <w:szCs w:val="28"/>
          <w:vertAlign w:val="superscript"/>
          <w:rtl/>
          <w:lang w:bidi="ar-EG"/>
        </w:rPr>
        <w:t>)</w:t>
      </w:r>
      <w:r w:rsidRPr="005F470C">
        <w:rPr>
          <w:rFonts w:ascii="Simplified Arabic" w:hAnsi="Simplified Arabic" w:cs="Simplified Arabic"/>
          <w:sz w:val="28"/>
          <w:szCs w:val="28"/>
          <w:rtl/>
          <w:lang w:bidi="ar-EG"/>
        </w:rPr>
        <w:t>، وبالتالي فإن المديونيات المرتفعة سوف تؤدي في النهاية إلى الإخفاق في تحقيق الأهداف التي تطمح إلى تحقيقها السياسة الاقتصادية.</w:t>
      </w:r>
    </w:p>
    <w:p w14:paraId="0686E6B0" w14:textId="77777777" w:rsidR="002959BC" w:rsidRPr="005F470C" w:rsidRDefault="002959BC" w:rsidP="002959BC">
      <w:pPr>
        <w:pStyle w:val="ListParagraph"/>
        <w:spacing w:after="0" w:line="240" w:lineRule="auto"/>
        <w:contextualSpacing w:val="0"/>
        <w:jc w:val="both"/>
        <w:rPr>
          <w:rFonts w:ascii="Simplified Arabic" w:hAnsi="Simplified Arabic" w:cs="Simplified Arabic"/>
          <w:sz w:val="28"/>
          <w:szCs w:val="28"/>
          <w:rtl/>
          <w:lang w:bidi="ar-EG"/>
        </w:rPr>
      </w:pPr>
    </w:p>
    <w:p w14:paraId="004C9AC0" w14:textId="77777777" w:rsidR="002959BC" w:rsidRPr="005F470C" w:rsidRDefault="002959BC" w:rsidP="002959BC">
      <w:pPr>
        <w:pStyle w:val="ListParagraph"/>
        <w:spacing w:after="0" w:line="240" w:lineRule="auto"/>
        <w:ind w:left="708"/>
        <w:contextualSpacing w:val="0"/>
        <w:jc w:val="both"/>
        <w:rPr>
          <w:rFonts w:ascii="Simplified Arabic" w:hAnsi="Simplified Arabic" w:cs="Simplified Arabic"/>
          <w:sz w:val="28"/>
          <w:szCs w:val="28"/>
          <w:u w:val="single"/>
          <w:rtl/>
          <w:lang w:bidi="ar-EG"/>
        </w:rPr>
      </w:pPr>
      <w:r w:rsidRPr="005F470C">
        <w:rPr>
          <w:rFonts w:ascii="Simplified Arabic" w:hAnsi="Simplified Arabic" w:cs="Simplified Arabic"/>
          <w:sz w:val="28"/>
          <w:szCs w:val="28"/>
          <w:u w:val="single"/>
          <w:rtl/>
          <w:lang w:bidi="ar-EG"/>
        </w:rPr>
        <w:lastRenderedPageBreak/>
        <w:t>أثر الاقتراض الخارجي على التضخم:</w:t>
      </w:r>
    </w:p>
    <w:p w14:paraId="15D95CB1" w14:textId="77777777" w:rsidR="002959BC" w:rsidRPr="005F470C" w:rsidRDefault="002959BC" w:rsidP="002959BC">
      <w:pPr>
        <w:pStyle w:val="ListParagraph"/>
        <w:spacing w:after="0" w:line="240" w:lineRule="auto"/>
        <w:ind w:left="992"/>
        <w:contextualSpacing w:val="0"/>
        <w:jc w:val="both"/>
        <w:rPr>
          <w:rFonts w:ascii="Simplified Arabic" w:hAnsi="Simplified Arabic" w:cs="Simplified Arabic"/>
          <w:sz w:val="28"/>
          <w:szCs w:val="28"/>
          <w:rtl/>
          <w:lang w:bidi="ar-EG"/>
        </w:rPr>
      </w:pPr>
      <w:r w:rsidRPr="005F470C">
        <w:rPr>
          <w:rFonts w:ascii="Simplified Arabic" w:hAnsi="Simplified Arabic" w:cs="Simplified Arabic"/>
          <w:sz w:val="28"/>
          <w:szCs w:val="28"/>
          <w:rtl/>
          <w:lang w:bidi="ar-EG"/>
        </w:rPr>
        <w:t>هناك عدة قنوات ينتقل من خلالها أثر الاقتراض الخارجي إلى معدلات التضخم، وهي:</w:t>
      </w:r>
    </w:p>
    <w:p w14:paraId="4EC5BAD5" w14:textId="77777777" w:rsidR="002959BC" w:rsidRPr="005F470C" w:rsidRDefault="002959BC" w:rsidP="002959BC">
      <w:pPr>
        <w:pStyle w:val="ListParagraph"/>
        <w:spacing w:after="0" w:line="240" w:lineRule="auto"/>
        <w:contextualSpacing w:val="0"/>
        <w:jc w:val="both"/>
        <w:rPr>
          <w:rFonts w:ascii="Simplified Arabic" w:hAnsi="Simplified Arabic" w:cs="Simplified Arabic"/>
          <w:sz w:val="28"/>
          <w:szCs w:val="28"/>
          <w:rtl/>
          <w:lang w:bidi="ar-EG"/>
        </w:rPr>
      </w:pPr>
    </w:p>
    <w:p w14:paraId="129D5EFF" w14:textId="77777777" w:rsidR="002959BC" w:rsidRPr="005F470C" w:rsidRDefault="002959BC" w:rsidP="0041332D">
      <w:pPr>
        <w:pStyle w:val="ListParagraph"/>
        <w:numPr>
          <w:ilvl w:val="0"/>
          <w:numId w:val="30"/>
        </w:numPr>
        <w:spacing w:after="0" w:line="240" w:lineRule="auto"/>
        <w:ind w:left="1417" w:hanging="357"/>
        <w:contextualSpacing w:val="0"/>
        <w:jc w:val="both"/>
        <w:rPr>
          <w:rFonts w:ascii="Simplified Arabic" w:hAnsi="Simplified Arabic" w:cs="Simplified Arabic"/>
          <w:sz w:val="28"/>
          <w:szCs w:val="28"/>
          <w:u w:val="single"/>
          <w:lang w:bidi="ar-EG"/>
        </w:rPr>
      </w:pPr>
      <w:r w:rsidRPr="005F470C">
        <w:rPr>
          <w:rFonts w:ascii="Simplified Arabic" w:hAnsi="Simplified Arabic" w:cs="Simplified Arabic"/>
          <w:sz w:val="28"/>
          <w:szCs w:val="28"/>
          <w:u w:val="single"/>
          <w:rtl/>
          <w:lang w:bidi="ar-EG"/>
        </w:rPr>
        <w:t xml:space="preserve">التأثير على حجم الطلب الكلي: </w:t>
      </w:r>
    </w:p>
    <w:p w14:paraId="3A520B9E" w14:textId="77777777" w:rsidR="002959BC" w:rsidRPr="005F470C" w:rsidRDefault="002959BC" w:rsidP="002959BC">
      <w:pPr>
        <w:pStyle w:val="ListParagraph"/>
        <w:spacing w:after="0" w:line="240" w:lineRule="auto"/>
        <w:ind w:left="1417"/>
        <w:contextualSpacing w:val="0"/>
        <w:jc w:val="both"/>
        <w:rPr>
          <w:rFonts w:ascii="Simplified Arabic" w:hAnsi="Simplified Arabic" w:cs="Simplified Arabic"/>
          <w:sz w:val="28"/>
          <w:szCs w:val="28"/>
          <w:rtl/>
          <w:lang w:bidi="ar-EG"/>
        </w:rPr>
      </w:pPr>
      <w:r w:rsidRPr="005F470C">
        <w:rPr>
          <w:rFonts w:ascii="Simplified Arabic" w:hAnsi="Simplified Arabic" w:cs="Simplified Arabic"/>
          <w:sz w:val="28"/>
          <w:szCs w:val="28"/>
          <w:rtl/>
          <w:lang w:bidi="ar-EG"/>
        </w:rPr>
        <w:t>حيث يؤدي الاقتراض الخارجي إلى توافر أموال إضافية لدى الحكومة مما يمكنها من زيادة الإنفاق والاستثمار الحكومي وهو ما سوف يعمل على زيادة الطلب الكلي مما يزيد معه معدلات التضخم الناجم عن جذب الطلب.</w:t>
      </w:r>
    </w:p>
    <w:p w14:paraId="789481F7" w14:textId="77777777" w:rsidR="002959BC" w:rsidRPr="005F470C" w:rsidRDefault="002959BC" w:rsidP="002959BC">
      <w:pPr>
        <w:jc w:val="both"/>
        <w:rPr>
          <w:rFonts w:ascii="Simplified Arabic" w:hAnsi="Simplified Arabic" w:cs="Simplified Arabic"/>
          <w:sz w:val="28"/>
          <w:szCs w:val="28"/>
          <w:rtl/>
          <w:lang w:bidi="ar-EG"/>
        </w:rPr>
      </w:pPr>
    </w:p>
    <w:p w14:paraId="744ACB33" w14:textId="77777777" w:rsidR="002959BC" w:rsidRPr="005F470C" w:rsidRDefault="002959BC" w:rsidP="0041332D">
      <w:pPr>
        <w:pStyle w:val="ListParagraph"/>
        <w:numPr>
          <w:ilvl w:val="0"/>
          <w:numId w:val="30"/>
        </w:numPr>
        <w:spacing w:after="0" w:line="240" w:lineRule="auto"/>
        <w:ind w:left="1417" w:hanging="357"/>
        <w:contextualSpacing w:val="0"/>
        <w:jc w:val="both"/>
        <w:rPr>
          <w:rFonts w:ascii="Simplified Arabic" w:hAnsi="Simplified Arabic" w:cs="Simplified Arabic"/>
          <w:sz w:val="28"/>
          <w:szCs w:val="28"/>
          <w:u w:val="single"/>
          <w:lang w:bidi="ar-EG"/>
        </w:rPr>
      </w:pPr>
      <w:r w:rsidRPr="005F470C">
        <w:rPr>
          <w:rFonts w:ascii="Simplified Arabic" w:hAnsi="Simplified Arabic" w:cs="Simplified Arabic"/>
          <w:sz w:val="28"/>
          <w:szCs w:val="28"/>
          <w:u w:val="single"/>
          <w:rtl/>
          <w:lang w:bidi="ar-EG"/>
        </w:rPr>
        <w:t>التأثير على سعر الصرف:</w:t>
      </w:r>
    </w:p>
    <w:p w14:paraId="74626813" w14:textId="77777777" w:rsidR="002959BC" w:rsidRDefault="002959BC" w:rsidP="002959BC">
      <w:pPr>
        <w:pStyle w:val="ListParagraph"/>
        <w:spacing w:after="0" w:line="240" w:lineRule="auto"/>
        <w:ind w:left="1417"/>
        <w:contextualSpacing w:val="0"/>
        <w:jc w:val="both"/>
        <w:rPr>
          <w:rFonts w:ascii="Simplified Arabic" w:hAnsi="Simplified Arabic" w:cs="Simplified Arabic"/>
          <w:sz w:val="28"/>
          <w:szCs w:val="28"/>
          <w:rtl/>
          <w:lang w:bidi="ar-EG"/>
        </w:rPr>
      </w:pPr>
      <w:r w:rsidRPr="005F470C">
        <w:rPr>
          <w:rFonts w:ascii="Simplified Arabic" w:hAnsi="Simplified Arabic" w:cs="Simplified Arabic"/>
          <w:sz w:val="28"/>
          <w:szCs w:val="28"/>
          <w:rtl/>
          <w:lang w:bidi="ar-EG"/>
        </w:rPr>
        <w:t>إن الاقتراض الخارجي غالباً ما يرتبط بتدهور سعر صرف العملة المحلية ما يؤدي إلى ظهور موجات تضخمية، وتختلف آلية التأثير وفقاً لنظام الصرف المتبع:</w:t>
      </w:r>
    </w:p>
    <w:p w14:paraId="7E3F872D" w14:textId="77777777" w:rsidR="002959BC" w:rsidRPr="005F470C" w:rsidRDefault="002959BC" w:rsidP="002959BC">
      <w:pPr>
        <w:pStyle w:val="ListParagraph"/>
        <w:spacing w:after="0" w:line="240" w:lineRule="auto"/>
        <w:ind w:left="1417"/>
        <w:contextualSpacing w:val="0"/>
        <w:jc w:val="both"/>
        <w:rPr>
          <w:rFonts w:ascii="Simplified Arabic" w:hAnsi="Simplified Arabic" w:cs="Simplified Arabic"/>
          <w:sz w:val="28"/>
          <w:szCs w:val="28"/>
          <w:rtl/>
          <w:lang w:bidi="ar-EG"/>
        </w:rPr>
      </w:pPr>
    </w:p>
    <w:p w14:paraId="6631C74D" w14:textId="77777777" w:rsidR="002959BC" w:rsidRDefault="002959BC" w:rsidP="0041332D">
      <w:pPr>
        <w:pStyle w:val="ListParagraph"/>
        <w:numPr>
          <w:ilvl w:val="0"/>
          <w:numId w:val="31"/>
        </w:numPr>
        <w:spacing w:after="0" w:line="240" w:lineRule="auto"/>
        <w:ind w:left="1701"/>
        <w:contextualSpacing w:val="0"/>
        <w:jc w:val="both"/>
        <w:rPr>
          <w:rFonts w:ascii="Simplified Arabic" w:hAnsi="Simplified Arabic" w:cs="Simplified Arabic"/>
          <w:sz w:val="28"/>
          <w:szCs w:val="28"/>
          <w:lang w:bidi="ar-EG"/>
        </w:rPr>
      </w:pPr>
      <w:r w:rsidRPr="005F470C">
        <w:rPr>
          <w:rFonts w:ascii="Simplified Arabic" w:hAnsi="Simplified Arabic" w:cs="Simplified Arabic"/>
          <w:sz w:val="28"/>
          <w:szCs w:val="28"/>
          <w:rtl/>
          <w:lang w:bidi="ar-EG"/>
        </w:rPr>
        <w:t>ففي ظل نظام الصرف الثابت فإن البنك المركزي سوف يضطر إلى زيادة القاعدة النقدية لمقابلة الزيادة في الاحتياطات الدولية المتأتية من الاقتراض الخارجي وهو ما يؤثر على زيادة معدلات التضخم.</w:t>
      </w:r>
    </w:p>
    <w:p w14:paraId="1EB7BBDA" w14:textId="77777777" w:rsidR="002959BC" w:rsidRPr="005F470C" w:rsidRDefault="002959BC" w:rsidP="002959BC">
      <w:pPr>
        <w:pStyle w:val="ListParagraph"/>
        <w:spacing w:after="0" w:line="240" w:lineRule="auto"/>
        <w:ind w:left="1701"/>
        <w:contextualSpacing w:val="0"/>
        <w:jc w:val="both"/>
        <w:rPr>
          <w:rFonts w:ascii="Simplified Arabic" w:hAnsi="Simplified Arabic" w:cs="Simplified Arabic"/>
          <w:sz w:val="28"/>
          <w:szCs w:val="28"/>
          <w:lang w:bidi="ar-EG"/>
        </w:rPr>
      </w:pPr>
    </w:p>
    <w:p w14:paraId="09AE5CBC" w14:textId="77777777" w:rsidR="002959BC" w:rsidRPr="005F470C" w:rsidRDefault="002959BC" w:rsidP="0041332D">
      <w:pPr>
        <w:pStyle w:val="ListParagraph"/>
        <w:numPr>
          <w:ilvl w:val="0"/>
          <w:numId w:val="31"/>
        </w:numPr>
        <w:spacing w:after="0" w:line="240" w:lineRule="auto"/>
        <w:ind w:left="1701"/>
        <w:contextualSpacing w:val="0"/>
        <w:jc w:val="both"/>
        <w:rPr>
          <w:rFonts w:ascii="Simplified Arabic" w:hAnsi="Simplified Arabic" w:cs="Simplified Arabic"/>
          <w:sz w:val="28"/>
          <w:szCs w:val="28"/>
          <w:lang w:bidi="ar-EG"/>
        </w:rPr>
      </w:pPr>
      <w:r w:rsidRPr="005F470C">
        <w:rPr>
          <w:rFonts w:ascii="Simplified Arabic" w:hAnsi="Simplified Arabic" w:cs="Simplified Arabic"/>
          <w:sz w:val="28"/>
          <w:szCs w:val="28"/>
          <w:rtl/>
          <w:lang w:bidi="ar-EG"/>
        </w:rPr>
        <w:t xml:space="preserve">أما في ظل نظام الصرف المرن فإن البنك المركزي لن يكون مضطراً لزيادة القاعدة النقدية، إلا أن ذلك سوف يترتب عليه زيادة قيمة العملة المحلية </w:t>
      </w:r>
      <w:r w:rsidRPr="005F470C">
        <w:rPr>
          <w:rFonts w:ascii="Simplified Arabic" w:hAnsi="Simplified Arabic" w:cs="Simplified Arabic"/>
          <w:sz w:val="28"/>
          <w:szCs w:val="28"/>
          <w:vertAlign w:val="superscript"/>
          <w:rtl/>
          <w:lang w:bidi="ar-EG"/>
        </w:rPr>
        <w:t>(</w:t>
      </w:r>
      <w:r w:rsidRPr="005F470C">
        <w:rPr>
          <w:rFonts w:ascii="Simplified Arabic" w:hAnsi="Simplified Arabic" w:cs="Simplified Arabic"/>
          <w:sz w:val="28"/>
          <w:szCs w:val="28"/>
          <w:vertAlign w:val="superscript"/>
          <w:rtl/>
          <w:lang w:bidi="ar-EG"/>
        </w:rPr>
        <w:footnoteReference w:id="69"/>
      </w:r>
      <w:r w:rsidRPr="005F470C">
        <w:rPr>
          <w:rFonts w:ascii="Simplified Arabic" w:hAnsi="Simplified Arabic" w:cs="Simplified Arabic"/>
          <w:sz w:val="28"/>
          <w:szCs w:val="28"/>
          <w:vertAlign w:val="superscript"/>
          <w:rtl/>
          <w:lang w:bidi="ar-EG"/>
        </w:rPr>
        <w:t>)</w:t>
      </w:r>
      <w:r w:rsidRPr="005F470C">
        <w:rPr>
          <w:rFonts w:ascii="Simplified Arabic" w:hAnsi="Simplified Arabic" w:cs="Simplified Arabic"/>
          <w:sz w:val="28"/>
          <w:szCs w:val="28"/>
          <w:rtl/>
          <w:lang w:bidi="ar-EG"/>
        </w:rPr>
        <w:t xml:space="preserve"> مما يضعف معه قدرة السلع المحلية على التصدير نظراً لارتفاع أسعارها، كما أنه يعطي ميزة نسبية للواردات ويجعلها أقل تكلفة من السلع المحلية، وهو ما يؤدي في نهاية المطاف إلى انخفاض معدل نمو الناتج المحلي وارتفاع معدلات التضخم. </w:t>
      </w:r>
    </w:p>
    <w:p w14:paraId="0128572A" w14:textId="77777777" w:rsidR="002959BC" w:rsidRPr="005F470C" w:rsidRDefault="002959BC" w:rsidP="002959BC">
      <w:pPr>
        <w:pStyle w:val="ListParagraph"/>
        <w:spacing w:after="0" w:line="240" w:lineRule="auto"/>
        <w:contextualSpacing w:val="0"/>
        <w:jc w:val="both"/>
        <w:rPr>
          <w:rFonts w:ascii="Simplified Arabic" w:hAnsi="Simplified Arabic" w:cs="Simplified Arabic"/>
          <w:rtl/>
          <w:lang w:bidi="ar-EG"/>
        </w:rPr>
      </w:pPr>
    </w:p>
    <w:p w14:paraId="03A4A8F3" w14:textId="77777777" w:rsidR="002959BC" w:rsidRPr="005F470C" w:rsidRDefault="002959BC" w:rsidP="0041332D">
      <w:pPr>
        <w:pStyle w:val="ListParagraph"/>
        <w:numPr>
          <w:ilvl w:val="0"/>
          <w:numId w:val="30"/>
        </w:numPr>
        <w:spacing w:after="0" w:line="240" w:lineRule="auto"/>
        <w:ind w:left="1417" w:hanging="357"/>
        <w:contextualSpacing w:val="0"/>
        <w:jc w:val="both"/>
        <w:rPr>
          <w:rFonts w:ascii="Simplified Arabic" w:hAnsi="Simplified Arabic" w:cs="Simplified Arabic"/>
          <w:sz w:val="28"/>
          <w:szCs w:val="28"/>
          <w:u w:val="single"/>
          <w:lang w:bidi="ar-EG"/>
        </w:rPr>
      </w:pPr>
      <w:r w:rsidRPr="005F470C">
        <w:rPr>
          <w:rFonts w:ascii="Simplified Arabic" w:hAnsi="Simplified Arabic" w:cs="Simplified Arabic"/>
          <w:sz w:val="28"/>
          <w:szCs w:val="28"/>
          <w:u w:val="single"/>
          <w:rtl/>
          <w:lang w:bidi="ar-EG"/>
        </w:rPr>
        <w:t>التأثير على أسعار الواردات:</w:t>
      </w:r>
    </w:p>
    <w:p w14:paraId="5EF218B7" w14:textId="77777777" w:rsidR="002959BC" w:rsidRPr="005F470C" w:rsidRDefault="002959BC" w:rsidP="002959BC">
      <w:pPr>
        <w:pStyle w:val="ListParagraph"/>
        <w:spacing w:after="0" w:line="240" w:lineRule="auto"/>
        <w:ind w:left="1417"/>
        <w:contextualSpacing w:val="0"/>
        <w:jc w:val="both"/>
        <w:rPr>
          <w:rFonts w:ascii="Simplified Arabic" w:hAnsi="Simplified Arabic" w:cs="Simplified Arabic"/>
          <w:sz w:val="28"/>
          <w:szCs w:val="28"/>
          <w:rtl/>
          <w:lang w:bidi="ar-EG"/>
        </w:rPr>
      </w:pPr>
      <w:r w:rsidRPr="005F470C">
        <w:rPr>
          <w:rFonts w:ascii="Simplified Arabic" w:hAnsi="Simplified Arabic" w:cs="Simplified Arabic"/>
          <w:sz w:val="28"/>
          <w:szCs w:val="28"/>
          <w:rtl/>
          <w:lang w:bidi="ar-EG"/>
        </w:rPr>
        <w:t>مع تزايد الاقتراض الخارجي فتجد الدول نفسها مضطرة لتخفيض قيمة عملتها المحلية سواء تم ذلك عن تطريق التعويم الحر لسعر الصرف أو تم عن طريق التعويم المدار، فإن أثر ذلك سوف ينسحب على زيادة أسعار السلع المستوردة وكذلك على السلع التي تستورد بعض مكوناتها من الخارج، وهو ما يؤدي إلى ارتفاع معدلات التضخم.</w:t>
      </w:r>
    </w:p>
    <w:p w14:paraId="08AB10CA" w14:textId="04D5ADB0" w:rsidR="002959BC" w:rsidRDefault="002959BC" w:rsidP="002959BC">
      <w:pPr>
        <w:pStyle w:val="ListParagraph"/>
        <w:spacing w:after="0" w:line="240" w:lineRule="auto"/>
        <w:ind w:left="1173"/>
        <w:contextualSpacing w:val="0"/>
        <w:jc w:val="both"/>
        <w:rPr>
          <w:rFonts w:ascii="Simplified Arabic" w:hAnsi="Simplified Arabic" w:cs="Simplified Arabic"/>
          <w:rtl/>
          <w:lang w:bidi="ar-EG"/>
        </w:rPr>
      </w:pPr>
    </w:p>
    <w:p w14:paraId="1474F5DB" w14:textId="66089FE2" w:rsidR="00131C6C" w:rsidRDefault="00131C6C" w:rsidP="002959BC">
      <w:pPr>
        <w:pStyle w:val="ListParagraph"/>
        <w:spacing w:after="0" w:line="240" w:lineRule="auto"/>
        <w:ind w:left="1173"/>
        <w:contextualSpacing w:val="0"/>
        <w:jc w:val="both"/>
        <w:rPr>
          <w:rFonts w:ascii="Simplified Arabic" w:hAnsi="Simplified Arabic" w:cs="Simplified Arabic"/>
          <w:rtl/>
          <w:lang w:bidi="ar-EG"/>
        </w:rPr>
      </w:pPr>
    </w:p>
    <w:p w14:paraId="73EA8C52" w14:textId="08162339" w:rsidR="00131C6C" w:rsidRDefault="00131C6C" w:rsidP="002959BC">
      <w:pPr>
        <w:pStyle w:val="ListParagraph"/>
        <w:spacing w:after="0" w:line="240" w:lineRule="auto"/>
        <w:ind w:left="1173"/>
        <w:contextualSpacing w:val="0"/>
        <w:jc w:val="both"/>
        <w:rPr>
          <w:rFonts w:ascii="Simplified Arabic" w:hAnsi="Simplified Arabic" w:cs="Simplified Arabic"/>
          <w:rtl/>
          <w:lang w:bidi="ar-EG"/>
        </w:rPr>
      </w:pPr>
    </w:p>
    <w:p w14:paraId="5451F7E1" w14:textId="77777777" w:rsidR="00131C6C" w:rsidRPr="005F470C" w:rsidRDefault="00131C6C" w:rsidP="002959BC">
      <w:pPr>
        <w:pStyle w:val="ListParagraph"/>
        <w:spacing w:after="0" w:line="240" w:lineRule="auto"/>
        <w:ind w:left="1173"/>
        <w:contextualSpacing w:val="0"/>
        <w:jc w:val="both"/>
        <w:rPr>
          <w:rFonts w:ascii="Simplified Arabic" w:hAnsi="Simplified Arabic" w:cs="Simplified Arabic"/>
          <w:rtl/>
          <w:lang w:bidi="ar-EG"/>
        </w:rPr>
      </w:pPr>
    </w:p>
    <w:p w14:paraId="25AFC39E" w14:textId="77777777" w:rsidR="002959BC" w:rsidRPr="006904A4" w:rsidRDefault="002959BC" w:rsidP="0041332D">
      <w:pPr>
        <w:pStyle w:val="ListParagraph"/>
        <w:numPr>
          <w:ilvl w:val="0"/>
          <w:numId w:val="27"/>
        </w:numPr>
        <w:spacing w:after="0" w:line="240" w:lineRule="auto"/>
        <w:ind w:left="596" w:hanging="284"/>
        <w:contextualSpacing w:val="0"/>
        <w:jc w:val="both"/>
        <w:rPr>
          <w:rFonts w:ascii="Simplified Arabic" w:hAnsi="Simplified Arabic" w:cs="Simplified Arabic"/>
          <w:b/>
          <w:bCs/>
          <w:sz w:val="28"/>
          <w:szCs w:val="28"/>
          <w:u w:val="single"/>
          <w:rtl/>
          <w:lang w:bidi="ar-EG"/>
        </w:rPr>
      </w:pPr>
      <w:r w:rsidRPr="006904A4">
        <w:rPr>
          <w:rFonts w:ascii="Simplified Arabic" w:hAnsi="Simplified Arabic" w:cs="Simplified Arabic"/>
          <w:b/>
          <w:bCs/>
          <w:sz w:val="28"/>
          <w:szCs w:val="28"/>
          <w:u w:val="single"/>
          <w:rtl/>
          <w:lang w:bidi="ar-EG"/>
        </w:rPr>
        <w:lastRenderedPageBreak/>
        <w:t>التمويل عن طريق الاقتراض الداخلي:</w:t>
      </w:r>
    </w:p>
    <w:p w14:paraId="62F03AA5" w14:textId="77777777" w:rsidR="002959BC" w:rsidRPr="005F470C" w:rsidRDefault="002959BC" w:rsidP="002959BC">
      <w:pPr>
        <w:pStyle w:val="ListParagraph"/>
        <w:spacing w:after="0" w:line="240" w:lineRule="auto"/>
        <w:contextualSpacing w:val="0"/>
        <w:jc w:val="both"/>
        <w:rPr>
          <w:rFonts w:ascii="Simplified Arabic" w:hAnsi="Simplified Arabic" w:cs="Simplified Arabic"/>
          <w:sz w:val="28"/>
          <w:szCs w:val="28"/>
          <w:rtl/>
          <w:lang w:bidi="ar-EG"/>
        </w:rPr>
      </w:pPr>
      <w:r w:rsidRPr="005F470C">
        <w:rPr>
          <w:rFonts w:ascii="Simplified Arabic" w:hAnsi="Simplified Arabic" w:cs="Simplified Arabic"/>
          <w:sz w:val="28"/>
          <w:szCs w:val="28"/>
          <w:rtl/>
          <w:lang w:bidi="ar-EG"/>
        </w:rPr>
        <w:t>ويتمثل في قيام الحكومة بالاقتراض من المقيمين سواء تم ذلك عن طريق الاقتراض من القطاع المصرفي (البنوك والشركات المالية المحلية) أو من القطاع غير المصرفي (القطاع العائلي والشركات والمؤسسات المالية غير المصرفية)، وعادة ما يتم ذلك عن طريق إصدار أذون وسندات بالعملة المحلية لصالح الخزانة العامة.</w:t>
      </w:r>
    </w:p>
    <w:p w14:paraId="3506B943" w14:textId="77777777" w:rsidR="002959BC" w:rsidRPr="005F470C" w:rsidRDefault="002959BC" w:rsidP="002959BC">
      <w:pPr>
        <w:pStyle w:val="ListParagraph"/>
        <w:spacing w:after="0" w:line="240" w:lineRule="auto"/>
        <w:contextualSpacing w:val="0"/>
        <w:jc w:val="both"/>
        <w:rPr>
          <w:rFonts w:ascii="Simplified Arabic" w:hAnsi="Simplified Arabic" w:cs="Simplified Arabic"/>
          <w:rtl/>
          <w:lang w:bidi="ar-EG"/>
        </w:rPr>
      </w:pPr>
    </w:p>
    <w:p w14:paraId="5DFE19B4" w14:textId="77777777" w:rsidR="002959BC" w:rsidRPr="005F470C" w:rsidRDefault="002959BC" w:rsidP="002959BC">
      <w:pPr>
        <w:pStyle w:val="ListParagraph"/>
        <w:spacing w:after="0" w:line="240" w:lineRule="auto"/>
        <w:contextualSpacing w:val="0"/>
        <w:jc w:val="both"/>
        <w:rPr>
          <w:rFonts w:ascii="Simplified Arabic" w:hAnsi="Simplified Arabic" w:cs="Simplified Arabic"/>
          <w:sz w:val="28"/>
          <w:szCs w:val="28"/>
          <w:rtl/>
          <w:lang w:bidi="ar-EG"/>
        </w:rPr>
      </w:pPr>
      <w:r w:rsidRPr="005F470C">
        <w:rPr>
          <w:rFonts w:ascii="Simplified Arabic" w:hAnsi="Simplified Arabic" w:cs="Simplified Arabic"/>
          <w:sz w:val="28"/>
          <w:szCs w:val="28"/>
          <w:rtl/>
          <w:lang w:bidi="ar-EG"/>
        </w:rPr>
        <w:t>وتعتبر سياسة الاقتراض الداخلي أحد مصادر التمويل غير التضخمي لعجز الموازنة العامة للدولة، حيث أن إصدار أذون وسندات الخزانة يتم الاكتتاب فيها من خلال القطاع الخاص ويعني ذلك انتقال جزء من الدخل المتاح للإنفاق لدى القطاع الخاص إلى القطاع الحكومي، وبالتالي سينخفض الاستثمار والاستهلاك الخاص وبنفس القدر سوف يزداد الاستثمار والاستهلاك الحكومي.</w:t>
      </w:r>
      <w:r w:rsidRPr="005F470C">
        <w:rPr>
          <w:rFonts w:ascii="Simplified Arabic" w:hAnsi="Simplified Arabic" w:cs="Simplified Arabic"/>
          <w:sz w:val="28"/>
          <w:szCs w:val="28"/>
          <w:vertAlign w:val="superscript"/>
          <w:rtl/>
          <w:lang w:bidi="ar-EG"/>
        </w:rPr>
        <w:t xml:space="preserve"> (</w:t>
      </w:r>
      <w:r w:rsidRPr="005F470C">
        <w:rPr>
          <w:rFonts w:ascii="Simplified Arabic" w:hAnsi="Simplified Arabic" w:cs="Simplified Arabic"/>
          <w:sz w:val="28"/>
          <w:szCs w:val="28"/>
          <w:vertAlign w:val="superscript"/>
          <w:rtl/>
          <w:lang w:bidi="ar-EG"/>
        </w:rPr>
        <w:footnoteReference w:id="70"/>
      </w:r>
      <w:r w:rsidRPr="005F470C">
        <w:rPr>
          <w:rFonts w:ascii="Simplified Arabic" w:hAnsi="Simplified Arabic" w:cs="Simplified Arabic"/>
          <w:sz w:val="28"/>
          <w:szCs w:val="28"/>
          <w:vertAlign w:val="superscript"/>
          <w:rtl/>
          <w:lang w:bidi="ar-EG"/>
        </w:rPr>
        <w:t>)</w:t>
      </w:r>
    </w:p>
    <w:p w14:paraId="782CEA79" w14:textId="77777777" w:rsidR="002959BC" w:rsidRPr="005F470C" w:rsidRDefault="002959BC" w:rsidP="002959BC">
      <w:pPr>
        <w:pStyle w:val="ListParagraph"/>
        <w:spacing w:after="0" w:line="240" w:lineRule="auto"/>
        <w:contextualSpacing w:val="0"/>
        <w:jc w:val="both"/>
        <w:rPr>
          <w:rFonts w:ascii="Simplified Arabic" w:hAnsi="Simplified Arabic" w:cs="Simplified Arabic"/>
          <w:rtl/>
          <w:lang w:bidi="ar-EG"/>
        </w:rPr>
      </w:pPr>
    </w:p>
    <w:p w14:paraId="6E2C2D39" w14:textId="77777777" w:rsidR="002959BC" w:rsidRDefault="002959BC" w:rsidP="002959BC">
      <w:pPr>
        <w:pStyle w:val="ListParagraph"/>
        <w:spacing w:after="0" w:line="240" w:lineRule="auto"/>
        <w:contextualSpacing w:val="0"/>
        <w:jc w:val="both"/>
        <w:rPr>
          <w:rFonts w:ascii="Simplified Arabic" w:hAnsi="Simplified Arabic" w:cs="Simplified Arabic"/>
          <w:sz w:val="28"/>
          <w:szCs w:val="28"/>
          <w:rtl/>
          <w:lang w:bidi="ar-EG"/>
        </w:rPr>
      </w:pPr>
      <w:r w:rsidRPr="005F470C">
        <w:rPr>
          <w:rFonts w:ascii="Simplified Arabic" w:hAnsi="Simplified Arabic" w:cs="Simplified Arabic"/>
          <w:sz w:val="28"/>
          <w:szCs w:val="28"/>
          <w:rtl/>
          <w:lang w:bidi="ar-EG"/>
        </w:rPr>
        <w:t>إن الاقتراض الداخلي رغم حجمه الكبير في العديد من الدول إلا أنه لا يشكل مصدر إزعاج لتلك الدول حيث أنه في النهاية اقتراض بعض المقيمين من مقيمين آخرين في ذات الدولة، وبالتالي فإن العواقب السياسية التي يمثلها الاقتراض الداخلي ليست ذي بال في هذه الحالة، بيد أنه هناك عواقب اقتصادية تترتب على زيادة الاقتراض الداخلي، وتتمثل مصادر الاقتراض الداخلي وآثرها على التضخم في الآتي:</w:t>
      </w:r>
    </w:p>
    <w:p w14:paraId="2FCFDAEB" w14:textId="77777777" w:rsidR="002959BC" w:rsidRPr="006904A4" w:rsidRDefault="002959BC" w:rsidP="0041332D">
      <w:pPr>
        <w:pStyle w:val="ListParagraph"/>
        <w:numPr>
          <w:ilvl w:val="0"/>
          <w:numId w:val="26"/>
        </w:numPr>
        <w:spacing w:after="0" w:line="240" w:lineRule="auto"/>
        <w:ind w:left="1275" w:hanging="426"/>
        <w:contextualSpacing w:val="0"/>
        <w:jc w:val="both"/>
        <w:rPr>
          <w:rFonts w:ascii="Simplified Arabic" w:hAnsi="Simplified Arabic" w:cs="Simplified Arabic"/>
          <w:b/>
          <w:bCs/>
          <w:sz w:val="28"/>
          <w:szCs w:val="28"/>
          <w:u w:val="single"/>
          <w:lang w:bidi="ar-EG"/>
        </w:rPr>
      </w:pPr>
      <w:r w:rsidRPr="006904A4">
        <w:rPr>
          <w:rFonts w:ascii="Simplified Arabic" w:hAnsi="Simplified Arabic" w:cs="Simplified Arabic"/>
          <w:b/>
          <w:bCs/>
          <w:sz w:val="28"/>
          <w:szCs w:val="28"/>
          <w:u w:val="single"/>
          <w:rtl/>
          <w:lang w:bidi="ar-EG"/>
        </w:rPr>
        <w:t>الاقتراض من الجهاز المصرفي المحلي:</w:t>
      </w:r>
    </w:p>
    <w:p w14:paraId="540E42E9" w14:textId="77777777" w:rsidR="002959BC" w:rsidRPr="005F470C" w:rsidRDefault="002959BC" w:rsidP="002959BC">
      <w:pPr>
        <w:pStyle w:val="ListParagraph"/>
        <w:spacing w:after="0" w:line="240" w:lineRule="auto"/>
        <w:ind w:left="1275"/>
        <w:contextualSpacing w:val="0"/>
        <w:jc w:val="both"/>
        <w:rPr>
          <w:rFonts w:ascii="Simplified Arabic" w:hAnsi="Simplified Arabic" w:cs="Simplified Arabic"/>
          <w:sz w:val="28"/>
          <w:szCs w:val="28"/>
          <w:rtl/>
          <w:lang w:bidi="ar-EG"/>
        </w:rPr>
      </w:pPr>
      <w:r w:rsidRPr="005F470C">
        <w:rPr>
          <w:rFonts w:ascii="Simplified Arabic" w:hAnsi="Simplified Arabic" w:cs="Simplified Arabic"/>
          <w:sz w:val="28"/>
          <w:szCs w:val="28"/>
          <w:rtl/>
          <w:lang w:bidi="ar-EG"/>
        </w:rPr>
        <w:t>تلجأ الحكومة إلى الاقتراض من الجهاز المصرفي (البنوك والشركات المالية) عن طريق إصدار أذون وسندات خزانة بالعملة المحلية وعادة ما يتم طرح هذه السندات خلال جلسات مزايدة يشترك فيها المتعاملون الرئيسيون.</w:t>
      </w:r>
    </w:p>
    <w:p w14:paraId="4229C0CE" w14:textId="77777777" w:rsidR="002959BC" w:rsidRPr="005F470C" w:rsidRDefault="002959BC" w:rsidP="002959BC">
      <w:pPr>
        <w:pStyle w:val="ListParagraph"/>
        <w:spacing w:after="0" w:line="240" w:lineRule="auto"/>
        <w:ind w:left="1080"/>
        <w:contextualSpacing w:val="0"/>
        <w:jc w:val="both"/>
        <w:rPr>
          <w:rFonts w:ascii="Simplified Arabic" w:hAnsi="Simplified Arabic" w:cs="Simplified Arabic"/>
          <w:sz w:val="28"/>
          <w:szCs w:val="28"/>
          <w:rtl/>
          <w:lang w:bidi="ar-EG"/>
        </w:rPr>
      </w:pPr>
    </w:p>
    <w:p w14:paraId="56D688B5" w14:textId="77777777" w:rsidR="002959BC" w:rsidRPr="005F470C" w:rsidRDefault="002959BC" w:rsidP="002959BC">
      <w:pPr>
        <w:pStyle w:val="ListParagraph"/>
        <w:spacing w:after="0" w:line="240" w:lineRule="auto"/>
        <w:ind w:left="1134"/>
        <w:contextualSpacing w:val="0"/>
        <w:jc w:val="both"/>
        <w:rPr>
          <w:rFonts w:ascii="Simplified Arabic" w:hAnsi="Simplified Arabic" w:cs="Simplified Arabic"/>
          <w:sz w:val="28"/>
          <w:szCs w:val="28"/>
          <w:u w:val="single"/>
          <w:rtl/>
          <w:lang w:bidi="ar-EG"/>
        </w:rPr>
      </w:pPr>
      <w:r w:rsidRPr="005F470C">
        <w:rPr>
          <w:rFonts w:ascii="Simplified Arabic" w:hAnsi="Simplified Arabic" w:cs="Simplified Arabic"/>
          <w:sz w:val="28"/>
          <w:szCs w:val="28"/>
          <w:u w:val="single"/>
          <w:rtl/>
          <w:lang w:bidi="ar-EG"/>
        </w:rPr>
        <w:t>أثر الاقتراض من الجهاز المصرفي المحلي على التضخم:</w:t>
      </w:r>
    </w:p>
    <w:p w14:paraId="7F477AD7" w14:textId="77777777" w:rsidR="002959BC" w:rsidRPr="005F470C" w:rsidRDefault="002959BC" w:rsidP="002959BC">
      <w:pPr>
        <w:pStyle w:val="ListParagraph"/>
        <w:spacing w:after="0" w:line="240" w:lineRule="auto"/>
        <w:ind w:left="1275"/>
        <w:contextualSpacing w:val="0"/>
        <w:jc w:val="both"/>
        <w:rPr>
          <w:rFonts w:ascii="Simplified Arabic" w:hAnsi="Simplified Arabic" w:cs="Simplified Arabic"/>
          <w:sz w:val="28"/>
          <w:szCs w:val="28"/>
          <w:rtl/>
          <w:lang w:bidi="ar-EG"/>
        </w:rPr>
      </w:pPr>
      <w:r w:rsidRPr="005F470C">
        <w:rPr>
          <w:rFonts w:ascii="Simplified Arabic" w:hAnsi="Simplified Arabic" w:cs="Simplified Arabic"/>
          <w:sz w:val="28"/>
          <w:szCs w:val="28"/>
          <w:rtl/>
          <w:lang w:bidi="ar-EG"/>
        </w:rPr>
        <w:t>يتوقف أثر الاقتراض من الجهاز المصرفي المحلي على التضخم، وفقاً للحالتين التاليتين</w:t>
      </w:r>
      <w:r w:rsidRPr="005F470C">
        <w:rPr>
          <w:rFonts w:ascii="Simplified Arabic" w:hAnsi="Simplified Arabic" w:cs="Simplified Arabic"/>
          <w:sz w:val="28"/>
          <w:szCs w:val="28"/>
          <w:vertAlign w:val="superscript"/>
          <w:rtl/>
          <w:lang w:bidi="ar-EG"/>
        </w:rPr>
        <w:t>(</w:t>
      </w:r>
      <w:r w:rsidRPr="005F470C">
        <w:rPr>
          <w:rFonts w:ascii="Simplified Arabic" w:hAnsi="Simplified Arabic" w:cs="Simplified Arabic"/>
          <w:sz w:val="28"/>
          <w:szCs w:val="28"/>
          <w:vertAlign w:val="superscript"/>
          <w:rtl/>
          <w:lang w:bidi="ar-EG"/>
        </w:rPr>
        <w:footnoteReference w:id="71"/>
      </w:r>
      <w:r w:rsidRPr="005F470C">
        <w:rPr>
          <w:rFonts w:ascii="Simplified Arabic" w:hAnsi="Simplified Arabic" w:cs="Simplified Arabic"/>
          <w:sz w:val="28"/>
          <w:szCs w:val="28"/>
          <w:vertAlign w:val="superscript"/>
          <w:rtl/>
          <w:lang w:bidi="ar-EG"/>
        </w:rPr>
        <w:t>)</w:t>
      </w:r>
      <w:r w:rsidRPr="005F470C">
        <w:rPr>
          <w:rFonts w:ascii="Simplified Arabic" w:hAnsi="Simplified Arabic" w:cs="Simplified Arabic"/>
          <w:sz w:val="28"/>
          <w:szCs w:val="28"/>
          <w:rtl/>
          <w:lang w:bidi="ar-EG"/>
        </w:rPr>
        <w:t>:</w:t>
      </w:r>
    </w:p>
    <w:p w14:paraId="74408A4E" w14:textId="77777777" w:rsidR="002959BC" w:rsidRPr="005F470C" w:rsidRDefault="002959BC" w:rsidP="0041332D">
      <w:pPr>
        <w:pStyle w:val="ListParagraph"/>
        <w:numPr>
          <w:ilvl w:val="0"/>
          <w:numId w:val="30"/>
        </w:numPr>
        <w:spacing w:after="0" w:line="240" w:lineRule="auto"/>
        <w:ind w:left="1701"/>
        <w:contextualSpacing w:val="0"/>
        <w:jc w:val="both"/>
        <w:rPr>
          <w:rFonts w:ascii="Simplified Arabic" w:hAnsi="Simplified Arabic" w:cs="Simplified Arabic"/>
          <w:sz w:val="28"/>
          <w:szCs w:val="28"/>
          <w:lang w:bidi="ar-EG"/>
        </w:rPr>
      </w:pPr>
      <w:r w:rsidRPr="005F470C">
        <w:rPr>
          <w:rFonts w:ascii="Simplified Arabic" w:hAnsi="Simplified Arabic" w:cs="Simplified Arabic"/>
          <w:sz w:val="28"/>
          <w:szCs w:val="28"/>
          <w:rtl/>
          <w:lang w:bidi="ar-EG"/>
        </w:rPr>
        <w:t>إذا كان لدى البنوك والشركات المالية المحلية فوائض مالية فإن اقتراض الحكومة لتلك الأموال سوف يكون له دور في تحفيز الاقتصاد الكلي بسبب تشغيل تلك الموارد العاطلة، إلا أن ذلك سوف يؤدي إلى زيادة معدلات التضخم الناتج عن زيادة الطلب.</w:t>
      </w:r>
    </w:p>
    <w:p w14:paraId="6B06CA72" w14:textId="77777777" w:rsidR="002959BC" w:rsidRPr="005F470C" w:rsidRDefault="002959BC" w:rsidP="002959BC">
      <w:pPr>
        <w:pStyle w:val="ListParagraph"/>
        <w:spacing w:after="0" w:line="240" w:lineRule="auto"/>
        <w:ind w:left="1701" w:hanging="360"/>
        <w:contextualSpacing w:val="0"/>
        <w:jc w:val="both"/>
        <w:rPr>
          <w:rFonts w:ascii="Simplified Arabic" w:hAnsi="Simplified Arabic" w:cs="Simplified Arabic"/>
          <w:sz w:val="28"/>
          <w:szCs w:val="28"/>
          <w:lang w:bidi="ar-EG"/>
        </w:rPr>
      </w:pPr>
    </w:p>
    <w:p w14:paraId="7E9157D8" w14:textId="77777777" w:rsidR="002959BC" w:rsidRPr="005F470C" w:rsidRDefault="002959BC" w:rsidP="0041332D">
      <w:pPr>
        <w:pStyle w:val="ListParagraph"/>
        <w:numPr>
          <w:ilvl w:val="0"/>
          <w:numId w:val="30"/>
        </w:numPr>
        <w:spacing w:after="0" w:line="240" w:lineRule="auto"/>
        <w:ind w:left="1701"/>
        <w:contextualSpacing w:val="0"/>
        <w:jc w:val="both"/>
        <w:rPr>
          <w:rFonts w:ascii="Simplified Arabic" w:hAnsi="Simplified Arabic" w:cs="Simplified Arabic"/>
          <w:sz w:val="28"/>
          <w:szCs w:val="28"/>
          <w:lang w:bidi="ar-EG"/>
        </w:rPr>
      </w:pPr>
      <w:r w:rsidRPr="005F470C">
        <w:rPr>
          <w:rFonts w:ascii="Simplified Arabic" w:hAnsi="Simplified Arabic" w:cs="Simplified Arabic"/>
          <w:sz w:val="28"/>
          <w:szCs w:val="28"/>
          <w:rtl/>
          <w:lang w:bidi="ar-EG"/>
        </w:rPr>
        <w:t xml:space="preserve">إذا لم يكن لدى البنوك والشركات المالية المحلية فوائض مالية كافية، فإنها قد تلجأ إلى طريقتين لتوفير الأموال لشراء سندات وأذون الخزانة الحكومية: </w:t>
      </w:r>
    </w:p>
    <w:p w14:paraId="28E3F0FB" w14:textId="77777777" w:rsidR="002959BC" w:rsidRPr="00131691" w:rsidRDefault="002959BC" w:rsidP="002959BC">
      <w:pPr>
        <w:pStyle w:val="ListParagraph"/>
        <w:spacing w:after="0" w:line="240" w:lineRule="auto"/>
        <w:ind w:left="1304"/>
        <w:contextualSpacing w:val="0"/>
        <w:jc w:val="both"/>
        <w:rPr>
          <w:rFonts w:ascii="Simplified Arabic" w:hAnsi="Simplified Arabic" w:cs="Simplified Arabic"/>
          <w:sz w:val="10"/>
          <w:szCs w:val="10"/>
          <w:lang w:bidi="ar-EG"/>
        </w:rPr>
      </w:pPr>
      <w:r w:rsidRPr="00131691">
        <w:rPr>
          <w:rFonts w:ascii="Simplified Arabic" w:hAnsi="Simplified Arabic" w:cs="Simplified Arabic" w:hint="cs"/>
          <w:sz w:val="14"/>
          <w:szCs w:val="14"/>
          <w:rtl/>
          <w:lang w:bidi="ar-EG"/>
        </w:rPr>
        <w:softHyphen/>
      </w:r>
    </w:p>
    <w:p w14:paraId="4BA09C3C" w14:textId="77777777" w:rsidR="002959BC" w:rsidRDefault="002959BC" w:rsidP="0041332D">
      <w:pPr>
        <w:pStyle w:val="ListParagraph"/>
        <w:numPr>
          <w:ilvl w:val="0"/>
          <w:numId w:val="28"/>
        </w:numPr>
        <w:spacing w:after="0" w:line="240" w:lineRule="auto"/>
        <w:ind w:left="2126"/>
        <w:contextualSpacing w:val="0"/>
        <w:jc w:val="both"/>
        <w:rPr>
          <w:rFonts w:ascii="Simplified Arabic" w:hAnsi="Simplified Arabic" w:cs="Simplified Arabic"/>
          <w:sz w:val="28"/>
          <w:szCs w:val="28"/>
          <w:lang w:bidi="ar-EG"/>
        </w:rPr>
      </w:pPr>
      <w:r w:rsidRPr="005F470C">
        <w:rPr>
          <w:rFonts w:ascii="Simplified Arabic" w:hAnsi="Simplified Arabic" w:cs="Simplified Arabic"/>
          <w:sz w:val="28"/>
          <w:szCs w:val="28"/>
          <w:rtl/>
          <w:lang w:bidi="ar-EG"/>
        </w:rPr>
        <w:lastRenderedPageBreak/>
        <w:t>خفض الائتمان المقدم للقطاع الخاص بسبب ارتفاع أسعار الفائدة مما ينشأ معه ظاهرة المزاحمة، وما يرتبط به من آثار سلبية على معدلات الاستثمار والتشغيل والناتج المحلي وزيادة معدلات التضخم.</w:t>
      </w:r>
    </w:p>
    <w:p w14:paraId="6B967579" w14:textId="77777777" w:rsidR="002959BC" w:rsidRPr="00131691" w:rsidRDefault="002959BC" w:rsidP="002959BC">
      <w:pPr>
        <w:pStyle w:val="ListParagraph"/>
        <w:spacing w:after="0" w:line="240" w:lineRule="auto"/>
        <w:ind w:left="2126"/>
        <w:contextualSpacing w:val="0"/>
        <w:jc w:val="both"/>
        <w:rPr>
          <w:rFonts w:ascii="Simplified Arabic" w:hAnsi="Simplified Arabic" w:cs="Simplified Arabic"/>
          <w:sz w:val="10"/>
          <w:szCs w:val="10"/>
          <w:lang w:bidi="ar-EG"/>
        </w:rPr>
      </w:pPr>
    </w:p>
    <w:p w14:paraId="06258E55" w14:textId="77777777" w:rsidR="002959BC" w:rsidRPr="005F470C" w:rsidRDefault="002959BC" w:rsidP="0041332D">
      <w:pPr>
        <w:pStyle w:val="ListParagraph"/>
        <w:numPr>
          <w:ilvl w:val="0"/>
          <w:numId w:val="28"/>
        </w:numPr>
        <w:spacing w:after="0" w:line="240" w:lineRule="auto"/>
        <w:ind w:left="2126"/>
        <w:contextualSpacing w:val="0"/>
        <w:jc w:val="both"/>
        <w:rPr>
          <w:rFonts w:ascii="Simplified Arabic" w:hAnsi="Simplified Arabic" w:cs="Simplified Arabic"/>
          <w:sz w:val="28"/>
          <w:szCs w:val="28"/>
          <w:lang w:bidi="ar-EG"/>
        </w:rPr>
      </w:pPr>
      <w:r w:rsidRPr="005F470C">
        <w:rPr>
          <w:rFonts w:ascii="Simplified Arabic" w:hAnsi="Simplified Arabic" w:cs="Simplified Arabic"/>
          <w:sz w:val="28"/>
          <w:szCs w:val="28"/>
          <w:rtl/>
          <w:lang w:bidi="ar-EG"/>
        </w:rPr>
        <w:t>طلب الجهاز المصرفي للأموال من البنك المركزي وبالتالي فإن ذلك سوف يؤدي إلى زيادة القاعدة النقدية مما سوف يكون له آثار تضخمية مباشرة.</w:t>
      </w:r>
    </w:p>
    <w:p w14:paraId="69D21197" w14:textId="77777777" w:rsidR="002959BC" w:rsidRPr="005F470C" w:rsidRDefault="002959BC" w:rsidP="002959BC">
      <w:pPr>
        <w:pStyle w:val="ListParagraph"/>
        <w:spacing w:after="0" w:line="240" w:lineRule="auto"/>
        <w:contextualSpacing w:val="0"/>
        <w:jc w:val="both"/>
        <w:rPr>
          <w:rFonts w:ascii="Simplified Arabic" w:hAnsi="Simplified Arabic" w:cs="Simplified Arabic"/>
          <w:sz w:val="28"/>
          <w:szCs w:val="28"/>
          <w:rtl/>
          <w:lang w:bidi="ar-EG"/>
        </w:rPr>
      </w:pPr>
    </w:p>
    <w:p w14:paraId="3AF9CF55" w14:textId="77777777" w:rsidR="002959BC" w:rsidRPr="006904A4" w:rsidRDefault="002959BC" w:rsidP="0041332D">
      <w:pPr>
        <w:pStyle w:val="ListParagraph"/>
        <w:numPr>
          <w:ilvl w:val="0"/>
          <w:numId w:val="26"/>
        </w:numPr>
        <w:spacing w:after="0" w:line="240" w:lineRule="auto"/>
        <w:ind w:left="1275" w:hanging="426"/>
        <w:contextualSpacing w:val="0"/>
        <w:jc w:val="both"/>
        <w:rPr>
          <w:rFonts w:ascii="Simplified Arabic" w:hAnsi="Simplified Arabic" w:cs="Simplified Arabic"/>
          <w:b/>
          <w:bCs/>
          <w:sz w:val="28"/>
          <w:szCs w:val="28"/>
          <w:u w:val="single"/>
          <w:rtl/>
          <w:lang w:bidi="ar-EG"/>
        </w:rPr>
      </w:pPr>
      <w:r w:rsidRPr="006904A4">
        <w:rPr>
          <w:rFonts w:ascii="Simplified Arabic" w:hAnsi="Simplified Arabic" w:cs="Simplified Arabic"/>
          <w:b/>
          <w:bCs/>
          <w:sz w:val="28"/>
          <w:szCs w:val="28"/>
          <w:u w:val="single"/>
          <w:rtl/>
          <w:lang w:bidi="ar-EG"/>
        </w:rPr>
        <w:t>التمويل عن طريق الاقتراض من القطاع غير المصرفي المحلي:</w:t>
      </w:r>
    </w:p>
    <w:p w14:paraId="1C93C4ED" w14:textId="77777777" w:rsidR="002959BC" w:rsidRDefault="002959BC" w:rsidP="002959BC">
      <w:pPr>
        <w:pStyle w:val="ListParagraph"/>
        <w:spacing w:after="0" w:line="240" w:lineRule="auto"/>
        <w:ind w:left="1275"/>
        <w:contextualSpacing w:val="0"/>
        <w:jc w:val="both"/>
        <w:rPr>
          <w:rFonts w:ascii="Simplified Arabic" w:hAnsi="Simplified Arabic" w:cs="Simplified Arabic"/>
          <w:sz w:val="28"/>
          <w:szCs w:val="28"/>
          <w:rtl/>
          <w:lang w:bidi="ar-EG"/>
        </w:rPr>
      </w:pPr>
      <w:r w:rsidRPr="005F470C">
        <w:rPr>
          <w:rFonts w:ascii="Simplified Arabic" w:hAnsi="Simplified Arabic" w:cs="Simplified Arabic"/>
          <w:sz w:val="28"/>
          <w:szCs w:val="28"/>
          <w:rtl/>
          <w:lang w:bidi="ar-EG"/>
        </w:rPr>
        <w:t>وتقوم الحكومة من خلال هذا الأسلوب بإصدار سندات دين عام داخلي أو أذون خزانة، ويسمح الاقتراض من القطاع غير المصرفي بتمويل عجز الموازنة دون زيادة في القاعدة النقدية أو الاحتياطيات الدولية، ولذلك فهذا الأسلوب يعد وسيلة فعالة لتجنب التضخم والأزمات الخارجية.</w:t>
      </w:r>
    </w:p>
    <w:p w14:paraId="6BF671CA" w14:textId="77777777" w:rsidR="002959BC" w:rsidRPr="005F470C" w:rsidRDefault="002959BC" w:rsidP="002959BC">
      <w:pPr>
        <w:pStyle w:val="ListParagraph"/>
        <w:spacing w:after="0" w:line="240" w:lineRule="auto"/>
        <w:ind w:left="1275"/>
        <w:contextualSpacing w:val="0"/>
        <w:jc w:val="both"/>
        <w:rPr>
          <w:rFonts w:ascii="Simplified Arabic" w:hAnsi="Simplified Arabic" w:cs="Simplified Arabic"/>
          <w:sz w:val="28"/>
          <w:szCs w:val="28"/>
          <w:rtl/>
          <w:lang w:bidi="ar-EG"/>
        </w:rPr>
      </w:pPr>
    </w:p>
    <w:p w14:paraId="68784D57" w14:textId="77777777" w:rsidR="002959BC" w:rsidRDefault="002959BC" w:rsidP="002959BC">
      <w:pPr>
        <w:pStyle w:val="ListParagraph"/>
        <w:spacing w:after="0" w:line="240" w:lineRule="auto"/>
        <w:ind w:left="1275"/>
        <w:contextualSpacing w:val="0"/>
        <w:jc w:val="both"/>
        <w:rPr>
          <w:rFonts w:ascii="Simplified Arabic" w:hAnsi="Simplified Arabic" w:cs="Simplified Arabic"/>
          <w:sz w:val="28"/>
          <w:szCs w:val="28"/>
          <w:vertAlign w:val="superscript"/>
          <w:lang w:bidi="ar-EG"/>
        </w:rPr>
      </w:pPr>
      <w:r w:rsidRPr="005F470C">
        <w:rPr>
          <w:rFonts w:ascii="Simplified Arabic" w:hAnsi="Simplified Arabic" w:cs="Simplified Arabic"/>
          <w:sz w:val="28"/>
          <w:szCs w:val="28"/>
          <w:rtl/>
          <w:lang w:bidi="ar-EG"/>
        </w:rPr>
        <w:t>ويتم استخدام آلية التمويل هذه في الاقتصاديات الرأسمالية بصورة واسعة النطاق حيث يتوافر لتلك الدول أسواق أوراق مالية متسعة، وذات مصداقية، كما يمكن تسييل هذه السندات بسهولة، وعلى العكس من ذلك فإن تلك الآلية تواجه صعوبات عند تطبيقها في الدول النامية نظراً لتزايد الديون المتراكمة على الحكومة للقطاع الخاص وارتفاع معدلات التضخم واقتصار الاكتتاب في هذه السندات على البنوك ذات الفوائض المالية الكبيرة.</w:t>
      </w:r>
      <w:r w:rsidRPr="005F470C">
        <w:rPr>
          <w:rFonts w:ascii="Simplified Arabic" w:hAnsi="Simplified Arabic" w:cs="Simplified Arabic"/>
          <w:sz w:val="28"/>
          <w:szCs w:val="28"/>
          <w:vertAlign w:val="superscript"/>
          <w:rtl/>
          <w:lang w:bidi="ar-EG"/>
        </w:rPr>
        <w:t xml:space="preserve"> (</w:t>
      </w:r>
      <w:r w:rsidRPr="005F470C">
        <w:rPr>
          <w:rFonts w:ascii="Simplified Arabic" w:hAnsi="Simplified Arabic" w:cs="Simplified Arabic"/>
          <w:sz w:val="28"/>
          <w:szCs w:val="28"/>
          <w:vertAlign w:val="superscript"/>
          <w:rtl/>
          <w:lang w:bidi="ar-EG"/>
        </w:rPr>
        <w:footnoteReference w:id="72"/>
      </w:r>
      <w:r w:rsidRPr="005F470C">
        <w:rPr>
          <w:rFonts w:ascii="Simplified Arabic" w:hAnsi="Simplified Arabic" w:cs="Simplified Arabic"/>
          <w:sz w:val="28"/>
          <w:szCs w:val="28"/>
          <w:vertAlign w:val="superscript"/>
          <w:rtl/>
          <w:lang w:bidi="ar-EG"/>
        </w:rPr>
        <w:t>)</w:t>
      </w:r>
    </w:p>
    <w:p w14:paraId="6A3BDF4A" w14:textId="77777777" w:rsidR="002959BC" w:rsidRPr="005F470C" w:rsidRDefault="002959BC" w:rsidP="002959BC">
      <w:pPr>
        <w:pStyle w:val="ListParagraph"/>
        <w:spacing w:after="0" w:line="240" w:lineRule="auto"/>
        <w:ind w:left="878"/>
        <w:contextualSpacing w:val="0"/>
        <w:jc w:val="both"/>
        <w:rPr>
          <w:rFonts w:ascii="Simplified Arabic" w:hAnsi="Simplified Arabic" w:cs="Simplified Arabic"/>
          <w:sz w:val="28"/>
          <w:szCs w:val="28"/>
          <w:vertAlign w:val="superscript"/>
          <w:rtl/>
          <w:lang w:bidi="ar-EG"/>
        </w:rPr>
      </w:pPr>
    </w:p>
    <w:p w14:paraId="15F20E2D" w14:textId="77777777" w:rsidR="002959BC" w:rsidRPr="005F470C" w:rsidRDefault="002959BC" w:rsidP="002959BC">
      <w:pPr>
        <w:pStyle w:val="ListParagraph"/>
        <w:spacing w:after="0" w:line="240" w:lineRule="auto"/>
        <w:ind w:left="1134"/>
        <w:contextualSpacing w:val="0"/>
        <w:jc w:val="both"/>
        <w:rPr>
          <w:rFonts w:ascii="Simplified Arabic" w:hAnsi="Simplified Arabic" w:cs="Simplified Arabic"/>
          <w:sz w:val="28"/>
          <w:szCs w:val="28"/>
          <w:u w:val="single"/>
          <w:rtl/>
          <w:lang w:bidi="ar-EG"/>
        </w:rPr>
      </w:pPr>
      <w:r w:rsidRPr="005F470C">
        <w:rPr>
          <w:rFonts w:ascii="Simplified Arabic" w:hAnsi="Simplified Arabic" w:cs="Simplified Arabic"/>
          <w:sz w:val="28"/>
          <w:szCs w:val="28"/>
          <w:u w:val="single"/>
          <w:rtl/>
          <w:lang w:bidi="ar-EG"/>
        </w:rPr>
        <w:t>أثر الاقتراض من القطاع غير المصرفي المحلي على التضخم:</w:t>
      </w:r>
    </w:p>
    <w:p w14:paraId="0216843B" w14:textId="77777777" w:rsidR="002959BC" w:rsidRPr="005F470C" w:rsidRDefault="002959BC" w:rsidP="002959BC">
      <w:pPr>
        <w:pStyle w:val="ListParagraph"/>
        <w:spacing w:after="0" w:line="240" w:lineRule="auto"/>
        <w:ind w:left="1134"/>
        <w:contextualSpacing w:val="0"/>
        <w:jc w:val="both"/>
        <w:rPr>
          <w:rFonts w:ascii="Simplified Arabic" w:hAnsi="Simplified Arabic" w:cs="Simplified Arabic"/>
          <w:sz w:val="28"/>
          <w:szCs w:val="28"/>
          <w:rtl/>
          <w:lang w:bidi="ar-EG"/>
        </w:rPr>
      </w:pPr>
      <w:r w:rsidRPr="005F470C">
        <w:rPr>
          <w:rFonts w:ascii="Simplified Arabic" w:hAnsi="Simplified Arabic" w:cs="Simplified Arabic"/>
          <w:sz w:val="28"/>
          <w:szCs w:val="28"/>
          <w:rtl/>
          <w:lang w:bidi="ar-EG"/>
        </w:rPr>
        <w:t xml:space="preserve">إن العلاقة بين الاقتراض من القطاع المحلي غير المصرفي والتضخم تظهر من خلال: </w:t>
      </w:r>
    </w:p>
    <w:p w14:paraId="34DB8188" w14:textId="77777777" w:rsidR="002959BC" w:rsidRPr="005F470C" w:rsidRDefault="002959BC" w:rsidP="0041332D">
      <w:pPr>
        <w:pStyle w:val="ListParagraph"/>
        <w:numPr>
          <w:ilvl w:val="0"/>
          <w:numId w:val="30"/>
        </w:numPr>
        <w:spacing w:after="0" w:line="240" w:lineRule="auto"/>
        <w:ind w:left="1559"/>
        <w:contextualSpacing w:val="0"/>
        <w:jc w:val="both"/>
        <w:rPr>
          <w:rFonts w:ascii="Simplified Arabic" w:hAnsi="Simplified Arabic" w:cs="Simplified Arabic"/>
          <w:sz w:val="28"/>
          <w:szCs w:val="28"/>
          <w:lang w:bidi="ar-EG"/>
        </w:rPr>
      </w:pPr>
      <w:r w:rsidRPr="005F470C">
        <w:rPr>
          <w:rFonts w:ascii="Simplified Arabic" w:hAnsi="Simplified Arabic" w:cs="Simplified Arabic"/>
          <w:sz w:val="28"/>
          <w:szCs w:val="28"/>
          <w:rtl/>
          <w:lang w:bidi="ar-EG"/>
        </w:rPr>
        <w:t>نشوء ظاهرة المزاحمة حيث يؤدي اقتراض الحكومة من القطاع العائلي إلى مزاحمة القطاع الخاص وبما يؤدي إلى رفع أسعار الفائدة المحلية وهو الأمر الذي من شأنه الضغط على معدلات التوسع في الاستثمارات الخاصة وتقليل عرض السلع والخدمات مما يؤدي إلى زيادة معدلات التضخم.</w:t>
      </w:r>
    </w:p>
    <w:p w14:paraId="64051DCA" w14:textId="77777777" w:rsidR="002959BC" w:rsidRPr="00473C79" w:rsidRDefault="002959BC" w:rsidP="002959BC">
      <w:pPr>
        <w:pStyle w:val="ListParagraph"/>
        <w:spacing w:after="0" w:line="240" w:lineRule="auto"/>
        <w:ind w:left="1559" w:hanging="360"/>
        <w:contextualSpacing w:val="0"/>
        <w:jc w:val="both"/>
        <w:rPr>
          <w:rFonts w:ascii="Simplified Arabic" w:hAnsi="Simplified Arabic" w:cs="Simplified Arabic"/>
          <w:lang w:bidi="ar-EG"/>
        </w:rPr>
      </w:pPr>
    </w:p>
    <w:p w14:paraId="3354C7FE" w14:textId="77777777" w:rsidR="002959BC" w:rsidRDefault="002959BC" w:rsidP="0041332D">
      <w:pPr>
        <w:pStyle w:val="ListParagraph"/>
        <w:numPr>
          <w:ilvl w:val="0"/>
          <w:numId w:val="30"/>
        </w:numPr>
        <w:spacing w:after="0" w:line="240" w:lineRule="auto"/>
        <w:ind w:left="1559"/>
        <w:contextualSpacing w:val="0"/>
        <w:jc w:val="both"/>
        <w:rPr>
          <w:rFonts w:ascii="Simplified Arabic" w:hAnsi="Simplified Arabic" w:cs="Simplified Arabic"/>
          <w:sz w:val="28"/>
          <w:szCs w:val="28"/>
          <w:lang w:bidi="ar-EG"/>
        </w:rPr>
      </w:pPr>
      <w:r w:rsidRPr="005F470C">
        <w:rPr>
          <w:rFonts w:ascii="Simplified Arabic" w:hAnsi="Simplified Arabic" w:cs="Simplified Arabic"/>
          <w:sz w:val="28"/>
          <w:szCs w:val="28"/>
          <w:rtl/>
          <w:lang w:bidi="ar-EG"/>
        </w:rPr>
        <w:t>إن التوسع في إصدار السندات الحكومية سوف يؤدي إلى تراكم المديونيات الحكومية مما سيترتب عليه عزوف القطاع العائلي عن الاستثمار في أذون الخزانة الحكومية، وسوف تضطر الحكومة إلى رفع أسعار الفائدة كما أنها ستضطر إلى اللجوء إلى البنوك لتمويل عجز الموازنة، مما سيترتب عليه زيادة مزاحمة القطاع الخاص وقلة المعروض من السلع والخدمات وزيادة معدلات التضخم بشكل مستمر.</w:t>
      </w:r>
    </w:p>
    <w:p w14:paraId="56892D8B" w14:textId="77777777" w:rsidR="002959BC" w:rsidRPr="00473C79" w:rsidRDefault="002959BC" w:rsidP="002959BC">
      <w:pPr>
        <w:pStyle w:val="ListParagraph"/>
        <w:rPr>
          <w:rFonts w:ascii="Simplified Arabic" w:hAnsi="Simplified Arabic" w:cs="Simplified Arabic"/>
          <w:rtl/>
          <w:lang w:bidi="ar-EG"/>
        </w:rPr>
      </w:pPr>
    </w:p>
    <w:p w14:paraId="67A51844" w14:textId="77777777" w:rsidR="002959BC" w:rsidRPr="005F470C" w:rsidRDefault="002959BC" w:rsidP="0041332D">
      <w:pPr>
        <w:pStyle w:val="ListParagraph"/>
        <w:numPr>
          <w:ilvl w:val="0"/>
          <w:numId w:val="30"/>
        </w:numPr>
        <w:spacing w:after="0" w:line="240" w:lineRule="auto"/>
        <w:ind w:left="1559"/>
        <w:contextualSpacing w:val="0"/>
        <w:jc w:val="both"/>
        <w:rPr>
          <w:rFonts w:ascii="Simplified Arabic" w:hAnsi="Simplified Arabic" w:cs="Simplified Arabic"/>
          <w:sz w:val="28"/>
          <w:szCs w:val="28"/>
          <w:lang w:bidi="ar-EG"/>
        </w:rPr>
      </w:pPr>
      <w:r w:rsidRPr="005F470C">
        <w:rPr>
          <w:rFonts w:ascii="Simplified Arabic" w:hAnsi="Simplified Arabic" w:cs="Simplified Arabic"/>
          <w:sz w:val="28"/>
          <w:szCs w:val="28"/>
          <w:rtl/>
          <w:lang w:bidi="ar-EG"/>
        </w:rPr>
        <w:t>أن تمويل العجز بسندات الدين المحلي رغم أنه يؤجل حدوث التضخم، لكنه قد يؤدي إلى معدل تضخم أكثر ارتفاعاً في المستقبل، خاصة إذا لم يظل الدين الحكومي تحت السيطرة وفي الحدود الآمنة.</w:t>
      </w:r>
      <w:r w:rsidRPr="005F470C">
        <w:rPr>
          <w:rFonts w:ascii="Simplified Arabic" w:hAnsi="Simplified Arabic" w:cs="Simplified Arabic"/>
          <w:sz w:val="28"/>
          <w:szCs w:val="28"/>
          <w:vertAlign w:val="superscript"/>
          <w:rtl/>
          <w:lang w:bidi="ar-EG"/>
        </w:rPr>
        <w:t xml:space="preserve"> (</w:t>
      </w:r>
      <w:r w:rsidRPr="005F470C">
        <w:rPr>
          <w:rFonts w:ascii="Simplified Arabic" w:hAnsi="Simplified Arabic" w:cs="Simplified Arabic"/>
          <w:sz w:val="28"/>
          <w:szCs w:val="28"/>
          <w:vertAlign w:val="superscript"/>
          <w:rtl/>
          <w:lang w:bidi="ar-EG"/>
        </w:rPr>
        <w:footnoteReference w:id="73"/>
      </w:r>
      <w:r w:rsidRPr="005F470C">
        <w:rPr>
          <w:rFonts w:ascii="Simplified Arabic" w:hAnsi="Simplified Arabic" w:cs="Simplified Arabic"/>
          <w:sz w:val="28"/>
          <w:szCs w:val="28"/>
          <w:vertAlign w:val="superscript"/>
          <w:rtl/>
          <w:lang w:bidi="ar-EG"/>
        </w:rPr>
        <w:t>)</w:t>
      </w:r>
    </w:p>
    <w:p w14:paraId="43A0E2B0" w14:textId="77777777" w:rsidR="002959BC" w:rsidRPr="00473C79" w:rsidRDefault="002959BC" w:rsidP="002959BC">
      <w:pPr>
        <w:pStyle w:val="ListParagraph"/>
        <w:spacing w:after="0" w:line="240" w:lineRule="auto"/>
        <w:contextualSpacing w:val="0"/>
        <w:jc w:val="both"/>
        <w:rPr>
          <w:rFonts w:ascii="Simplified Arabic" w:hAnsi="Simplified Arabic" w:cs="Simplified Arabic"/>
          <w:lang w:bidi="ar-EG"/>
        </w:rPr>
      </w:pPr>
    </w:p>
    <w:p w14:paraId="0E2548B1" w14:textId="77777777" w:rsidR="002959BC" w:rsidRPr="005F470C" w:rsidRDefault="002959BC" w:rsidP="0041332D">
      <w:pPr>
        <w:pStyle w:val="ListParagraph"/>
        <w:numPr>
          <w:ilvl w:val="0"/>
          <w:numId w:val="3"/>
        </w:numPr>
        <w:spacing w:after="0" w:line="240" w:lineRule="auto"/>
        <w:ind w:left="453"/>
        <w:contextualSpacing w:val="0"/>
        <w:jc w:val="both"/>
        <w:rPr>
          <w:rFonts w:ascii="Simplified Arabic" w:hAnsi="Simplified Arabic" w:cs="Simplified Arabic"/>
          <w:b/>
          <w:bCs/>
          <w:sz w:val="30"/>
          <w:szCs w:val="30"/>
          <w:u w:val="single"/>
          <w:lang w:bidi="ar-EG"/>
        </w:rPr>
      </w:pPr>
      <w:r w:rsidRPr="005F470C">
        <w:rPr>
          <w:rFonts w:ascii="Simplified Arabic" w:hAnsi="Simplified Arabic" w:cs="Simplified Arabic"/>
          <w:b/>
          <w:bCs/>
          <w:sz w:val="30"/>
          <w:szCs w:val="30"/>
          <w:u w:val="single"/>
          <w:rtl/>
          <w:lang w:bidi="ar-EG"/>
        </w:rPr>
        <w:t>مصادر التمويل الأخرى:</w:t>
      </w:r>
    </w:p>
    <w:p w14:paraId="47625E1B" w14:textId="77777777" w:rsidR="002959BC" w:rsidRDefault="002959BC" w:rsidP="002959BC">
      <w:pPr>
        <w:ind w:left="425" w:firstLine="453"/>
        <w:jc w:val="both"/>
        <w:rPr>
          <w:rFonts w:ascii="Simplified Arabic" w:hAnsi="Simplified Arabic" w:cs="Simplified Arabic"/>
          <w:sz w:val="28"/>
          <w:szCs w:val="28"/>
          <w:rtl/>
          <w:lang w:bidi="ar-EG"/>
        </w:rPr>
      </w:pPr>
      <w:r w:rsidRPr="005F470C">
        <w:rPr>
          <w:rFonts w:ascii="Simplified Arabic" w:hAnsi="Simplified Arabic" w:cs="Simplified Arabic"/>
          <w:sz w:val="28"/>
          <w:szCs w:val="28"/>
          <w:rtl/>
          <w:lang w:bidi="ar-EG"/>
        </w:rPr>
        <w:t>وتلجأ الدولة إلى توفير تمويل لعجز الموازنة العامة للدولة عن طريق بعض الإجراءات المحاسبية تتمثل في تخفيض الأصول مثل السحب من الاحتياطيات والخصخصة أو زيادة الخصوم مثل تراكم المتأخرات.</w:t>
      </w:r>
    </w:p>
    <w:p w14:paraId="23C1074E" w14:textId="77777777" w:rsidR="002959BC" w:rsidRPr="005F470C" w:rsidRDefault="002959BC" w:rsidP="002959BC">
      <w:pPr>
        <w:ind w:left="425" w:firstLine="453"/>
        <w:jc w:val="both"/>
        <w:rPr>
          <w:rFonts w:ascii="Simplified Arabic" w:hAnsi="Simplified Arabic" w:cs="Simplified Arabic"/>
          <w:sz w:val="28"/>
          <w:szCs w:val="28"/>
          <w:rtl/>
          <w:lang w:bidi="ar-EG"/>
        </w:rPr>
      </w:pPr>
    </w:p>
    <w:p w14:paraId="3F41F87A" w14:textId="77777777" w:rsidR="002959BC" w:rsidRPr="006904A4" w:rsidRDefault="002959BC" w:rsidP="0041332D">
      <w:pPr>
        <w:pStyle w:val="ListParagraph"/>
        <w:numPr>
          <w:ilvl w:val="0"/>
          <w:numId w:val="29"/>
        </w:numPr>
        <w:spacing w:after="0" w:line="240" w:lineRule="auto"/>
        <w:ind w:left="714" w:hanging="357"/>
        <w:contextualSpacing w:val="0"/>
        <w:jc w:val="both"/>
        <w:rPr>
          <w:rFonts w:ascii="Simplified Arabic" w:hAnsi="Simplified Arabic" w:cs="Simplified Arabic"/>
          <w:b/>
          <w:bCs/>
          <w:sz w:val="28"/>
          <w:szCs w:val="28"/>
          <w:u w:val="single"/>
          <w:rtl/>
          <w:lang w:bidi="ar-EG"/>
        </w:rPr>
      </w:pPr>
      <w:r w:rsidRPr="006904A4">
        <w:rPr>
          <w:rFonts w:ascii="Simplified Arabic" w:hAnsi="Simplified Arabic" w:cs="Simplified Arabic"/>
          <w:b/>
          <w:bCs/>
          <w:sz w:val="28"/>
          <w:szCs w:val="28"/>
          <w:u w:val="single"/>
          <w:rtl/>
          <w:lang w:bidi="ar-EG"/>
        </w:rPr>
        <w:t>التمويل عن طريق السحب من الاحتياطيات الدولية:</w:t>
      </w:r>
    </w:p>
    <w:p w14:paraId="60E6428D" w14:textId="77777777" w:rsidR="002959BC" w:rsidRPr="005F470C" w:rsidRDefault="002959BC" w:rsidP="002959BC">
      <w:pPr>
        <w:pStyle w:val="ListParagraph"/>
        <w:spacing w:after="0" w:line="240" w:lineRule="auto"/>
        <w:ind w:left="878"/>
        <w:contextualSpacing w:val="0"/>
        <w:jc w:val="both"/>
        <w:rPr>
          <w:rFonts w:ascii="Simplified Arabic" w:hAnsi="Simplified Arabic" w:cs="Simplified Arabic"/>
          <w:sz w:val="28"/>
          <w:szCs w:val="28"/>
          <w:rtl/>
          <w:lang w:bidi="ar-EG"/>
        </w:rPr>
      </w:pPr>
      <w:r w:rsidRPr="005F470C">
        <w:rPr>
          <w:rFonts w:ascii="Simplified Arabic" w:hAnsi="Simplified Arabic" w:cs="Simplified Arabic"/>
          <w:sz w:val="28"/>
          <w:szCs w:val="28"/>
          <w:rtl/>
          <w:lang w:bidi="ar-EG"/>
        </w:rPr>
        <w:t>قد تلجأ الدول إلى تمويل العجز في موازنتها العامة من خلال السحب من احتياطيات النقد الأجنبي المتوافرة لدى البنك المركزي أو الأرصدة الذهبية، كما أنه يمكن السحب من نصيبها بحقوق السحب الخاصة لدى صندوق النقد الدولي وذلك للوفاء بالتزاماتها الخارجية وتوفير السلع الضرورية لمواطنيها.</w:t>
      </w:r>
    </w:p>
    <w:p w14:paraId="7C93FA14" w14:textId="77777777" w:rsidR="002959BC" w:rsidRPr="005F470C" w:rsidRDefault="002959BC" w:rsidP="002959BC">
      <w:pPr>
        <w:pStyle w:val="ListParagraph"/>
        <w:spacing w:after="0" w:line="240" w:lineRule="auto"/>
        <w:ind w:left="1162"/>
        <w:contextualSpacing w:val="0"/>
        <w:jc w:val="both"/>
        <w:rPr>
          <w:rFonts w:ascii="Simplified Arabic" w:hAnsi="Simplified Arabic" w:cs="Simplified Arabic"/>
          <w:sz w:val="28"/>
          <w:szCs w:val="28"/>
          <w:rtl/>
          <w:lang w:bidi="ar-EG"/>
        </w:rPr>
      </w:pPr>
    </w:p>
    <w:p w14:paraId="53EDCFD2" w14:textId="77777777" w:rsidR="002959BC" w:rsidRPr="005F470C" w:rsidRDefault="002959BC" w:rsidP="002959BC">
      <w:pPr>
        <w:pStyle w:val="ListParagraph"/>
        <w:spacing w:after="0" w:line="240" w:lineRule="auto"/>
        <w:ind w:left="878"/>
        <w:contextualSpacing w:val="0"/>
        <w:jc w:val="both"/>
        <w:rPr>
          <w:rFonts w:ascii="Simplified Arabic" w:hAnsi="Simplified Arabic" w:cs="Simplified Arabic"/>
          <w:sz w:val="28"/>
          <w:szCs w:val="28"/>
          <w:u w:val="single"/>
          <w:rtl/>
          <w:lang w:bidi="ar-EG"/>
        </w:rPr>
      </w:pPr>
      <w:r w:rsidRPr="005F470C">
        <w:rPr>
          <w:rFonts w:ascii="Simplified Arabic" w:hAnsi="Simplified Arabic" w:cs="Simplified Arabic"/>
          <w:sz w:val="28"/>
          <w:szCs w:val="28"/>
          <w:u w:val="single"/>
          <w:rtl/>
          <w:lang w:bidi="ar-EG"/>
        </w:rPr>
        <w:t>أثر السحب من الاحتياطيات الدولية على التضخم:</w:t>
      </w:r>
    </w:p>
    <w:p w14:paraId="654A7D2F" w14:textId="77777777" w:rsidR="002959BC" w:rsidRDefault="002959BC" w:rsidP="002959BC">
      <w:pPr>
        <w:pStyle w:val="ListParagraph"/>
        <w:spacing w:after="0" w:line="240" w:lineRule="auto"/>
        <w:ind w:left="1162"/>
        <w:contextualSpacing w:val="0"/>
        <w:jc w:val="both"/>
        <w:rPr>
          <w:rFonts w:ascii="Simplified Arabic" w:hAnsi="Simplified Arabic" w:cs="Simplified Arabic"/>
          <w:sz w:val="28"/>
          <w:szCs w:val="28"/>
          <w:lang w:bidi="ar-EG"/>
        </w:rPr>
      </w:pPr>
      <w:r w:rsidRPr="005F470C">
        <w:rPr>
          <w:rFonts w:ascii="Simplified Arabic" w:hAnsi="Simplified Arabic" w:cs="Simplified Arabic"/>
          <w:sz w:val="28"/>
          <w:szCs w:val="28"/>
          <w:rtl/>
          <w:lang w:bidi="ar-EG"/>
        </w:rPr>
        <w:t xml:space="preserve">يؤدي السحب من الاحتياطات الدولية إلى التأثير سلباً على سعر الصرف مما يؤدي إلى تدهور قيمة العملة المحلية </w:t>
      </w:r>
      <w:r w:rsidRPr="005F470C">
        <w:rPr>
          <w:rFonts w:ascii="Simplified Arabic" w:hAnsi="Simplified Arabic" w:cs="Simplified Arabic"/>
          <w:sz w:val="28"/>
          <w:szCs w:val="28"/>
          <w:vertAlign w:val="superscript"/>
          <w:rtl/>
          <w:lang w:bidi="ar-EG"/>
        </w:rPr>
        <w:t>(</w:t>
      </w:r>
      <w:r w:rsidRPr="005F470C">
        <w:rPr>
          <w:rFonts w:ascii="Simplified Arabic" w:hAnsi="Simplified Arabic" w:cs="Simplified Arabic"/>
          <w:sz w:val="28"/>
          <w:szCs w:val="28"/>
          <w:vertAlign w:val="superscript"/>
          <w:rtl/>
          <w:lang w:bidi="ar-EG"/>
        </w:rPr>
        <w:footnoteReference w:id="74"/>
      </w:r>
      <w:r w:rsidRPr="005F470C">
        <w:rPr>
          <w:rFonts w:ascii="Simplified Arabic" w:hAnsi="Simplified Arabic" w:cs="Simplified Arabic"/>
          <w:sz w:val="28"/>
          <w:szCs w:val="28"/>
          <w:vertAlign w:val="superscript"/>
          <w:rtl/>
          <w:lang w:bidi="ar-EG"/>
        </w:rPr>
        <w:t>)</w:t>
      </w:r>
      <w:r w:rsidRPr="005F470C">
        <w:rPr>
          <w:rFonts w:ascii="Simplified Arabic" w:hAnsi="Simplified Arabic" w:cs="Simplified Arabic"/>
          <w:sz w:val="28"/>
          <w:szCs w:val="28"/>
          <w:rtl/>
          <w:lang w:bidi="ar-EG"/>
        </w:rPr>
        <w:t xml:space="preserve"> مما يترتب عليه ارتفاع أسعار السلع المستوردة والسلع التي تعتمد على المدخلات المستوردة وزيادة معدلات التضخم. </w:t>
      </w:r>
    </w:p>
    <w:p w14:paraId="75B1625E" w14:textId="77777777" w:rsidR="002959BC" w:rsidRPr="005F470C" w:rsidRDefault="002959BC" w:rsidP="002959BC">
      <w:pPr>
        <w:pStyle w:val="ListParagraph"/>
        <w:spacing w:after="0" w:line="240" w:lineRule="auto"/>
        <w:ind w:left="1162"/>
        <w:contextualSpacing w:val="0"/>
        <w:jc w:val="both"/>
        <w:rPr>
          <w:rFonts w:ascii="Simplified Arabic" w:hAnsi="Simplified Arabic" w:cs="Simplified Arabic"/>
          <w:sz w:val="28"/>
          <w:szCs w:val="28"/>
          <w:rtl/>
          <w:lang w:bidi="ar-EG"/>
        </w:rPr>
      </w:pPr>
    </w:p>
    <w:p w14:paraId="31179860" w14:textId="77777777" w:rsidR="002959BC" w:rsidRPr="006904A4" w:rsidRDefault="002959BC" w:rsidP="0041332D">
      <w:pPr>
        <w:pStyle w:val="ListParagraph"/>
        <w:numPr>
          <w:ilvl w:val="0"/>
          <w:numId w:val="29"/>
        </w:numPr>
        <w:spacing w:after="0" w:line="240" w:lineRule="auto"/>
        <w:ind w:left="714" w:hanging="357"/>
        <w:contextualSpacing w:val="0"/>
        <w:jc w:val="both"/>
        <w:rPr>
          <w:rFonts w:ascii="Simplified Arabic" w:hAnsi="Simplified Arabic" w:cs="Simplified Arabic"/>
          <w:b/>
          <w:bCs/>
          <w:sz w:val="28"/>
          <w:szCs w:val="28"/>
          <w:u w:val="single"/>
          <w:lang w:bidi="ar-EG"/>
        </w:rPr>
      </w:pPr>
      <w:r w:rsidRPr="006904A4">
        <w:rPr>
          <w:rFonts w:ascii="Simplified Arabic" w:hAnsi="Simplified Arabic" w:cs="Simplified Arabic"/>
          <w:b/>
          <w:bCs/>
          <w:sz w:val="28"/>
          <w:szCs w:val="28"/>
          <w:u w:val="single"/>
          <w:rtl/>
          <w:lang w:bidi="ar-EG"/>
        </w:rPr>
        <w:t>التمويل عن طريق الخصخصة:</w:t>
      </w:r>
    </w:p>
    <w:p w14:paraId="713D67D3" w14:textId="77777777" w:rsidR="002959BC" w:rsidRPr="005F470C" w:rsidRDefault="002959BC" w:rsidP="002959BC">
      <w:pPr>
        <w:pStyle w:val="ListParagraph"/>
        <w:spacing w:after="0" w:line="240" w:lineRule="auto"/>
        <w:ind w:left="878"/>
        <w:contextualSpacing w:val="0"/>
        <w:jc w:val="both"/>
        <w:rPr>
          <w:rFonts w:ascii="Simplified Arabic" w:hAnsi="Simplified Arabic" w:cs="Simplified Arabic"/>
          <w:sz w:val="28"/>
          <w:szCs w:val="28"/>
          <w:rtl/>
          <w:lang w:bidi="ar-EG"/>
        </w:rPr>
      </w:pPr>
      <w:r w:rsidRPr="005F470C">
        <w:rPr>
          <w:rFonts w:ascii="Simplified Arabic" w:hAnsi="Simplified Arabic" w:cs="Simplified Arabic"/>
          <w:sz w:val="28"/>
          <w:szCs w:val="28"/>
          <w:rtl/>
          <w:lang w:bidi="ar-EG"/>
        </w:rPr>
        <w:t>يُعد صافي حصيلة خصخصة الشركات العامة، أحد مصادر تمويل عجز الموازنة العامة للدولة في مصر وهو يتضمن الفرق بين حصيلة الخصخصة ومساهمة الخزانة العامة في تمويل صندوق إعادة الهيكلة</w:t>
      </w:r>
      <w:r w:rsidRPr="005F470C">
        <w:rPr>
          <w:rFonts w:ascii="Simplified Arabic" w:hAnsi="Simplified Arabic" w:cs="Simplified Arabic"/>
          <w:sz w:val="28"/>
          <w:szCs w:val="28"/>
          <w:vertAlign w:val="superscript"/>
          <w:rtl/>
          <w:lang w:bidi="ar-EG"/>
        </w:rPr>
        <w:t>(</w:t>
      </w:r>
      <w:r w:rsidRPr="005F470C">
        <w:rPr>
          <w:rFonts w:ascii="Simplified Arabic" w:hAnsi="Simplified Arabic" w:cs="Simplified Arabic"/>
          <w:sz w:val="28"/>
          <w:szCs w:val="28"/>
          <w:vertAlign w:val="superscript"/>
          <w:rtl/>
          <w:lang w:bidi="ar-EG"/>
        </w:rPr>
        <w:footnoteReference w:id="75"/>
      </w:r>
      <w:r w:rsidRPr="005F470C">
        <w:rPr>
          <w:rFonts w:ascii="Simplified Arabic" w:hAnsi="Simplified Arabic" w:cs="Simplified Arabic"/>
          <w:sz w:val="28"/>
          <w:szCs w:val="28"/>
          <w:vertAlign w:val="superscript"/>
          <w:rtl/>
          <w:lang w:bidi="ar-EG"/>
        </w:rPr>
        <w:t>)</w:t>
      </w:r>
      <w:r w:rsidRPr="005F470C">
        <w:rPr>
          <w:rFonts w:ascii="Simplified Arabic" w:hAnsi="Simplified Arabic" w:cs="Simplified Arabic"/>
          <w:sz w:val="28"/>
          <w:szCs w:val="28"/>
          <w:rtl/>
          <w:lang w:bidi="ar-EG"/>
        </w:rPr>
        <w:t>،</w:t>
      </w:r>
      <w:r w:rsidRPr="005F470C">
        <w:rPr>
          <w:rFonts w:ascii="Simplified Arabic" w:hAnsi="Simplified Arabic" w:cs="Simplified Arabic"/>
          <w:sz w:val="28"/>
          <w:szCs w:val="28"/>
          <w:rtl/>
        </w:rPr>
        <w:t xml:space="preserve"> كما أن هذه الشركات حال تحقيقها أرباحاً فإنها سوف تدفع ضرائب مما سيعمل على زيادة إيرادات الدولة مما يحد من عجز الموازنة العامة للدولة</w:t>
      </w:r>
      <w:r w:rsidRPr="005F470C">
        <w:rPr>
          <w:rFonts w:ascii="Simplified Arabic" w:hAnsi="Simplified Arabic" w:cs="Simplified Arabic"/>
          <w:sz w:val="28"/>
          <w:szCs w:val="28"/>
          <w:rtl/>
          <w:lang w:bidi="ar-EG"/>
        </w:rPr>
        <w:t>.</w:t>
      </w:r>
    </w:p>
    <w:p w14:paraId="5BC4F865" w14:textId="77777777" w:rsidR="002959BC" w:rsidRPr="005F470C" w:rsidRDefault="002959BC" w:rsidP="002959BC">
      <w:pPr>
        <w:pStyle w:val="ListParagraph"/>
        <w:spacing w:after="0" w:line="240" w:lineRule="auto"/>
        <w:ind w:left="1162"/>
        <w:contextualSpacing w:val="0"/>
        <w:jc w:val="both"/>
        <w:rPr>
          <w:rFonts w:ascii="Simplified Arabic" w:hAnsi="Simplified Arabic" w:cs="Simplified Arabic"/>
          <w:sz w:val="28"/>
          <w:szCs w:val="28"/>
          <w:rtl/>
          <w:lang w:bidi="ar-EG"/>
        </w:rPr>
      </w:pPr>
    </w:p>
    <w:p w14:paraId="6729A5D7" w14:textId="77777777" w:rsidR="00131C6C" w:rsidRDefault="00131C6C" w:rsidP="002959BC">
      <w:pPr>
        <w:pStyle w:val="ListParagraph"/>
        <w:spacing w:after="0" w:line="240" w:lineRule="auto"/>
        <w:ind w:left="878"/>
        <w:contextualSpacing w:val="0"/>
        <w:jc w:val="both"/>
        <w:rPr>
          <w:rFonts w:ascii="Simplified Arabic" w:hAnsi="Simplified Arabic" w:cs="Simplified Arabic"/>
          <w:sz w:val="28"/>
          <w:szCs w:val="28"/>
          <w:u w:val="single"/>
          <w:rtl/>
          <w:lang w:bidi="ar-EG"/>
        </w:rPr>
      </w:pPr>
    </w:p>
    <w:p w14:paraId="2E7A2684" w14:textId="679F5917" w:rsidR="002959BC" w:rsidRPr="005F470C" w:rsidRDefault="002959BC" w:rsidP="002959BC">
      <w:pPr>
        <w:pStyle w:val="ListParagraph"/>
        <w:spacing w:after="0" w:line="240" w:lineRule="auto"/>
        <w:ind w:left="878"/>
        <w:contextualSpacing w:val="0"/>
        <w:jc w:val="both"/>
        <w:rPr>
          <w:rFonts w:ascii="Simplified Arabic" w:hAnsi="Simplified Arabic" w:cs="Simplified Arabic"/>
          <w:sz w:val="28"/>
          <w:szCs w:val="28"/>
          <w:u w:val="single"/>
          <w:rtl/>
          <w:lang w:bidi="ar-EG"/>
        </w:rPr>
      </w:pPr>
      <w:r w:rsidRPr="005F470C">
        <w:rPr>
          <w:rFonts w:ascii="Simplified Arabic" w:hAnsi="Simplified Arabic" w:cs="Simplified Arabic"/>
          <w:sz w:val="28"/>
          <w:szCs w:val="28"/>
          <w:u w:val="single"/>
          <w:rtl/>
          <w:lang w:bidi="ar-EG"/>
        </w:rPr>
        <w:lastRenderedPageBreak/>
        <w:t>أثر الخصخصة على التضخم:</w:t>
      </w:r>
    </w:p>
    <w:p w14:paraId="1F24580B" w14:textId="77777777" w:rsidR="002959BC" w:rsidRPr="005F470C" w:rsidRDefault="002959BC" w:rsidP="002959BC">
      <w:pPr>
        <w:pStyle w:val="ListParagraph"/>
        <w:spacing w:after="0" w:line="240" w:lineRule="auto"/>
        <w:ind w:left="1162"/>
        <w:contextualSpacing w:val="0"/>
        <w:jc w:val="both"/>
        <w:rPr>
          <w:rFonts w:ascii="Simplified Arabic" w:hAnsi="Simplified Arabic" w:cs="Simplified Arabic"/>
          <w:sz w:val="28"/>
          <w:szCs w:val="28"/>
        </w:rPr>
      </w:pPr>
      <w:r w:rsidRPr="005F470C">
        <w:rPr>
          <w:rFonts w:ascii="Simplified Arabic" w:hAnsi="Simplified Arabic" w:cs="Simplified Arabic"/>
          <w:sz w:val="28"/>
          <w:szCs w:val="28"/>
          <w:rtl/>
          <w:lang w:bidi="ar-EG"/>
        </w:rPr>
        <w:t xml:space="preserve">يتوقف أثر عملية الخصخصة على التضخم على مدى زيادة إنتاجية الشركات التي تم خصخصتها، فإذا زادت إنتاجية تلك الشركات فإنه سوف يزيد </w:t>
      </w:r>
      <w:r w:rsidRPr="005F470C">
        <w:rPr>
          <w:rFonts w:ascii="Simplified Arabic" w:hAnsi="Simplified Arabic" w:cs="Simplified Arabic"/>
          <w:sz w:val="28"/>
          <w:szCs w:val="28"/>
          <w:rtl/>
        </w:rPr>
        <w:t>عرض السلع والخدمات وربما توافر سلعاً صالحة للتصدير، الأمر الذي من شأنه تخفيض معدلات التضخم.</w:t>
      </w:r>
    </w:p>
    <w:p w14:paraId="3A29D6D7" w14:textId="02E23BBC" w:rsidR="002959BC" w:rsidRDefault="002959BC">
      <w:pPr>
        <w:bidi w:val="0"/>
        <w:spacing w:after="160" w:line="259" w:lineRule="auto"/>
        <w:rPr>
          <w:rtl/>
          <w:lang w:bidi="ar-EG"/>
        </w:rPr>
      </w:pPr>
      <w:r>
        <w:rPr>
          <w:rtl/>
          <w:lang w:bidi="ar-EG"/>
        </w:rPr>
        <w:br w:type="page"/>
      </w:r>
    </w:p>
    <w:p w14:paraId="7CB7B8D9" w14:textId="77777777" w:rsidR="002959BC" w:rsidRPr="00E3643D" w:rsidRDefault="002959BC" w:rsidP="002959BC">
      <w:pPr>
        <w:jc w:val="both"/>
        <w:rPr>
          <w:rFonts w:ascii="Simplified Arabic" w:hAnsi="Simplified Arabic" w:cs="Simplified Arabic"/>
          <w:sz w:val="28"/>
          <w:szCs w:val="28"/>
          <w:rtl/>
          <w:lang w:bidi="ar-EG"/>
        </w:rPr>
      </w:pPr>
    </w:p>
    <w:p w14:paraId="2F3B4EF3" w14:textId="77777777" w:rsidR="002959BC" w:rsidRPr="00E3643D" w:rsidRDefault="002959BC" w:rsidP="002959BC">
      <w:pPr>
        <w:tabs>
          <w:tab w:val="left" w:pos="2162"/>
        </w:tabs>
        <w:jc w:val="both"/>
        <w:rPr>
          <w:rFonts w:ascii="Simplified Arabic" w:hAnsi="Simplified Arabic" w:cs="Simplified Arabic"/>
          <w:sz w:val="28"/>
          <w:szCs w:val="28"/>
          <w:rtl/>
          <w:lang w:bidi="ar-EG"/>
        </w:rPr>
      </w:pPr>
      <w:r w:rsidRPr="00E3643D">
        <w:rPr>
          <w:rFonts w:ascii="Simplified Arabic" w:hAnsi="Simplified Arabic" w:cs="Simplified Arabic"/>
          <w:sz w:val="28"/>
          <w:szCs w:val="28"/>
          <w:rtl/>
          <w:lang w:bidi="ar-EG"/>
        </w:rPr>
        <w:tab/>
      </w:r>
    </w:p>
    <w:p w14:paraId="11508C55" w14:textId="77777777" w:rsidR="002959BC" w:rsidRPr="00E3643D" w:rsidRDefault="002959BC" w:rsidP="002959BC">
      <w:pPr>
        <w:jc w:val="both"/>
        <w:rPr>
          <w:rFonts w:ascii="Simplified Arabic" w:hAnsi="Simplified Arabic" w:cs="Simplified Arabic"/>
          <w:sz w:val="28"/>
          <w:szCs w:val="28"/>
          <w:rtl/>
          <w:lang w:bidi="ar-EG"/>
        </w:rPr>
      </w:pPr>
    </w:p>
    <w:p w14:paraId="5A245A5D" w14:textId="77777777" w:rsidR="002959BC" w:rsidRPr="00E3643D" w:rsidRDefault="002959BC" w:rsidP="002959BC">
      <w:pPr>
        <w:jc w:val="both"/>
        <w:rPr>
          <w:rFonts w:ascii="Simplified Arabic" w:hAnsi="Simplified Arabic" w:cs="Simplified Arabic"/>
          <w:sz w:val="28"/>
          <w:szCs w:val="28"/>
          <w:rtl/>
          <w:lang w:bidi="ar-EG"/>
        </w:rPr>
      </w:pPr>
    </w:p>
    <w:p w14:paraId="3FAB988C" w14:textId="77777777" w:rsidR="002959BC" w:rsidRPr="00E3643D" w:rsidRDefault="002959BC" w:rsidP="002959BC">
      <w:pPr>
        <w:jc w:val="both"/>
        <w:rPr>
          <w:rFonts w:ascii="Simplified Arabic" w:hAnsi="Simplified Arabic" w:cs="Simplified Arabic"/>
          <w:sz w:val="28"/>
          <w:szCs w:val="28"/>
          <w:rtl/>
          <w:lang w:bidi="ar-EG"/>
        </w:rPr>
      </w:pPr>
      <w:r w:rsidRPr="00E3643D">
        <w:rPr>
          <w:rFonts w:ascii="Simplified Arabic" w:hAnsi="Simplified Arabic" w:cs="Simplified Arabic"/>
          <w:sz w:val="28"/>
          <w:szCs w:val="28"/>
          <w:rtl/>
        </w:rPr>
        <mc:AlternateContent>
          <mc:Choice Requires="wps">
            <w:drawing>
              <wp:anchor distT="0" distB="0" distL="114300" distR="114300" simplePos="0" relativeHeight="251675648" behindDoc="0" locked="0" layoutInCell="1" allowOverlap="1" wp14:anchorId="09E4EA15" wp14:editId="2DF4F0AF">
                <wp:simplePos x="0" y="0"/>
                <wp:positionH relativeFrom="margin">
                  <wp:align>center</wp:align>
                </wp:positionH>
                <wp:positionV relativeFrom="margin">
                  <wp:align>center</wp:align>
                </wp:positionV>
                <wp:extent cx="5475266" cy="1504950"/>
                <wp:effectExtent l="0" t="0" r="30480" b="57150"/>
                <wp:wrapNone/>
                <wp:docPr id="99"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5266" cy="1504950"/>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5710A1D4" w14:textId="77777777" w:rsidR="00270E6A" w:rsidRPr="00E3643D" w:rsidRDefault="00270E6A" w:rsidP="002959BC">
                            <w:pPr>
                              <w:jc w:val="center"/>
                              <w:rPr>
                                <w:rFonts w:ascii="Simplified Arabic" w:hAnsi="Simplified Arabic" w:cs="Simplified Arabic"/>
                                <w:b/>
                                <w:bCs/>
                                <w:color w:val="222A35" w:themeColor="text2" w:themeShade="80"/>
                                <w:sz w:val="32"/>
                                <w:szCs w:val="32"/>
                                <w:rtl/>
                                <w:lang w:bidi="ar-EG"/>
                              </w:rPr>
                            </w:pPr>
                            <w:r w:rsidRPr="00E3643D">
                              <w:rPr>
                                <w:rFonts w:ascii="Simplified Arabic" w:hAnsi="Simplified Arabic" w:cs="Simplified Arabic"/>
                                <w:b/>
                                <w:bCs/>
                                <w:color w:val="222A35" w:themeColor="text2" w:themeShade="80"/>
                                <w:sz w:val="32"/>
                                <w:szCs w:val="32"/>
                                <w:rtl/>
                                <w:lang w:bidi="ar-EG"/>
                              </w:rPr>
                              <w:t>الفصـــل الثاني:</w:t>
                            </w:r>
                          </w:p>
                          <w:p w14:paraId="341D2B5E" w14:textId="77777777" w:rsidR="00270E6A" w:rsidRPr="00E3643D" w:rsidRDefault="00270E6A" w:rsidP="002959BC">
                            <w:pPr>
                              <w:jc w:val="center"/>
                              <w:rPr>
                                <w:rFonts w:ascii="Simplified Arabic" w:hAnsi="Simplified Arabic" w:cs="Simplified Arabic"/>
                                <w:b/>
                                <w:bCs/>
                                <w:color w:val="222A35" w:themeColor="text2" w:themeShade="80"/>
                                <w:sz w:val="32"/>
                                <w:szCs w:val="32"/>
                                <w:rtl/>
                                <w:lang w:bidi="ar-EG"/>
                              </w:rPr>
                            </w:pPr>
                            <w:r w:rsidRPr="00E3643D">
                              <w:rPr>
                                <w:rFonts w:ascii="Simplified Arabic" w:hAnsi="Simplified Arabic" w:cs="Simplified Arabic"/>
                                <w:b/>
                                <w:bCs/>
                                <w:color w:val="222A35" w:themeColor="text2" w:themeShade="80"/>
                                <w:sz w:val="32"/>
                                <w:szCs w:val="32"/>
                                <w:rtl/>
                                <w:lang w:bidi="ar-EG"/>
                              </w:rPr>
                              <w:t>تحليل العلاقة بين آليات تمويل عجز الموازنة العامة والتضخم</w:t>
                            </w:r>
                          </w:p>
                          <w:p w14:paraId="5E157775" w14:textId="77777777" w:rsidR="00270E6A" w:rsidRPr="00E3643D" w:rsidRDefault="00270E6A" w:rsidP="002959BC">
                            <w:pPr>
                              <w:jc w:val="center"/>
                              <w:rPr>
                                <w:rFonts w:ascii="Simplified Arabic" w:hAnsi="Simplified Arabic" w:cs="Simplified Arabic"/>
                                <w:b/>
                                <w:bCs/>
                                <w:color w:val="222A35" w:themeColor="text2" w:themeShade="80"/>
                                <w:sz w:val="32"/>
                                <w:szCs w:val="32"/>
                                <w:lang w:bidi="ar-EG"/>
                              </w:rPr>
                            </w:pPr>
                            <w:r w:rsidRPr="00E3643D">
                              <w:rPr>
                                <w:rFonts w:ascii="Simplified Arabic" w:hAnsi="Simplified Arabic" w:cs="Simplified Arabic"/>
                                <w:b/>
                                <w:bCs/>
                                <w:color w:val="222A35" w:themeColor="text2" w:themeShade="80"/>
                                <w:sz w:val="32"/>
                                <w:szCs w:val="32"/>
                                <w:rtl/>
                                <w:lang w:bidi="ar-EG"/>
                              </w:rPr>
                              <w:t>في مصر خلال الفترة 1991- 2019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E4EA15" id="AutoShape 70" o:spid="_x0000_s1117" style="position:absolute;left:0;text-align:left;margin-left:0;margin-top:0;width:431.1pt;height:118.5pt;z-index:2516756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" fillcolor="white [3201]" strokecolor="#c9c9c9 [1942]" strokeweight="1pt">
                <v:fill color2="#dbdbdb [1302]" focus="100%" type="gradient"/>
                <v:shadow on="t" color="#525252 [1606]" opacity=".5" offset="1pt"/>
                <v:textbox>
                  <w:txbxContent>
                    <w:p w14:paraId="5710A1D4" w14:textId="77777777" w:rsidR="00270E6A" w:rsidRPr="00E3643D" w:rsidRDefault="00270E6A" w:rsidP="002959BC">
                      <w:pPr>
                        <w:jc w:val="center"/>
                        <w:rPr>
                          <w:rFonts w:ascii="Simplified Arabic" w:hAnsi="Simplified Arabic" w:cs="Simplified Arabic"/>
                          <w:b/>
                          <w:bCs/>
                          <w:color w:val="222A35" w:themeColor="text2" w:themeShade="80"/>
                          <w:sz w:val="32"/>
                          <w:szCs w:val="32"/>
                          <w:rtl/>
                          <w:lang w:bidi="ar-EG"/>
                        </w:rPr>
                      </w:pPr>
                      <w:r w:rsidRPr="00E3643D">
                        <w:rPr>
                          <w:rFonts w:ascii="Simplified Arabic" w:hAnsi="Simplified Arabic" w:cs="Simplified Arabic"/>
                          <w:b/>
                          <w:bCs/>
                          <w:color w:val="222A35" w:themeColor="text2" w:themeShade="80"/>
                          <w:sz w:val="32"/>
                          <w:szCs w:val="32"/>
                          <w:rtl/>
                          <w:lang w:bidi="ar-EG"/>
                        </w:rPr>
                        <w:t>الفصـــل الثاني:</w:t>
                      </w:r>
                    </w:p>
                    <w:p w14:paraId="341D2B5E" w14:textId="77777777" w:rsidR="00270E6A" w:rsidRPr="00E3643D" w:rsidRDefault="00270E6A" w:rsidP="002959BC">
                      <w:pPr>
                        <w:jc w:val="center"/>
                        <w:rPr>
                          <w:rFonts w:ascii="Simplified Arabic" w:hAnsi="Simplified Arabic" w:cs="Simplified Arabic"/>
                          <w:b/>
                          <w:bCs/>
                          <w:color w:val="222A35" w:themeColor="text2" w:themeShade="80"/>
                          <w:sz w:val="32"/>
                          <w:szCs w:val="32"/>
                          <w:rtl/>
                          <w:lang w:bidi="ar-EG"/>
                        </w:rPr>
                      </w:pPr>
                      <w:r w:rsidRPr="00E3643D">
                        <w:rPr>
                          <w:rFonts w:ascii="Simplified Arabic" w:hAnsi="Simplified Arabic" w:cs="Simplified Arabic"/>
                          <w:b/>
                          <w:bCs/>
                          <w:color w:val="222A35" w:themeColor="text2" w:themeShade="80"/>
                          <w:sz w:val="32"/>
                          <w:szCs w:val="32"/>
                          <w:rtl/>
                          <w:lang w:bidi="ar-EG"/>
                        </w:rPr>
                        <w:t>تحليل العلاقة بين آليات تمويل عجز الموازنة العامة والتضخم</w:t>
                      </w:r>
                    </w:p>
                    <w:p w14:paraId="5E157775" w14:textId="77777777" w:rsidR="00270E6A" w:rsidRPr="00E3643D" w:rsidRDefault="00270E6A" w:rsidP="002959BC">
                      <w:pPr>
                        <w:jc w:val="center"/>
                        <w:rPr>
                          <w:rFonts w:ascii="Simplified Arabic" w:hAnsi="Simplified Arabic" w:cs="Simplified Arabic"/>
                          <w:b/>
                          <w:bCs/>
                          <w:color w:val="222A35" w:themeColor="text2" w:themeShade="80"/>
                          <w:sz w:val="32"/>
                          <w:szCs w:val="32"/>
                          <w:lang w:bidi="ar-EG"/>
                        </w:rPr>
                      </w:pPr>
                      <w:r w:rsidRPr="00E3643D">
                        <w:rPr>
                          <w:rFonts w:ascii="Simplified Arabic" w:hAnsi="Simplified Arabic" w:cs="Simplified Arabic"/>
                          <w:b/>
                          <w:bCs/>
                          <w:color w:val="222A35" w:themeColor="text2" w:themeShade="80"/>
                          <w:sz w:val="32"/>
                          <w:szCs w:val="32"/>
                          <w:rtl/>
                          <w:lang w:bidi="ar-EG"/>
                        </w:rPr>
                        <w:t>في مصر خلال الفترة 1991- 2019</w:t>
                      </w:r>
                    </w:p>
                  </w:txbxContent>
                </v:textbox>
                <w10:wrap anchorx="margin" anchory="margin"/>
              </v:roundrect>
            </w:pict>
          </mc:Fallback>
        </mc:AlternateContent>
      </w:r>
    </w:p>
    <w:p w14:paraId="350808E1" w14:textId="77777777" w:rsidR="002959BC" w:rsidRPr="00E3643D" w:rsidRDefault="002959BC" w:rsidP="002959BC">
      <w:pPr>
        <w:jc w:val="both"/>
        <w:rPr>
          <w:rFonts w:ascii="Simplified Arabic" w:hAnsi="Simplified Arabic" w:cs="Simplified Arabic"/>
          <w:sz w:val="28"/>
          <w:szCs w:val="28"/>
          <w:rtl/>
          <w:lang w:bidi="ar-EG"/>
        </w:rPr>
      </w:pPr>
    </w:p>
    <w:p w14:paraId="1049674C" w14:textId="77777777" w:rsidR="002959BC" w:rsidRPr="00E3643D" w:rsidRDefault="002959BC" w:rsidP="002959BC">
      <w:pPr>
        <w:jc w:val="both"/>
        <w:rPr>
          <w:rFonts w:ascii="Simplified Arabic" w:hAnsi="Simplified Arabic" w:cs="Simplified Arabic"/>
          <w:sz w:val="28"/>
          <w:szCs w:val="28"/>
          <w:rtl/>
          <w:lang w:bidi="ar-EG"/>
        </w:rPr>
      </w:pPr>
    </w:p>
    <w:p w14:paraId="6B0C93FE" w14:textId="77777777" w:rsidR="002959BC" w:rsidRPr="00E3643D" w:rsidRDefault="002959BC" w:rsidP="002959BC">
      <w:pPr>
        <w:jc w:val="both"/>
        <w:rPr>
          <w:rFonts w:ascii="Simplified Arabic" w:hAnsi="Simplified Arabic" w:cs="Simplified Arabic"/>
          <w:sz w:val="28"/>
          <w:szCs w:val="28"/>
          <w:rtl/>
          <w:lang w:bidi="ar-EG"/>
        </w:rPr>
      </w:pPr>
    </w:p>
    <w:p w14:paraId="5C9658C1" w14:textId="77777777" w:rsidR="002959BC" w:rsidRPr="00E3643D" w:rsidRDefault="002959BC" w:rsidP="002959BC">
      <w:pPr>
        <w:jc w:val="both"/>
        <w:rPr>
          <w:rFonts w:ascii="Simplified Arabic" w:hAnsi="Simplified Arabic" w:cs="Simplified Arabic"/>
          <w:sz w:val="28"/>
          <w:szCs w:val="28"/>
          <w:lang w:bidi="ar-EG"/>
        </w:rPr>
      </w:pPr>
    </w:p>
    <w:p w14:paraId="0ED7CA18" w14:textId="77777777" w:rsidR="002959BC" w:rsidRPr="00E3643D" w:rsidRDefault="002959BC" w:rsidP="002959BC">
      <w:pPr>
        <w:ind w:left="709"/>
        <w:jc w:val="both"/>
        <w:rPr>
          <w:rFonts w:ascii="Simplified Arabic" w:hAnsi="Simplified Arabic" w:cs="Simplified Arabic"/>
          <w:sz w:val="28"/>
          <w:szCs w:val="28"/>
          <w:lang w:bidi="ar-KW"/>
        </w:rPr>
      </w:pPr>
    </w:p>
    <w:p w14:paraId="0770B65E" w14:textId="77777777" w:rsidR="002959BC" w:rsidRPr="00E3643D" w:rsidRDefault="002959BC" w:rsidP="002959BC">
      <w:pPr>
        <w:jc w:val="both"/>
        <w:rPr>
          <w:rFonts w:ascii="Simplified Arabic" w:hAnsi="Simplified Arabic" w:cs="Simplified Arabic"/>
          <w:color w:val="FF0000"/>
          <w:sz w:val="28"/>
          <w:szCs w:val="28"/>
          <w:rtl/>
          <w:lang w:bidi="ar-EG"/>
        </w:rPr>
      </w:pPr>
    </w:p>
    <w:p w14:paraId="0A10D7BE" w14:textId="77777777" w:rsidR="002959BC" w:rsidRPr="00E3643D" w:rsidRDefault="002959BC" w:rsidP="002959BC">
      <w:pPr>
        <w:jc w:val="both"/>
        <w:rPr>
          <w:rFonts w:ascii="Simplified Arabic" w:hAnsi="Simplified Arabic" w:cs="Simplified Arabic"/>
          <w:color w:val="FF0000"/>
          <w:sz w:val="28"/>
          <w:szCs w:val="28"/>
          <w:rtl/>
          <w:lang w:bidi="ar-EG"/>
        </w:rPr>
      </w:pPr>
    </w:p>
    <w:p w14:paraId="43315237" w14:textId="77777777" w:rsidR="002959BC" w:rsidRPr="00E3643D" w:rsidRDefault="002959BC" w:rsidP="002959BC">
      <w:pPr>
        <w:jc w:val="both"/>
        <w:rPr>
          <w:rFonts w:ascii="Simplified Arabic" w:hAnsi="Simplified Arabic" w:cs="Simplified Arabic"/>
          <w:color w:val="FF0000"/>
          <w:sz w:val="28"/>
          <w:szCs w:val="28"/>
          <w:rtl/>
          <w:lang w:bidi="ar-EG"/>
        </w:rPr>
      </w:pPr>
    </w:p>
    <w:p w14:paraId="562BD8AD" w14:textId="77777777" w:rsidR="002959BC" w:rsidRPr="00E3643D" w:rsidRDefault="002959BC" w:rsidP="002959BC">
      <w:pPr>
        <w:jc w:val="both"/>
        <w:rPr>
          <w:rFonts w:ascii="Simplified Arabic" w:hAnsi="Simplified Arabic" w:cs="Simplified Arabic"/>
          <w:color w:val="FF0000"/>
          <w:sz w:val="28"/>
          <w:szCs w:val="28"/>
          <w:lang w:bidi="ar-EG"/>
        </w:rPr>
      </w:pPr>
    </w:p>
    <w:p w14:paraId="6B2456BD" w14:textId="77777777" w:rsidR="002959BC" w:rsidRPr="00E3643D" w:rsidRDefault="002959BC" w:rsidP="002959BC">
      <w:pPr>
        <w:jc w:val="both"/>
        <w:rPr>
          <w:rFonts w:ascii="Simplified Arabic" w:hAnsi="Simplified Arabic" w:cs="Simplified Arabic"/>
          <w:color w:val="FF0000"/>
          <w:sz w:val="28"/>
          <w:szCs w:val="28"/>
          <w:rtl/>
          <w:lang w:bidi="ar-EG"/>
        </w:rPr>
      </w:pPr>
    </w:p>
    <w:p w14:paraId="6C206E18" w14:textId="77777777" w:rsidR="002959BC" w:rsidRPr="00E3643D" w:rsidRDefault="002959BC" w:rsidP="002959BC">
      <w:pPr>
        <w:jc w:val="both"/>
        <w:rPr>
          <w:rFonts w:ascii="Simplified Arabic" w:hAnsi="Simplified Arabic" w:cs="Simplified Arabic"/>
          <w:sz w:val="28"/>
          <w:szCs w:val="28"/>
          <w:lang w:bidi="ar-EG"/>
        </w:rPr>
      </w:pPr>
    </w:p>
    <w:p w14:paraId="332C7C0A" w14:textId="77777777" w:rsidR="002959BC" w:rsidRPr="00E3643D" w:rsidRDefault="002959BC" w:rsidP="002959BC">
      <w:pPr>
        <w:jc w:val="both"/>
        <w:rPr>
          <w:rFonts w:ascii="Simplified Arabic" w:hAnsi="Simplified Arabic" w:cs="Simplified Arabic"/>
          <w:sz w:val="28"/>
          <w:szCs w:val="28"/>
          <w:lang w:bidi="ar-EG"/>
        </w:rPr>
      </w:pPr>
      <w:r w:rsidRPr="00E3643D">
        <w:rPr>
          <w:rFonts w:ascii="Simplified Arabic" w:hAnsi="Simplified Arabic" w:cs="Simplified Arabic"/>
          <w:sz w:val="28"/>
          <w:szCs w:val="28"/>
          <w:rtl/>
          <w:lang w:bidi="ar-EG"/>
        </w:rPr>
        <w:br w:type="page"/>
      </w:r>
    </w:p>
    <w:p w14:paraId="4C9F6612" w14:textId="77777777" w:rsidR="002959BC" w:rsidRPr="00E3643D" w:rsidRDefault="002959BC" w:rsidP="002959BC">
      <w:pPr>
        <w:jc w:val="both"/>
        <w:rPr>
          <w:rFonts w:ascii="Simplified Arabic" w:hAnsi="Simplified Arabic" w:cs="Simplified Arabic"/>
          <w:b/>
          <w:bCs/>
          <w:sz w:val="30"/>
          <w:szCs w:val="30"/>
          <w:rtl/>
          <w:lang w:bidi="ar-EG"/>
        </w:rPr>
      </w:pPr>
      <w:r w:rsidRPr="00E3643D">
        <w:rPr>
          <w:rFonts w:ascii="Simplified Arabic" w:hAnsi="Simplified Arabic" w:cs="Simplified Arabic"/>
          <w:b/>
          <w:bCs/>
          <w:sz w:val="30"/>
          <w:szCs w:val="30"/>
          <w:rtl/>
          <w:lang w:bidi="ar-EG"/>
        </w:rPr>
        <w:lastRenderedPageBreak/>
        <w:t>تمهيد:</w:t>
      </w:r>
    </w:p>
    <w:p w14:paraId="1A1BA399" w14:textId="77777777" w:rsidR="002959BC" w:rsidRPr="00E3643D" w:rsidRDefault="002959BC" w:rsidP="002959BC">
      <w:pPr>
        <w:ind w:firstLine="454"/>
        <w:jc w:val="both"/>
        <w:rPr>
          <w:rFonts w:ascii="Simplified Arabic" w:hAnsi="Simplified Arabic" w:cs="Simplified Arabic"/>
          <w:sz w:val="28"/>
          <w:szCs w:val="28"/>
          <w:rtl/>
          <w:lang w:bidi="ar-EG"/>
        </w:rPr>
      </w:pPr>
      <w:r w:rsidRPr="00E3643D">
        <w:rPr>
          <w:rFonts w:ascii="Simplified Arabic" w:hAnsi="Simplified Arabic" w:cs="Simplified Arabic"/>
          <w:sz w:val="28"/>
          <w:szCs w:val="28"/>
          <w:rtl/>
          <w:lang w:bidi="ar-EG"/>
        </w:rPr>
        <w:t>تتجه معظم الحكومات إلى وضع سياسات مالية توسعية؛ حيث تحاول الحكومات القيام بأدوار اقتصادية واجتماعية لدفع معدلات التشغيل والاستثمار والنمو الاقتصادي وحماية الفئات منخفضة الدخل وتوفير السلع العامة بأسعار مناسبة، وقد أدت تلك السياسات المالية التوسعية إلى ظهور عجوزات مستمرة في الموازنة العامة لتلك الدول.</w:t>
      </w:r>
    </w:p>
    <w:p w14:paraId="315FDD01" w14:textId="77777777" w:rsidR="002959BC" w:rsidRPr="00E3643D" w:rsidRDefault="002959BC" w:rsidP="002959BC">
      <w:pPr>
        <w:ind w:firstLine="454"/>
        <w:jc w:val="both"/>
        <w:rPr>
          <w:rFonts w:ascii="Simplified Arabic" w:hAnsi="Simplified Arabic" w:cs="Simplified Arabic"/>
          <w:sz w:val="28"/>
          <w:szCs w:val="28"/>
          <w:rtl/>
          <w:lang w:bidi="ar-EG"/>
        </w:rPr>
      </w:pPr>
    </w:p>
    <w:p w14:paraId="45AE4096" w14:textId="77777777" w:rsidR="002959BC" w:rsidRPr="00E3643D" w:rsidRDefault="002959BC" w:rsidP="002959BC">
      <w:pPr>
        <w:ind w:firstLine="454"/>
        <w:jc w:val="both"/>
        <w:rPr>
          <w:rFonts w:ascii="Simplified Arabic" w:hAnsi="Simplified Arabic" w:cs="Simplified Arabic"/>
          <w:sz w:val="28"/>
          <w:szCs w:val="28"/>
          <w:rtl/>
          <w:lang w:bidi="ar-EG"/>
        </w:rPr>
      </w:pPr>
      <w:r w:rsidRPr="00E3643D">
        <w:rPr>
          <w:rFonts w:ascii="Simplified Arabic" w:hAnsi="Simplified Arabic" w:cs="Simplified Arabic"/>
          <w:sz w:val="28"/>
          <w:szCs w:val="28"/>
          <w:rtl/>
          <w:lang w:bidi="ar-EG"/>
        </w:rPr>
        <w:t>ويستوى في ذلك الدول المتقدمة اقتصادياً والدول النامية، ففي عام 1950 كان متوسط الإنفاق الحكومي للدول المتقدمة اقتصادياً يبلغ ما يقرب من 18% إلى الناتج المحلي الإجمالي، وفي نفس العام كان متوسط الإنفاق الحكومي للدول النامية يبلغ تقريباً ما نسبته 19% من الناتج المحلي الإجمالي</w:t>
      </w:r>
      <w:r w:rsidRPr="00E3643D">
        <w:rPr>
          <w:rFonts w:ascii="Simplified Arabic" w:hAnsi="Simplified Arabic" w:cs="Simplified Arabic"/>
          <w:sz w:val="28"/>
          <w:szCs w:val="28"/>
          <w:vertAlign w:val="superscript"/>
          <w:rtl/>
          <w:lang w:bidi="ar-EG"/>
        </w:rPr>
        <w:t>(</w:t>
      </w:r>
      <w:r w:rsidRPr="00E3643D">
        <w:rPr>
          <w:rFonts w:ascii="Simplified Arabic" w:hAnsi="Simplified Arabic" w:cs="Simplified Arabic"/>
          <w:sz w:val="28"/>
          <w:szCs w:val="28"/>
          <w:vertAlign w:val="superscript"/>
          <w:rtl/>
          <w:lang w:bidi="ar-EG"/>
        </w:rPr>
        <w:footnoteReference w:id="76"/>
      </w:r>
      <w:r w:rsidRPr="00E3643D">
        <w:rPr>
          <w:rFonts w:ascii="Simplified Arabic" w:hAnsi="Simplified Arabic" w:cs="Simplified Arabic"/>
          <w:sz w:val="28"/>
          <w:szCs w:val="28"/>
          <w:vertAlign w:val="superscript"/>
          <w:rtl/>
          <w:lang w:bidi="ar-EG"/>
        </w:rPr>
        <w:t>)</w:t>
      </w:r>
      <w:r w:rsidRPr="00E3643D">
        <w:rPr>
          <w:rFonts w:ascii="Simplified Arabic" w:hAnsi="Simplified Arabic" w:cs="Simplified Arabic"/>
          <w:sz w:val="28"/>
          <w:szCs w:val="28"/>
          <w:rtl/>
          <w:lang w:bidi="ar-EG"/>
        </w:rPr>
        <w:t>، وظلت هذه النسبة في زيادة مستمرة، حتى وصل متوسط الإنفاق الحكومي للدول المتقدمة اقتصادياً في عام 2019 ما نسبته 38.8% إلى الناتج المحلي الإجمالي، وبلغ متوسط الإنفاق الحكومي للدول النامية ما نسبته 32.3% إلى الناتج المحلي الإجمالي</w:t>
      </w:r>
      <w:r w:rsidRPr="00E3643D">
        <w:rPr>
          <w:rFonts w:ascii="Simplified Arabic" w:hAnsi="Simplified Arabic" w:cs="Simplified Arabic"/>
          <w:sz w:val="28"/>
          <w:szCs w:val="28"/>
          <w:vertAlign w:val="superscript"/>
          <w:rtl/>
          <w:lang w:bidi="ar-EG"/>
        </w:rPr>
        <w:t xml:space="preserve"> (</w:t>
      </w:r>
      <w:r w:rsidRPr="00E3643D">
        <w:rPr>
          <w:rFonts w:ascii="Simplified Arabic" w:hAnsi="Simplified Arabic" w:cs="Simplified Arabic"/>
          <w:sz w:val="28"/>
          <w:szCs w:val="28"/>
          <w:vertAlign w:val="superscript"/>
          <w:rtl/>
          <w:lang w:bidi="ar-EG"/>
        </w:rPr>
        <w:footnoteReference w:id="77"/>
      </w:r>
      <w:r w:rsidRPr="00E3643D">
        <w:rPr>
          <w:rFonts w:ascii="Simplified Arabic" w:hAnsi="Simplified Arabic" w:cs="Simplified Arabic"/>
          <w:sz w:val="28"/>
          <w:szCs w:val="28"/>
          <w:vertAlign w:val="superscript"/>
          <w:rtl/>
          <w:lang w:bidi="ar-EG"/>
        </w:rPr>
        <w:t>)</w:t>
      </w:r>
      <w:r w:rsidRPr="00E3643D">
        <w:rPr>
          <w:rFonts w:ascii="Simplified Arabic" w:hAnsi="Simplified Arabic" w:cs="Simplified Arabic"/>
          <w:sz w:val="28"/>
          <w:szCs w:val="28"/>
          <w:rtl/>
          <w:lang w:bidi="ar-EG"/>
        </w:rPr>
        <w:t xml:space="preserve">. </w:t>
      </w:r>
    </w:p>
    <w:p w14:paraId="48F0906F" w14:textId="77777777" w:rsidR="002959BC" w:rsidRPr="00E3643D" w:rsidRDefault="002959BC" w:rsidP="002959BC">
      <w:pPr>
        <w:ind w:firstLine="454"/>
        <w:jc w:val="both"/>
        <w:rPr>
          <w:rFonts w:ascii="Simplified Arabic" w:hAnsi="Simplified Arabic" w:cs="Simplified Arabic"/>
          <w:sz w:val="28"/>
          <w:szCs w:val="28"/>
          <w:rtl/>
          <w:lang w:bidi="ar-EG"/>
        </w:rPr>
      </w:pPr>
    </w:p>
    <w:p w14:paraId="4FE1D946" w14:textId="77777777" w:rsidR="002959BC" w:rsidRPr="00E3643D" w:rsidRDefault="002959BC" w:rsidP="002959BC">
      <w:pPr>
        <w:ind w:firstLine="454"/>
        <w:jc w:val="both"/>
        <w:rPr>
          <w:rFonts w:ascii="Simplified Arabic" w:hAnsi="Simplified Arabic" w:cs="Simplified Arabic"/>
          <w:sz w:val="28"/>
          <w:szCs w:val="28"/>
          <w:rtl/>
          <w:lang w:bidi="ar-EG"/>
        </w:rPr>
      </w:pPr>
      <w:r w:rsidRPr="00E3643D">
        <w:rPr>
          <w:rFonts w:ascii="Simplified Arabic" w:hAnsi="Simplified Arabic" w:cs="Simplified Arabic"/>
          <w:sz w:val="28"/>
          <w:szCs w:val="28"/>
          <w:rtl/>
          <w:lang w:bidi="ar-EG"/>
        </w:rPr>
        <w:t>ولم يختلف الحال في جمهورية مصر العربية عن حال باقي دول العالم، ما أفضى إلى وجود عجز مستمر في الموازنة العامة للدولة وصل في العام المالي 2018/2019 إلى نسبة 8.1% إلى الناتج المحلي الإجمالي، وهو ما تزامن مع معدلات تضخم مرتفعة ففي عام 2019 وصل الرقم القياسي لأسعار المستهلكين إلى 264.3% (2010 سنة الأساس)، وبالتالي فلابد أن نلقي مزيد من الضوء على تلك العلاقة التي تربط بين آليات تمويل عجز الموازنة العامة للدولة والتضخم من خلال تحليل تلك العلاقة وبيان نوع تلك العلاقة واتجاهها.</w:t>
      </w:r>
    </w:p>
    <w:p w14:paraId="2659424D" w14:textId="77777777" w:rsidR="002959BC" w:rsidRPr="00E3643D" w:rsidRDefault="002959BC" w:rsidP="002959BC">
      <w:pPr>
        <w:ind w:firstLine="453"/>
        <w:jc w:val="both"/>
        <w:rPr>
          <w:rFonts w:ascii="Simplified Arabic" w:hAnsi="Simplified Arabic" w:cs="Simplified Arabic"/>
          <w:sz w:val="28"/>
          <w:szCs w:val="28"/>
          <w:rtl/>
          <w:lang w:bidi="ar-EG"/>
        </w:rPr>
      </w:pPr>
    </w:p>
    <w:p w14:paraId="49513EB7" w14:textId="77777777" w:rsidR="002959BC" w:rsidRPr="00E3643D" w:rsidRDefault="002959BC" w:rsidP="002959BC">
      <w:pPr>
        <w:ind w:firstLine="454"/>
        <w:jc w:val="both"/>
        <w:rPr>
          <w:rFonts w:ascii="Simplified Arabic" w:hAnsi="Simplified Arabic" w:cs="Simplified Arabic"/>
          <w:sz w:val="28"/>
          <w:szCs w:val="28"/>
          <w:rtl/>
          <w:lang w:bidi="ar-EG"/>
        </w:rPr>
      </w:pPr>
      <w:r w:rsidRPr="00E3643D">
        <w:rPr>
          <w:rFonts w:ascii="Simplified Arabic" w:hAnsi="Simplified Arabic" w:cs="Simplified Arabic"/>
          <w:sz w:val="28"/>
          <w:szCs w:val="28"/>
          <w:rtl/>
          <w:lang w:bidi="ar-EG"/>
        </w:rPr>
        <w:t xml:space="preserve">وعلى هذا فسوف يتناول هذا الفصل استعراض تطور عجز الموازنة العامة للدولة وكذا تتبع الآليات المالية لتمويل عجز الموازنة العامة للدولة ومقارنتها </w:t>
      </w:r>
      <w:r>
        <w:rPr>
          <w:rFonts w:ascii="Simplified Arabic" w:hAnsi="Simplified Arabic" w:cs="Simplified Arabic" w:hint="cs"/>
          <w:sz w:val="28"/>
          <w:szCs w:val="28"/>
          <w:rtl/>
          <w:lang w:bidi="ar-EG"/>
        </w:rPr>
        <w:t>بالرقم القياسي لأسعار المستهلكين</w:t>
      </w:r>
      <w:r w:rsidRPr="00E3643D">
        <w:rPr>
          <w:rFonts w:ascii="Simplified Arabic" w:hAnsi="Simplified Arabic" w:cs="Simplified Arabic"/>
          <w:sz w:val="28"/>
          <w:szCs w:val="28"/>
          <w:rtl/>
          <w:lang w:bidi="ar-EG"/>
        </w:rPr>
        <w:t xml:space="preserve"> في مصر خلال الفترة من العام المالي 1991/1992 وحتى العام المالي 2018/2019، وذلك باستخدام سلسلة زمنية تغطي الفت</w:t>
      </w:r>
      <w:r>
        <w:rPr>
          <w:rFonts w:ascii="Simplified Arabic" w:hAnsi="Simplified Arabic" w:cs="Simplified Arabic" w:hint="cs"/>
          <w:sz w:val="28"/>
          <w:szCs w:val="28"/>
          <w:rtl/>
          <w:lang w:bidi="ar-EG"/>
        </w:rPr>
        <w:t xml:space="preserve">رة </w:t>
      </w:r>
      <w:r w:rsidRPr="00E3643D">
        <w:rPr>
          <w:rFonts w:ascii="Simplified Arabic" w:hAnsi="Simplified Arabic" w:cs="Simplified Arabic"/>
          <w:sz w:val="28"/>
          <w:szCs w:val="28"/>
          <w:rtl/>
          <w:lang w:bidi="ar-EG"/>
        </w:rPr>
        <w:t>محل الدراسة.</w:t>
      </w:r>
    </w:p>
    <w:p w14:paraId="4CDFDBE7" w14:textId="77777777" w:rsidR="002959BC" w:rsidRPr="00E3643D" w:rsidRDefault="002959BC" w:rsidP="002959BC">
      <w:pPr>
        <w:ind w:firstLine="453"/>
        <w:jc w:val="both"/>
        <w:rPr>
          <w:rFonts w:ascii="Simplified Arabic" w:hAnsi="Simplified Arabic" w:cs="Simplified Arabic"/>
          <w:sz w:val="28"/>
          <w:szCs w:val="28"/>
          <w:rtl/>
          <w:lang w:bidi="ar-EG"/>
        </w:rPr>
      </w:pPr>
    </w:p>
    <w:p w14:paraId="43041C90" w14:textId="77777777" w:rsidR="002959BC" w:rsidRPr="00E3643D" w:rsidRDefault="002959BC" w:rsidP="002959BC">
      <w:pPr>
        <w:ind w:firstLine="454"/>
        <w:jc w:val="both"/>
        <w:rPr>
          <w:rFonts w:ascii="Simplified Arabic" w:hAnsi="Simplified Arabic" w:cs="Simplified Arabic"/>
          <w:sz w:val="28"/>
          <w:szCs w:val="28"/>
          <w:rtl/>
          <w:lang w:bidi="ar-EG"/>
        </w:rPr>
      </w:pPr>
      <w:r w:rsidRPr="00E3643D">
        <w:rPr>
          <w:rFonts w:ascii="Simplified Arabic" w:hAnsi="Simplified Arabic" w:cs="Simplified Arabic"/>
          <w:sz w:val="28"/>
          <w:szCs w:val="28"/>
          <w:rtl/>
          <w:lang w:bidi="ar-EG"/>
        </w:rPr>
        <w:t xml:space="preserve">وسوف يتم تقسيم هذا التحليل إلى مبحثين يتناول المبحث الأول تحليل العلاقة بين آليات تمويل عجز الموازنة والتضخم خلال فترة الدراسة، حيث تم تقسيم هذا المبحث إلى ثلاث فترات زمنية وفقاً للسياسة المالية المتبعة وذلك نظراً لانتهاج سياسات مالية مختلفة خلال تلك الفترات، وكذا وفقاً لبعض الملابسات التي شكلت علامات فارقة في أوضاع المالية العامة مثل تطبيق برامج الإصلاح المقدمة من صندوق النقد </w:t>
      </w:r>
      <w:r w:rsidRPr="00E3643D">
        <w:rPr>
          <w:rFonts w:ascii="Simplified Arabic" w:hAnsi="Simplified Arabic" w:cs="Simplified Arabic"/>
          <w:sz w:val="28"/>
          <w:szCs w:val="28"/>
          <w:rtl/>
          <w:lang w:bidi="ar-EG"/>
        </w:rPr>
        <w:lastRenderedPageBreak/>
        <w:t>الدولي منذ عام 1991، وكذا وفقاً لبعض الظروف السياسية التي تمخضت عن ثورة يناير 2011، والتي أثرت بشكل كبير على مجمل الأوضاع الاقتصادية وفي القلب منها أوضاع المالية العامة.</w:t>
      </w:r>
    </w:p>
    <w:p w14:paraId="0FC88C85" w14:textId="77777777" w:rsidR="002959BC" w:rsidRPr="00504F31" w:rsidRDefault="002959BC" w:rsidP="002959BC">
      <w:pPr>
        <w:ind w:firstLine="454"/>
        <w:jc w:val="both"/>
        <w:rPr>
          <w:rFonts w:ascii="Simplified Arabic" w:hAnsi="Simplified Arabic" w:cs="Simplified Arabic"/>
          <w:rtl/>
          <w:lang w:bidi="ar-EG"/>
        </w:rPr>
      </w:pPr>
    </w:p>
    <w:p w14:paraId="1BC37361" w14:textId="77777777" w:rsidR="002959BC" w:rsidRPr="00E3643D" w:rsidRDefault="002959BC" w:rsidP="002959BC">
      <w:pPr>
        <w:ind w:firstLine="453"/>
        <w:jc w:val="both"/>
        <w:rPr>
          <w:rFonts w:ascii="Simplified Arabic" w:hAnsi="Simplified Arabic" w:cs="Simplified Arabic"/>
          <w:sz w:val="28"/>
          <w:szCs w:val="28"/>
          <w:rtl/>
          <w:lang w:bidi="ar-EG"/>
        </w:rPr>
      </w:pPr>
      <w:r w:rsidRPr="00E3643D">
        <w:rPr>
          <w:rFonts w:ascii="Simplified Arabic" w:hAnsi="Simplified Arabic" w:cs="Simplified Arabic"/>
          <w:sz w:val="28"/>
          <w:szCs w:val="28"/>
          <w:rtl/>
          <w:lang w:bidi="ar-EG"/>
        </w:rPr>
        <w:t>وعليه، فإن الفترة الأولى هي الفترة الممتدة من العام المالي 1991/1992 - أي مع بدايات تطبيق برنامج التكيف والتثبيت الهيكلي الذي تم بالاتفاق بين الحكومة المصرية وصندوق النقد الدولي - وحتى العام المالي 1997/1998، وذلك لأنه تم خلال تلك الفترة تطبيق سياسة مالية انكماشية كانت أبرز معالمها انخفاض كبير في عجز الموازنة العامة للدولة والذي كان يبلغ في بداية تلك الفترة 6157 مليون جنيه (4.7% كنسبة من الناتج المحلي الإجمالي) وانخفض في نهاية تلك الفترة إلى 2820 مليون جنيه (1% نسبة إلى الناتج المحلي الإجمالي)</w:t>
      </w:r>
      <w:r w:rsidRPr="00E3643D">
        <w:rPr>
          <w:rFonts w:ascii="Simplified Arabic" w:hAnsi="Simplified Arabic" w:cs="Simplified Arabic"/>
          <w:color w:val="FF0000"/>
          <w:sz w:val="28"/>
          <w:szCs w:val="28"/>
          <w:vertAlign w:val="superscript"/>
          <w:rtl/>
          <w:lang w:bidi="ar-EG"/>
        </w:rPr>
        <w:t xml:space="preserve"> </w:t>
      </w:r>
      <w:r w:rsidRPr="00E3643D">
        <w:rPr>
          <w:rFonts w:ascii="Simplified Arabic" w:hAnsi="Simplified Arabic" w:cs="Simplified Arabic"/>
          <w:sz w:val="28"/>
          <w:szCs w:val="28"/>
          <w:vertAlign w:val="superscript"/>
          <w:rtl/>
          <w:lang w:bidi="ar-EG"/>
        </w:rPr>
        <w:t>(</w:t>
      </w:r>
      <w:r w:rsidRPr="00E3643D">
        <w:rPr>
          <w:rFonts w:ascii="Simplified Arabic" w:hAnsi="Simplified Arabic" w:cs="Simplified Arabic"/>
          <w:sz w:val="28"/>
          <w:szCs w:val="28"/>
          <w:vertAlign w:val="superscript"/>
          <w:rtl/>
          <w:lang w:bidi="ar-EG"/>
        </w:rPr>
        <w:footnoteReference w:id="78"/>
      </w:r>
      <w:r w:rsidRPr="00E3643D">
        <w:rPr>
          <w:rFonts w:ascii="Simplified Arabic" w:hAnsi="Simplified Arabic" w:cs="Simplified Arabic"/>
          <w:sz w:val="28"/>
          <w:szCs w:val="28"/>
          <w:vertAlign w:val="superscript"/>
          <w:rtl/>
          <w:lang w:bidi="ar-EG"/>
        </w:rPr>
        <w:t>)</w:t>
      </w:r>
      <w:r w:rsidRPr="00E3643D">
        <w:rPr>
          <w:rFonts w:ascii="Simplified Arabic" w:hAnsi="Simplified Arabic" w:cs="Simplified Arabic"/>
          <w:sz w:val="28"/>
          <w:szCs w:val="28"/>
          <w:rtl/>
          <w:lang w:bidi="ar-EG"/>
        </w:rPr>
        <w:t xml:space="preserve">، وكذا تقليل النفقات العامة والتي كانت تشكل </w:t>
      </w:r>
      <w:r w:rsidRPr="00E3643D">
        <w:rPr>
          <w:rFonts w:ascii="Simplified Arabic" w:hAnsi="Simplified Arabic" w:cs="Simplified Arabic"/>
          <w:sz w:val="28"/>
          <w:szCs w:val="28"/>
          <w:rtl/>
        </w:rPr>
        <w:t>36.3% من الناتج المحلي الإجمالي</w:t>
      </w:r>
      <w:r w:rsidRPr="00E3643D">
        <w:rPr>
          <w:rFonts w:ascii="Simplified Arabic" w:hAnsi="Simplified Arabic" w:cs="Simplified Arabic"/>
          <w:sz w:val="28"/>
          <w:szCs w:val="28"/>
          <w:rtl/>
          <w:lang w:bidi="ar-EG"/>
        </w:rPr>
        <w:t xml:space="preserve"> حتى وصلت في نهاية الفترة إلى </w:t>
      </w:r>
      <w:r w:rsidRPr="00E3643D">
        <w:rPr>
          <w:rFonts w:ascii="Simplified Arabic" w:hAnsi="Simplified Arabic" w:cs="Simplified Arabic"/>
          <w:sz w:val="28"/>
          <w:szCs w:val="28"/>
          <w:rtl/>
        </w:rPr>
        <w:t xml:space="preserve">ما نسبته </w:t>
      </w:r>
      <w:r w:rsidRPr="00E3643D">
        <w:rPr>
          <w:rFonts w:ascii="Simplified Arabic" w:hAnsi="Simplified Arabic" w:cs="Simplified Arabic"/>
          <w:sz w:val="28"/>
          <w:szCs w:val="28"/>
          <w:rtl/>
          <w:lang w:bidi="ar-EG"/>
        </w:rPr>
        <w:t xml:space="preserve">24.6% إلى الناتج المحلي الإجمالي.  </w:t>
      </w:r>
    </w:p>
    <w:p w14:paraId="342E1865" w14:textId="77777777" w:rsidR="002959BC" w:rsidRPr="00504F31" w:rsidRDefault="002959BC" w:rsidP="002959BC">
      <w:pPr>
        <w:ind w:firstLine="453"/>
        <w:jc w:val="both"/>
        <w:rPr>
          <w:rFonts w:ascii="Simplified Arabic" w:hAnsi="Simplified Arabic" w:cs="Simplified Arabic"/>
          <w:rtl/>
          <w:lang w:bidi="ar-EG"/>
        </w:rPr>
      </w:pPr>
    </w:p>
    <w:p w14:paraId="676AB175" w14:textId="77777777" w:rsidR="002959BC" w:rsidRPr="00E3643D" w:rsidRDefault="002959BC" w:rsidP="002959BC">
      <w:pPr>
        <w:ind w:firstLine="453"/>
        <w:jc w:val="both"/>
        <w:rPr>
          <w:rFonts w:ascii="Simplified Arabic" w:hAnsi="Simplified Arabic" w:cs="Simplified Arabic"/>
          <w:sz w:val="28"/>
          <w:szCs w:val="28"/>
          <w:rtl/>
          <w:lang w:bidi="ar-EG"/>
        </w:rPr>
      </w:pPr>
      <w:r w:rsidRPr="00E3643D">
        <w:rPr>
          <w:rFonts w:ascii="Simplified Arabic" w:hAnsi="Simplified Arabic" w:cs="Simplified Arabic"/>
          <w:sz w:val="28"/>
          <w:szCs w:val="28"/>
          <w:rtl/>
          <w:lang w:bidi="ar-EG"/>
        </w:rPr>
        <w:t>أما الفترة الثانية فتبدأ من العام المالي التالي للفترة السابقة مباشرة 1998/1999 وحتى العام المالي 2010/2011 حيث تم اتباع سياسة مالية توسعية خلال تلك الفترة، وقد أدت تلك السياسة المالية التوسعية إلى زيادة عجز الموازنة العامة للدولة والذي كان يبلغ في العام المالي السابق لتلك الفترة مباشرة 1997/1998 مبلغ 2820 مليون جنيه (1% نسبة إلى الناتج المحلي الإجمالي) ليصل في العام المالي 2010/2011 لمبلغ 134460 مليون جنيه (9.8% نسبة إلى الناتج المحلي الإجمالي)، وكذا زيادة النفقات العامة من مبلغ 79995 مليون جنيه (26% كنسبة من الناتج المحلي الإجمالي) لتصل في نهاية تلك الفترة إلى 401866 مليون جنيه (29.3% كنسبة من الناتج المحلي الإجمالي).</w:t>
      </w:r>
    </w:p>
    <w:p w14:paraId="0326BC62" w14:textId="77777777" w:rsidR="002959BC" w:rsidRPr="00504F31" w:rsidRDefault="002959BC" w:rsidP="002959BC">
      <w:pPr>
        <w:ind w:firstLine="453"/>
        <w:jc w:val="both"/>
        <w:rPr>
          <w:rFonts w:ascii="Simplified Arabic" w:hAnsi="Simplified Arabic" w:cs="Simplified Arabic"/>
          <w:rtl/>
          <w:lang w:bidi="ar-EG"/>
        </w:rPr>
      </w:pPr>
    </w:p>
    <w:p w14:paraId="0015BE24" w14:textId="77777777" w:rsidR="002959BC" w:rsidRPr="00E3643D" w:rsidRDefault="002959BC" w:rsidP="002959BC">
      <w:pPr>
        <w:ind w:firstLine="454"/>
        <w:jc w:val="both"/>
        <w:rPr>
          <w:rFonts w:ascii="Simplified Arabic" w:hAnsi="Simplified Arabic" w:cs="Simplified Arabic"/>
          <w:sz w:val="28"/>
          <w:szCs w:val="28"/>
          <w:rtl/>
          <w:lang w:bidi="ar-EG"/>
        </w:rPr>
      </w:pPr>
      <w:r w:rsidRPr="00E3643D">
        <w:rPr>
          <w:rFonts w:ascii="Simplified Arabic" w:hAnsi="Simplified Arabic" w:cs="Simplified Arabic"/>
          <w:sz w:val="28"/>
          <w:szCs w:val="28"/>
          <w:rtl/>
          <w:lang w:bidi="ar-EG"/>
        </w:rPr>
        <w:t xml:space="preserve">وأخيراً فإن الفترة الثالثة تبدأ إبان أحداث يناير 2011، أي من العام المالي 2011/2012 إلى العام المالي 2018/2019، حيث تعرضت مصر لأحداث سياسية أدت إلى اضطراب معظم مؤشرات الاقتصاد الكلي وعدم اتباع سياسية مالية واضحة، ونرى ذلك جلياً من خلال تذبذب بيانات المالية العامة بين الارتفاع والانخفاض من عام إلى آخر، فرغم أن بيانات الإيرادات والمصروفات والعجز المالي تتزايد كرقم مطلق إلا أنها تتراوح بين الانخفاض والارتفاع كنسبة إلى الناتج المحلي الإجمالي خلال تلك الفترة، حيث سجل عجز الموازنة العامة للدولة في العام المالي 2015/2016 مبلغ 339 مليار جنيه (12.5% نسبة إلى الناتج المحلي الإجمالي)، إلا أن نسبة عجز الموازنة العامة للدولة إلى الناتج المحلي الإجمالي قد اتجهت إلى الانخفاض إثر تطبيق برنامج الإصلاح الاقتصادي مع صندوق النقد الدولي حتى وصلت بنهاية تلك الفترة إلى مبلغ 429 مليار جنيه (8.1% نسبة إلى الناتج المحلي الإجمالي). </w:t>
      </w:r>
    </w:p>
    <w:p w14:paraId="5D2C29F2" w14:textId="77777777" w:rsidR="002959BC" w:rsidRPr="00E3643D" w:rsidRDefault="002959BC" w:rsidP="002959BC">
      <w:pPr>
        <w:ind w:firstLine="454"/>
        <w:jc w:val="both"/>
        <w:rPr>
          <w:rFonts w:ascii="Simplified Arabic" w:hAnsi="Simplified Arabic" w:cs="Simplified Arabic"/>
          <w:sz w:val="28"/>
          <w:szCs w:val="28"/>
          <w:rtl/>
          <w:lang w:bidi="ar-EG"/>
        </w:rPr>
      </w:pPr>
      <w:r w:rsidRPr="00E3643D">
        <w:rPr>
          <w:rFonts w:ascii="Simplified Arabic" w:hAnsi="Simplified Arabic" w:cs="Simplified Arabic"/>
          <w:sz w:val="28"/>
          <w:szCs w:val="28"/>
          <w:rtl/>
          <w:lang w:bidi="ar-EG"/>
        </w:rPr>
        <w:lastRenderedPageBreak/>
        <w:t xml:space="preserve">ونستعرض في كل فترة من تلك الفترات الثلاث عجز الموازنة العامة للدولة ثم استعراض الآليات المالية المستخدمة لتمويل عجز الموازنة </w:t>
      </w:r>
      <w:r w:rsidRPr="00E3643D">
        <w:rPr>
          <w:rFonts w:ascii="Simplified Arabic" w:hAnsi="Simplified Arabic" w:cs="Simplified Arabic"/>
          <w:sz w:val="28"/>
          <w:szCs w:val="28"/>
          <w:vertAlign w:val="superscript"/>
          <w:rtl/>
          <w:lang w:bidi="ar-EG"/>
        </w:rPr>
        <w:t>(</w:t>
      </w:r>
      <w:r w:rsidRPr="00E3643D">
        <w:rPr>
          <w:rFonts w:ascii="Simplified Arabic" w:hAnsi="Simplified Arabic" w:cs="Simplified Arabic"/>
          <w:sz w:val="28"/>
          <w:szCs w:val="28"/>
          <w:vertAlign w:val="superscript"/>
          <w:rtl/>
          <w:lang w:bidi="ar-EG"/>
        </w:rPr>
        <w:footnoteReference w:id="79"/>
      </w:r>
      <w:r w:rsidRPr="00E3643D">
        <w:rPr>
          <w:rFonts w:ascii="Simplified Arabic" w:hAnsi="Simplified Arabic" w:cs="Simplified Arabic"/>
          <w:sz w:val="28"/>
          <w:szCs w:val="28"/>
          <w:vertAlign w:val="superscript"/>
          <w:rtl/>
          <w:lang w:bidi="ar-EG"/>
        </w:rPr>
        <w:t>)</w:t>
      </w:r>
      <w:r w:rsidRPr="00E3643D">
        <w:rPr>
          <w:rFonts w:ascii="Simplified Arabic" w:hAnsi="Simplified Arabic" w:cs="Simplified Arabic"/>
          <w:sz w:val="28"/>
          <w:szCs w:val="28"/>
          <w:rtl/>
          <w:lang w:bidi="ar-EG"/>
        </w:rPr>
        <w:t xml:space="preserve"> والوزن النسبي لكل منها ثم نستعرض </w:t>
      </w:r>
      <w:r>
        <w:rPr>
          <w:rFonts w:ascii="Simplified Arabic" w:hAnsi="Simplified Arabic" w:cs="Simplified Arabic" w:hint="cs"/>
          <w:sz w:val="28"/>
          <w:szCs w:val="28"/>
          <w:rtl/>
          <w:lang w:bidi="ar-EG"/>
        </w:rPr>
        <w:t>الرقم القياسي لأسعار المستهلكين</w:t>
      </w:r>
      <w:r w:rsidRPr="00E3643D">
        <w:rPr>
          <w:rFonts w:ascii="Simplified Arabic" w:hAnsi="Simplified Arabic" w:cs="Simplified Arabic"/>
          <w:sz w:val="28"/>
          <w:szCs w:val="28"/>
          <w:rtl/>
          <w:lang w:bidi="ar-EG"/>
        </w:rPr>
        <w:t>، ومن ثم نستخدم المنهج الوصفي التحليلي لإيضاح العلاقة التي تربط بين آليات تمويل عجز الموازنة العامة والرقم القياسي لأسعار المستهلكين في كل فترة من تلك الفترات.</w:t>
      </w:r>
    </w:p>
    <w:p w14:paraId="0252029A" w14:textId="77777777" w:rsidR="002959BC" w:rsidRPr="00E3643D" w:rsidRDefault="002959BC" w:rsidP="002959BC">
      <w:pPr>
        <w:ind w:firstLine="454"/>
        <w:jc w:val="both"/>
        <w:rPr>
          <w:rFonts w:ascii="Simplified Arabic" w:hAnsi="Simplified Arabic" w:cs="Simplified Arabic"/>
          <w:sz w:val="28"/>
          <w:szCs w:val="28"/>
          <w:rtl/>
          <w:lang w:bidi="ar-EG"/>
        </w:rPr>
      </w:pPr>
    </w:p>
    <w:p w14:paraId="1F3A80C0" w14:textId="77777777" w:rsidR="002959BC" w:rsidRPr="00E3643D" w:rsidRDefault="002959BC" w:rsidP="002959BC">
      <w:pPr>
        <w:ind w:firstLine="454"/>
        <w:jc w:val="both"/>
        <w:rPr>
          <w:rFonts w:ascii="Simplified Arabic" w:hAnsi="Simplified Arabic" w:cs="Simplified Arabic"/>
          <w:sz w:val="28"/>
          <w:szCs w:val="28"/>
          <w:rtl/>
          <w:lang w:bidi="ar-EG"/>
        </w:rPr>
      </w:pPr>
      <w:r w:rsidRPr="00E3643D">
        <w:rPr>
          <w:rFonts w:ascii="Simplified Arabic" w:hAnsi="Simplified Arabic" w:cs="Simplified Arabic"/>
          <w:sz w:val="28"/>
          <w:szCs w:val="28"/>
          <w:rtl/>
          <w:lang w:bidi="ar-EG"/>
        </w:rPr>
        <w:t>أما المبحث الثاني فيتضمن قياس العلاقة الإحصائية بين آليات تمويل عجز الموازنة العامة للدولة والرقم القياسي لأسعار المستهلكين خلال الفترة من العام المالي 1991/1992 وحتى العام المالي 2018/2019 لبيان مدى وجود علاقة ارتباط بين آليات تمويل عجز الموازنة المختلفة والتضخم وقوة واتجاه هذه العلاقة.</w:t>
      </w:r>
    </w:p>
    <w:p w14:paraId="2269FF13" w14:textId="77777777" w:rsidR="002959BC" w:rsidRPr="00E3643D" w:rsidRDefault="002959BC" w:rsidP="002959BC">
      <w:pPr>
        <w:ind w:firstLine="454"/>
        <w:jc w:val="both"/>
        <w:rPr>
          <w:rFonts w:ascii="Simplified Arabic" w:hAnsi="Simplified Arabic" w:cs="Simplified Arabic"/>
          <w:sz w:val="28"/>
          <w:szCs w:val="28"/>
          <w:rtl/>
          <w:lang w:bidi="ar-EG"/>
        </w:rPr>
      </w:pPr>
    </w:p>
    <w:p w14:paraId="576B44A8" w14:textId="77777777" w:rsidR="002959BC" w:rsidRPr="00E3643D" w:rsidRDefault="002959BC" w:rsidP="002959BC">
      <w:pPr>
        <w:ind w:firstLine="454"/>
        <w:jc w:val="both"/>
        <w:rPr>
          <w:rFonts w:ascii="Simplified Arabic" w:hAnsi="Simplified Arabic" w:cs="Simplified Arabic"/>
          <w:sz w:val="28"/>
          <w:szCs w:val="28"/>
          <w:rtl/>
          <w:lang w:bidi="ar-EG"/>
        </w:rPr>
      </w:pPr>
      <w:r w:rsidRPr="00E3643D">
        <w:rPr>
          <w:rFonts w:ascii="Simplified Arabic" w:hAnsi="Simplified Arabic" w:cs="Simplified Arabic"/>
          <w:sz w:val="28"/>
          <w:szCs w:val="28"/>
          <w:rtl/>
          <w:lang w:bidi="ar-EG"/>
        </w:rPr>
        <w:t>وأخيراً فسوف يتم التطرق إلى إلقاء نظرة عامة على عجز الموازنة العامة وآليات تمويله ومعدلات التضخم خلال الفترة من العام المالي 1991/1992 وحتى العام المالي 2018/2019 لإيضاح التشابكات القائمة بين تلك المتغيرات خلال مجمل فترة الدراسة.</w:t>
      </w:r>
    </w:p>
    <w:p w14:paraId="4935C92E" w14:textId="77777777" w:rsidR="002959BC" w:rsidRPr="00E3643D" w:rsidRDefault="002959BC" w:rsidP="002959BC">
      <w:pPr>
        <w:ind w:firstLine="453"/>
        <w:jc w:val="both"/>
        <w:rPr>
          <w:rFonts w:ascii="Simplified Arabic" w:hAnsi="Simplified Arabic" w:cs="Simplified Arabic"/>
          <w:sz w:val="28"/>
          <w:szCs w:val="28"/>
          <w:rtl/>
          <w:lang w:bidi="ar-EG"/>
        </w:rPr>
      </w:pPr>
    </w:p>
    <w:p w14:paraId="2F73D5FC" w14:textId="77777777" w:rsidR="002959BC" w:rsidRPr="00E3643D" w:rsidRDefault="002959BC" w:rsidP="002959BC">
      <w:pPr>
        <w:ind w:firstLine="453"/>
        <w:jc w:val="both"/>
        <w:rPr>
          <w:rFonts w:ascii="Simplified Arabic" w:hAnsi="Simplified Arabic" w:cs="Simplified Arabic"/>
          <w:sz w:val="28"/>
          <w:szCs w:val="28"/>
          <w:lang w:bidi="ar-EG"/>
        </w:rPr>
      </w:pPr>
    </w:p>
    <w:p w14:paraId="3C1A4688" w14:textId="00C6058E" w:rsidR="002959BC" w:rsidRDefault="002959BC">
      <w:pPr>
        <w:bidi w:val="0"/>
        <w:spacing w:after="160" w:line="259" w:lineRule="auto"/>
        <w:rPr>
          <w:rtl/>
          <w:lang w:bidi="ar-EG"/>
        </w:rPr>
      </w:pPr>
      <w:r>
        <w:rPr>
          <w:rtl/>
          <w:lang w:bidi="ar-EG"/>
        </w:rPr>
        <w:br w:type="page"/>
      </w:r>
    </w:p>
    <w:p w14:paraId="182D5859" w14:textId="77777777" w:rsidR="002959BC" w:rsidRPr="008C7B8E" w:rsidRDefault="002959BC" w:rsidP="002959BC">
      <w:pPr>
        <w:shd w:val="clear" w:color="auto" w:fill="C5E0B3" w:themeFill="accent6" w:themeFillTint="66"/>
        <w:ind w:firstLine="28"/>
        <w:jc w:val="center"/>
        <w:rPr>
          <w:rFonts w:ascii="Simplified Arabic" w:hAnsi="Simplified Arabic" w:cs="Simplified Arabic"/>
          <w:b/>
          <w:bCs/>
          <w:sz w:val="32"/>
          <w:szCs w:val="32"/>
          <w:rtl/>
          <w:lang w:bidi="ar-EG"/>
        </w:rPr>
      </w:pPr>
      <w:r w:rsidRPr="008C7B8E">
        <w:rPr>
          <w:rFonts w:ascii="Simplified Arabic" w:hAnsi="Simplified Arabic" w:cs="Simplified Arabic"/>
          <w:b/>
          <w:bCs/>
          <w:sz w:val="32"/>
          <w:szCs w:val="32"/>
          <w:rtl/>
          <w:lang w:bidi="ar-EG"/>
        </w:rPr>
        <w:lastRenderedPageBreak/>
        <w:t>المبحث الأول:</w:t>
      </w:r>
    </w:p>
    <w:p w14:paraId="1EA30E53" w14:textId="77777777" w:rsidR="002959BC" w:rsidRPr="008C7B8E" w:rsidRDefault="002959BC" w:rsidP="002959BC">
      <w:pPr>
        <w:shd w:val="clear" w:color="auto" w:fill="C5E0B3" w:themeFill="accent6" w:themeFillTint="66"/>
        <w:ind w:firstLine="28"/>
        <w:jc w:val="center"/>
        <w:rPr>
          <w:rFonts w:ascii="Simplified Arabic" w:hAnsi="Simplified Arabic" w:cs="Simplified Arabic"/>
          <w:b/>
          <w:bCs/>
          <w:sz w:val="32"/>
          <w:szCs w:val="32"/>
          <w:rtl/>
          <w:lang w:bidi="ar-EG"/>
        </w:rPr>
      </w:pPr>
      <w:r w:rsidRPr="008C7B8E">
        <w:rPr>
          <w:rFonts w:ascii="Simplified Arabic" w:hAnsi="Simplified Arabic" w:cs="Simplified Arabic"/>
          <w:b/>
          <w:bCs/>
          <w:sz w:val="32"/>
          <w:szCs w:val="32"/>
          <w:rtl/>
          <w:lang w:bidi="ar-EG"/>
        </w:rPr>
        <w:t>تحليل العلاقة بين آليات تمويل عجز الموازنة العامة والتضخم في مصر</w:t>
      </w:r>
    </w:p>
    <w:p w14:paraId="70693E45" w14:textId="77777777" w:rsidR="002959BC" w:rsidRDefault="002959BC" w:rsidP="002959BC">
      <w:pPr>
        <w:jc w:val="both"/>
        <w:rPr>
          <w:rFonts w:ascii="Simplified Arabic" w:hAnsi="Simplified Arabic" w:cs="Simplified Arabic"/>
          <w:b/>
          <w:bCs/>
          <w:sz w:val="30"/>
          <w:szCs w:val="30"/>
          <w:rtl/>
          <w:lang w:bidi="ar-EG"/>
        </w:rPr>
      </w:pPr>
    </w:p>
    <w:p w14:paraId="1086DF25" w14:textId="77777777" w:rsidR="002959BC" w:rsidRPr="008C7B8E" w:rsidRDefault="002959BC" w:rsidP="002959BC">
      <w:pPr>
        <w:jc w:val="both"/>
        <w:rPr>
          <w:rFonts w:ascii="Simplified Arabic" w:hAnsi="Simplified Arabic" w:cs="Simplified Arabic"/>
          <w:b/>
          <w:bCs/>
          <w:sz w:val="30"/>
          <w:szCs w:val="30"/>
          <w:rtl/>
          <w:lang w:bidi="ar-EG"/>
        </w:rPr>
      </w:pPr>
      <w:r w:rsidRPr="008C7B8E">
        <w:rPr>
          <w:rFonts w:ascii="Simplified Arabic" w:hAnsi="Simplified Arabic" w:cs="Simplified Arabic"/>
          <w:b/>
          <w:bCs/>
          <w:sz w:val="30"/>
          <w:szCs w:val="30"/>
          <w:rtl/>
          <w:lang w:bidi="ar-EG"/>
        </w:rPr>
        <w:t>تمهيد:</w:t>
      </w:r>
    </w:p>
    <w:p w14:paraId="212B4E82" w14:textId="77777777" w:rsidR="002959BC" w:rsidRPr="008C7B8E" w:rsidRDefault="002959BC" w:rsidP="002959BC">
      <w:pPr>
        <w:ind w:firstLine="453"/>
        <w:jc w:val="both"/>
        <w:rPr>
          <w:rFonts w:ascii="Simplified Arabic" w:hAnsi="Simplified Arabic" w:cs="Simplified Arabic"/>
          <w:sz w:val="28"/>
          <w:szCs w:val="28"/>
          <w:rtl/>
          <w:lang w:bidi="ar-EG"/>
        </w:rPr>
      </w:pPr>
      <w:r w:rsidRPr="008C7B8E">
        <w:rPr>
          <w:rFonts w:ascii="Simplified Arabic" w:hAnsi="Simplified Arabic" w:cs="Simplified Arabic"/>
          <w:sz w:val="28"/>
          <w:szCs w:val="28"/>
          <w:rtl/>
          <w:lang w:bidi="ar-EG"/>
        </w:rPr>
        <w:t>سيتم التطرق في هذا المبحث إلى تحليل كل من عجز الموازنة العامة للدولة خلال الفترة من العام المالي 1991/1992 وحتى العام المالي 2018/2019 ثم التطرق إلى آليات تمويل ذلك العجز وأخيراً نتناول بالتحليل تطور الرقم القياسي لأسعار المستهلكين خلال ذات الفترة، وذلك بغية التعرف على أوجه العلاقة بين آليات تمويل العجز والتضخم خلال تلك الفترة.</w:t>
      </w:r>
    </w:p>
    <w:p w14:paraId="156F9052" w14:textId="77777777" w:rsidR="002959BC" w:rsidRPr="008C7B8E" w:rsidRDefault="002959BC" w:rsidP="002959BC">
      <w:pPr>
        <w:ind w:firstLine="453"/>
        <w:jc w:val="both"/>
        <w:rPr>
          <w:rFonts w:ascii="Simplified Arabic" w:hAnsi="Simplified Arabic" w:cs="Simplified Arabic"/>
          <w:sz w:val="28"/>
          <w:szCs w:val="28"/>
          <w:rtl/>
          <w:lang w:bidi="ar-EG"/>
        </w:rPr>
      </w:pPr>
    </w:p>
    <w:p w14:paraId="74004B04" w14:textId="77777777" w:rsidR="002959BC" w:rsidRPr="008C7B8E" w:rsidRDefault="002959BC" w:rsidP="002959BC">
      <w:pPr>
        <w:ind w:left="542" w:hanging="514"/>
        <w:jc w:val="both"/>
        <w:rPr>
          <w:rFonts w:ascii="Simplified Arabic" w:hAnsi="Simplified Arabic" w:cs="Simplified Arabic"/>
          <w:b/>
          <w:bCs/>
          <w:sz w:val="30"/>
          <w:szCs w:val="30"/>
          <w:u w:val="single"/>
          <w:rtl/>
          <w:lang w:bidi="ar-EG"/>
        </w:rPr>
      </w:pPr>
      <w:r w:rsidRPr="008C7B8E">
        <w:rPr>
          <w:rFonts w:ascii="Simplified Arabic" w:hAnsi="Simplified Arabic" w:cs="Simplified Arabic"/>
          <w:b/>
          <w:bCs/>
          <w:sz w:val="30"/>
          <w:szCs w:val="30"/>
          <w:u w:val="single"/>
          <w:rtl/>
          <w:lang w:bidi="ar-EG"/>
        </w:rPr>
        <w:t>أولاً: تحليل العلاقة بين آليات تمويل عجز الموازنة العامة والتضخم في مصر خلال الفترة من العام المالي 1991/1992 إلى 1997/1998:</w:t>
      </w:r>
    </w:p>
    <w:p w14:paraId="4A4ABF41" w14:textId="77777777" w:rsidR="002959BC" w:rsidRPr="008C7B8E" w:rsidRDefault="002959BC" w:rsidP="002959BC">
      <w:pPr>
        <w:ind w:left="542" w:hanging="514"/>
        <w:jc w:val="both"/>
        <w:rPr>
          <w:rFonts w:ascii="Simplified Arabic" w:hAnsi="Simplified Arabic" w:cs="Simplified Arabic"/>
          <w:sz w:val="28"/>
          <w:szCs w:val="28"/>
          <w:u w:val="single"/>
          <w:rtl/>
          <w:lang w:bidi="ar-EG"/>
        </w:rPr>
      </w:pPr>
    </w:p>
    <w:p w14:paraId="3098028C" w14:textId="77777777" w:rsidR="002959BC" w:rsidRPr="008C7B8E" w:rsidRDefault="002959BC" w:rsidP="002959BC">
      <w:pPr>
        <w:ind w:left="542" w:hanging="514"/>
        <w:jc w:val="both"/>
        <w:rPr>
          <w:rFonts w:ascii="Simplified Arabic" w:hAnsi="Simplified Arabic" w:cs="Simplified Arabic"/>
          <w:b/>
          <w:bCs/>
          <w:sz w:val="30"/>
          <w:szCs w:val="30"/>
          <w:u w:val="single"/>
          <w:rtl/>
          <w:lang w:bidi="ar-EG"/>
        </w:rPr>
      </w:pPr>
      <w:r w:rsidRPr="008C7B8E">
        <w:rPr>
          <w:rFonts w:ascii="Simplified Arabic" w:hAnsi="Simplified Arabic" w:cs="Simplified Arabic"/>
          <w:b/>
          <w:bCs/>
          <w:sz w:val="30"/>
          <w:szCs w:val="30"/>
          <w:u w:val="single"/>
          <w:rtl/>
          <w:lang w:bidi="ar-EG"/>
        </w:rPr>
        <w:t>1-</w:t>
      </w:r>
      <w:r w:rsidRPr="008C7B8E">
        <w:rPr>
          <w:rFonts w:ascii="Simplified Arabic" w:hAnsi="Simplified Arabic" w:cs="Simplified Arabic"/>
          <w:b/>
          <w:bCs/>
          <w:sz w:val="30"/>
          <w:szCs w:val="30"/>
          <w:rtl/>
          <w:lang w:bidi="ar-EG"/>
        </w:rPr>
        <w:t xml:space="preserve"> </w:t>
      </w:r>
      <w:r w:rsidRPr="008C7B8E">
        <w:rPr>
          <w:rFonts w:ascii="Simplified Arabic" w:hAnsi="Simplified Arabic" w:cs="Simplified Arabic"/>
          <w:b/>
          <w:bCs/>
          <w:sz w:val="30"/>
          <w:szCs w:val="30"/>
          <w:u w:val="single"/>
          <w:rtl/>
          <w:lang w:bidi="ar-EG"/>
        </w:rPr>
        <w:t xml:space="preserve">تطور عجز الموازنة العامة للدولة: </w:t>
      </w:r>
    </w:p>
    <w:p w14:paraId="52A677D8" w14:textId="77777777" w:rsidR="002959BC" w:rsidRPr="008C7B8E" w:rsidRDefault="002959BC" w:rsidP="002959BC">
      <w:pPr>
        <w:ind w:firstLine="453"/>
        <w:jc w:val="both"/>
        <w:rPr>
          <w:rFonts w:ascii="Simplified Arabic" w:hAnsi="Simplified Arabic" w:cs="Simplified Arabic"/>
          <w:sz w:val="28"/>
          <w:szCs w:val="28"/>
          <w:rtl/>
          <w:lang w:bidi="ar-EG"/>
        </w:rPr>
      </w:pPr>
      <w:r w:rsidRPr="008C7B8E">
        <w:rPr>
          <w:rFonts w:ascii="Simplified Arabic" w:hAnsi="Simplified Arabic" w:cs="Simplified Arabic"/>
          <w:sz w:val="28"/>
          <w:szCs w:val="28"/>
          <w:rtl/>
          <w:lang w:bidi="ar-EG"/>
        </w:rPr>
        <w:t xml:space="preserve">لقد عانى الاقتصاد المصري من أزمة مالية حادة خلال فترة الثمانينات من القرن الماضي حيث بلغ متوسط العجز الكلي للموازنة العامة للدولة خلال تلك الفترة 23% من الناتج المحلي واقترن ذلك بارتفاع معدلات التضخم، ولكن شهدت هذه المعدلات تحسناً ملحوظاً بسبب تطبيق سياسات الإصلاح الاقتصادي. </w:t>
      </w:r>
      <w:r w:rsidRPr="008C7B8E">
        <w:rPr>
          <w:rFonts w:ascii="Simplified Arabic" w:hAnsi="Simplified Arabic" w:cs="Simplified Arabic"/>
          <w:sz w:val="28"/>
          <w:szCs w:val="28"/>
          <w:vertAlign w:val="superscript"/>
          <w:rtl/>
          <w:lang w:bidi="ar-EG"/>
        </w:rPr>
        <w:t>(</w:t>
      </w:r>
      <w:r w:rsidRPr="008C7B8E">
        <w:rPr>
          <w:rFonts w:ascii="Simplified Arabic" w:hAnsi="Simplified Arabic" w:cs="Simplified Arabic"/>
          <w:sz w:val="28"/>
          <w:szCs w:val="28"/>
          <w:vertAlign w:val="superscript"/>
          <w:rtl/>
          <w:lang w:bidi="ar-EG"/>
        </w:rPr>
        <w:footnoteReference w:id="80"/>
      </w:r>
      <w:r w:rsidRPr="008C7B8E">
        <w:rPr>
          <w:rFonts w:ascii="Simplified Arabic" w:hAnsi="Simplified Arabic" w:cs="Simplified Arabic"/>
          <w:sz w:val="28"/>
          <w:szCs w:val="28"/>
          <w:vertAlign w:val="superscript"/>
          <w:rtl/>
          <w:lang w:bidi="ar-EG"/>
        </w:rPr>
        <w:t>)</w:t>
      </w:r>
    </w:p>
    <w:p w14:paraId="57508224" w14:textId="77777777" w:rsidR="002959BC" w:rsidRPr="008C7B8E" w:rsidRDefault="002959BC" w:rsidP="002959BC">
      <w:pPr>
        <w:ind w:firstLine="709"/>
        <w:jc w:val="both"/>
        <w:rPr>
          <w:rFonts w:ascii="Simplified Arabic" w:hAnsi="Simplified Arabic" w:cs="Simplified Arabic"/>
          <w:sz w:val="28"/>
          <w:szCs w:val="28"/>
          <w:rtl/>
          <w:lang w:bidi="ar-EG"/>
        </w:rPr>
      </w:pPr>
    </w:p>
    <w:p w14:paraId="469D95C4" w14:textId="77777777" w:rsidR="002959BC" w:rsidRPr="008C7B8E" w:rsidRDefault="002959BC" w:rsidP="002959BC">
      <w:pPr>
        <w:ind w:firstLine="453"/>
        <w:jc w:val="both"/>
        <w:rPr>
          <w:rFonts w:ascii="Simplified Arabic" w:hAnsi="Simplified Arabic" w:cs="Simplified Arabic"/>
          <w:sz w:val="28"/>
          <w:szCs w:val="28"/>
          <w:rtl/>
          <w:lang w:bidi="ar-EG"/>
        </w:rPr>
      </w:pPr>
      <w:r w:rsidRPr="008C7B8E">
        <w:rPr>
          <w:rFonts w:ascii="Simplified Arabic" w:hAnsi="Simplified Arabic" w:cs="Simplified Arabic"/>
          <w:sz w:val="28"/>
          <w:szCs w:val="28"/>
          <w:rtl/>
          <w:lang w:bidi="ar-EG"/>
        </w:rPr>
        <w:t xml:space="preserve">وقد ارتبطت تلك الإصلاحات باستخدام سياسة مالية انكماشية متشددة طبقت على الموازنة العامة للدولة اعتباراً من العام المالي 1990/1991 ما أدى إلى تخفيض عجز الموازنة من ما يزيد على 15% إلى 1.3% من الناتج المحلي الإجمالي في ظرف أربع سنوات وهو جهد ربما لا يوجد له سوى أمثلة قليلة على المستوى العالمي في التاريخ الحديث </w:t>
      </w:r>
      <w:r w:rsidRPr="008C7B8E">
        <w:rPr>
          <w:rFonts w:ascii="Simplified Arabic" w:hAnsi="Simplified Arabic" w:cs="Simplified Arabic"/>
          <w:sz w:val="28"/>
          <w:szCs w:val="28"/>
          <w:vertAlign w:val="superscript"/>
          <w:rtl/>
          <w:lang w:bidi="ar-EG"/>
        </w:rPr>
        <w:t>(</w:t>
      </w:r>
      <w:r w:rsidRPr="008C7B8E">
        <w:rPr>
          <w:rFonts w:ascii="Simplified Arabic" w:hAnsi="Simplified Arabic" w:cs="Simplified Arabic"/>
          <w:sz w:val="28"/>
          <w:szCs w:val="28"/>
          <w:vertAlign w:val="superscript"/>
          <w:rtl/>
          <w:lang w:bidi="ar-EG"/>
        </w:rPr>
        <w:footnoteReference w:id="81"/>
      </w:r>
      <w:r w:rsidRPr="008C7B8E">
        <w:rPr>
          <w:rFonts w:ascii="Simplified Arabic" w:hAnsi="Simplified Arabic" w:cs="Simplified Arabic"/>
          <w:sz w:val="28"/>
          <w:szCs w:val="28"/>
          <w:vertAlign w:val="superscript"/>
          <w:rtl/>
          <w:lang w:bidi="ar-EG"/>
        </w:rPr>
        <w:t>)</w:t>
      </w:r>
      <w:r w:rsidRPr="008C7B8E">
        <w:rPr>
          <w:rFonts w:ascii="Simplified Arabic" w:hAnsi="Simplified Arabic" w:cs="Simplified Arabic"/>
          <w:sz w:val="28"/>
          <w:szCs w:val="28"/>
          <w:rtl/>
          <w:lang w:bidi="ar-EG"/>
        </w:rPr>
        <w:t>.</w:t>
      </w:r>
    </w:p>
    <w:p w14:paraId="26874F41" w14:textId="77777777" w:rsidR="002959BC" w:rsidRPr="008C7B8E" w:rsidRDefault="002959BC" w:rsidP="002959BC">
      <w:pPr>
        <w:ind w:firstLine="709"/>
        <w:jc w:val="both"/>
        <w:rPr>
          <w:rFonts w:ascii="Simplified Arabic" w:hAnsi="Simplified Arabic" w:cs="Simplified Arabic"/>
          <w:sz w:val="28"/>
          <w:szCs w:val="28"/>
          <w:rtl/>
          <w:lang w:bidi="ar-EG"/>
        </w:rPr>
      </w:pPr>
    </w:p>
    <w:p w14:paraId="2FF83C4B" w14:textId="77777777" w:rsidR="002959BC" w:rsidRPr="008C7B8E" w:rsidRDefault="002959BC" w:rsidP="002959BC">
      <w:pPr>
        <w:ind w:firstLine="453"/>
        <w:jc w:val="both"/>
        <w:rPr>
          <w:rFonts w:ascii="Simplified Arabic" w:hAnsi="Simplified Arabic" w:cs="Simplified Arabic"/>
          <w:sz w:val="28"/>
          <w:szCs w:val="28"/>
          <w:u w:val="single"/>
          <w:rtl/>
          <w:lang w:bidi="ar-EG"/>
        </w:rPr>
      </w:pPr>
      <w:r w:rsidRPr="008C7B8E">
        <w:rPr>
          <w:rFonts w:ascii="Simplified Arabic" w:hAnsi="Simplified Arabic" w:cs="Simplified Arabic"/>
          <w:sz w:val="28"/>
          <w:szCs w:val="28"/>
          <w:rtl/>
          <w:lang w:bidi="ar-EG"/>
        </w:rPr>
        <w:t>ويوضح الشكل التالي تطور إجمالي الإيرادات العامة والنفقات العامة وكذا عجز الموازنة العامة للدولة خلال الفترة من العام المالي 1991/1992 إلى العام المالي 1997/1998:</w:t>
      </w:r>
    </w:p>
    <w:p w14:paraId="612DCE41" w14:textId="77777777" w:rsidR="002959BC"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Pr>
      </w:pPr>
    </w:p>
    <w:p w14:paraId="354E789E" w14:textId="4781328C" w:rsidR="002959BC"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Pr>
      </w:pPr>
    </w:p>
    <w:p w14:paraId="1E76198C" w14:textId="77777777" w:rsidR="002959BC" w:rsidRPr="00012B97"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012B97">
        <w:rPr>
          <w:rFonts w:ascii="Simplified Arabic" w:eastAsia="Times New Roman" w:hAnsi="Simplified Arabic" w:cs="Simplified Arabic"/>
          <w:b/>
          <w:bCs/>
          <w:sz w:val="24"/>
          <w:szCs w:val="24"/>
          <w:rtl/>
        </w:rPr>
        <w:t>شكل رقم (2-1)</w:t>
      </w:r>
    </w:p>
    <w:p w14:paraId="33BEC2A9" w14:textId="77777777" w:rsidR="002959BC" w:rsidRPr="00012B97"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Pr>
      </w:pPr>
      <w:r w:rsidRPr="00012B97">
        <w:rPr>
          <w:rFonts w:ascii="Simplified Arabic" w:eastAsia="Times New Roman" w:hAnsi="Simplified Arabic" w:cs="Simplified Arabic"/>
          <w:b/>
          <w:bCs/>
          <w:sz w:val="24"/>
          <w:szCs w:val="24"/>
          <w:rtl/>
        </w:rPr>
        <w:t>تطور الإيرادات والمصروفات والعجز الكلي للموازنة العامة</w:t>
      </w:r>
    </w:p>
    <w:p w14:paraId="383EAD14" w14:textId="77777777" w:rsidR="002959BC" w:rsidRPr="00012B97"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012B97">
        <w:rPr>
          <w:rFonts w:ascii="Simplified Arabic" w:eastAsia="Times New Roman" w:hAnsi="Simplified Arabic" w:cs="Simplified Arabic"/>
          <w:b/>
          <w:bCs/>
          <w:sz w:val="24"/>
          <w:szCs w:val="24"/>
        </w:rPr>
        <w:lastRenderedPageBreak/>
        <w:drawing>
          <wp:anchor distT="0" distB="0" distL="114300" distR="114300" simplePos="0" relativeHeight="251683840" behindDoc="1" locked="0" layoutInCell="1" allowOverlap="1" wp14:anchorId="27638BA2" wp14:editId="30F08DEF">
            <wp:simplePos x="0" y="0"/>
            <wp:positionH relativeFrom="column">
              <wp:posOffset>114300</wp:posOffset>
            </wp:positionH>
            <wp:positionV relativeFrom="paragraph">
              <wp:posOffset>386511</wp:posOffset>
            </wp:positionV>
            <wp:extent cx="5508625" cy="3240000"/>
            <wp:effectExtent l="0" t="0" r="0" b="0"/>
            <wp:wrapTight wrapText="bothSides">
              <wp:wrapPolygon edited="0">
                <wp:start x="0" y="0"/>
                <wp:lineTo x="0" y="21592"/>
                <wp:lineTo x="21588" y="21592"/>
                <wp:lineTo x="21588" y="0"/>
                <wp:lineTo x="0" y="0"/>
              </wp:wrapPolygon>
            </wp:wrapTight>
            <wp:docPr id="104" name="Chart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Pr="00012B97">
        <w:rPr>
          <w:rFonts w:ascii="Simplified Arabic" w:eastAsia="Times New Roman" w:hAnsi="Simplified Arabic" w:cs="Simplified Arabic"/>
          <w:b/>
          <w:bCs/>
          <w:color w:val="000000" w:themeColor="text1"/>
          <w:sz w:val="24"/>
          <w:szCs w:val="24"/>
          <w:rtl/>
        </w:rPr>
        <w:t>خلال الفترة (1991/1992 إلى 1997/1998)</w:t>
      </w:r>
    </w:p>
    <w:p w14:paraId="5782B061" w14:textId="77777777" w:rsidR="002959BC" w:rsidRPr="008C7B8E" w:rsidRDefault="002959BC" w:rsidP="002959BC">
      <w:pPr>
        <w:ind w:firstLine="28"/>
        <w:jc w:val="both"/>
        <w:rPr>
          <w:rFonts w:ascii="Simplified Arabic" w:hAnsi="Simplified Arabic" w:cs="Simplified Arabic"/>
          <w:sz w:val="24"/>
          <w:szCs w:val="24"/>
          <w:rtl/>
        </w:rPr>
      </w:pPr>
      <w:r w:rsidRPr="008C7B8E">
        <w:rPr>
          <w:rFonts w:ascii="Simplified Arabic" w:hAnsi="Simplified Arabic" w:cs="Simplified Arabic"/>
          <w:sz w:val="24"/>
          <w:szCs w:val="24"/>
          <w:rtl/>
        </w:rPr>
        <w:t>المصدر: من إعداد الباحث بالاعتماد على بيانات الجدول رقم (4-1) بالملحق الإحصائي.</w:t>
      </w:r>
    </w:p>
    <w:p w14:paraId="4BB56A74" w14:textId="77777777" w:rsidR="002959BC" w:rsidRPr="008C7B8E" w:rsidRDefault="002959BC" w:rsidP="002959BC">
      <w:pPr>
        <w:ind w:firstLine="709"/>
        <w:jc w:val="both"/>
        <w:rPr>
          <w:rFonts w:ascii="Simplified Arabic" w:hAnsi="Simplified Arabic" w:cs="Simplified Arabic"/>
          <w:sz w:val="28"/>
          <w:szCs w:val="28"/>
          <w:rtl/>
          <w:lang w:bidi="ar-EG"/>
        </w:rPr>
      </w:pPr>
    </w:p>
    <w:p w14:paraId="09C1CF97" w14:textId="77777777" w:rsidR="002959BC" w:rsidRPr="008C7B8E" w:rsidRDefault="002959BC" w:rsidP="002959BC">
      <w:pPr>
        <w:ind w:firstLine="453"/>
        <w:jc w:val="both"/>
        <w:rPr>
          <w:rFonts w:ascii="Simplified Arabic" w:hAnsi="Simplified Arabic" w:cs="Simplified Arabic"/>
          <w:sz w:val="28"/>
          <w:szCs w:val="28"/>
          <w:rtl/>
          <w:lang w:bidi="ar-EG"/>
        </w:rPr>
      </w:pPr>
      <w:r w:rsidRPr="008C7B8E">
        <w:rPr>
          <w:rFonts w:ascii="Simplified Arabic" w:hAnsi="Simplified Arabic" w:cs="Simplified Arabic"/>
          <w:sz w:val="28"/>
          <w:szCs w:val="28"/>
          <w:rtl/>
          <w:lang w:bidi="ar-EG"/>
        </w:rPr>
        <w:t>ويتضح من الشكل رقم (2-1) أنه خلال الفترة 1991/1992 إلى 1997/1998 قد نجحت سياسة الإصلاح الاقتصادي في التخفيض المستمر للعجز الكلي للموازنة العامة كرقم مطلق وكنسبة إلى الناتج المحلي الإجمالي وصولاً إلى مستويات جيدة حيث انخفض العجز الكلي للموازنة من 6157 مليون جنيه (4.7% من الناتج المحلي الإجمالي) خلال العام المالي 1990/1991 ليصل إلى 2820 مليون جنيه (1% من الناتج المحلي الإجمالي) خلال العام المالي 1997/1998.</w:t>
      </w:r>
    </w:p>
    <w:p w14:paraId="6B459976" w14:textId="77777777" w:rsidR="002959BC" w:rsidRPr="008C7B8E" w:rsidRDefault="002959BC" w:rsidP="002959BC">
      <w:pPr>
        <w:ind w:firstLine="709"/>
        <w:jc w:val="both"/>
        <w:rPr>
          <w:rFonts w:ascii="Simplified Arabic" w:hAnsi="Simplified Arabic" w:cs="Simplified Arabic"/>
          <w:sz w:val="28"/>
          <w:szCs w:val="28"/>
          <w:rtl/>
          <w:lang w:bidi="ar-EG"/>
        </w:rPr>
      </w:pPr>
    </w:p>
    <w:p w14:paraId="681D3A40" w14:textId="77777777" w:rsidR="002959BC" w:rsidRPr="008C7B8E" w:rsidRDefault="002959BC" w:rsidP="002959BC">
      <w:pPr>
        <w:ind w:firstLine="453"/>
        <w:jc w:val="both"/>
        <w:rPr>
          <w:rFonts w:ascii="Simplified Arabic" w:hAnsi="Simplified Arabic" w:cs="Simplified Arabic"/>
          <w:sz w:val="28"/>
          <w:szCs w:val="28"/>
          <w:rtl/>
          <w:lang w:bidi="ar-EG"/>
        </w:rPr>
      </w:pPr>
      <w:r w:rsidRPr="008C7B8E">
        <w:rPr>
          <w:rFonts w:ascii="Simplified Arabic" w:hAnsi="Simplified Arabic" w:cs="Simplified Arabic"/>
          <w:sz w:val="28"/>
          <w:szCs w:val="28"/>
          <w:rtl/>
          <w:lang w:bidi="ar-EG"/>
        </w:rPr>
        <w:t xml:space="preserve">كما يتضح أنه نتيجة لتطبيق تلك السياسة الانكماشية تم تخفيض المصروفات كنسبة من الناتج المحلي الإجمالي خلال تلك الفترة حيث سجلت خلال العام المالي 1991/1992 مبلغ 47563 مليون جنيه (36.3% من الناتج المحلي الإجمالي) لتصل خلال العام المالي 1997/1998 إلى 70783 مليون جنيه (24.6% من الناتج المحلي الإجمالي). </w:t>
      </w:r>
    </w:p>
    <w:p w14:paraId="4450A927" w14:textId="77777777" w:rsidR="002959BC" w:rsidRPr="008C7B8E" w:rsidRDefault="002959BC" w:rsidP="002959BC">
      <w:pPr>
        <w:ind w:firstLine="709"/>
        <w:jc w:val="both"/>
        <w:rPr>
          <w:rFonts w:ascii="Simplified Arabic" w:hAnsi="Simplified Arabic" w:cs="Simplified Arabic"/>
          <w:sz w:val="28"/>
          <w:szCs w:val="28"/>
          <w:rtl/>
          <w:lang w:bidi="ar-EG"/>
        </w:rPr>
      </w:pPr>
    </w:p>
    <w:p w14:paraId="65761954" w14:textId="77777777" w:rsidR="002959BC" w:rsidRPr="008C7B8E" w:rsidRDefault="002959BC" w:rsidP="002959BC">
      <w:pPr>
        <w:ind w:firstLine="453"/>
        <w:jc w:val="both"/>
        <w:rPr>
          <w:rFonts w:ascii="Simplified Arabic" w:hAnsi="Simplified Arabic" w:cs="Simplified Arabic"/>
          <w:sz w:val="28"/>
          <w:szCs w:val="28"/>
          <w:rtl/>
          <w:lang w:bidi="ar-EG"/>
        </w:rPr>
      </w:pPr>
      <w:r w:rsidRPr="008C7B8E">
        <w:rPr>
          <w:rFonts w:ascii="Simplified Arabic" w:hAnsi="Simplified Arabic" w:cs="Simplified Arabic"/>
          <w:sz w:val="28"/>
          <w:szCs w:val="28"/>
          <w:rtl/>
          <w:lang w:bidi="ar-EG"/>
        </w:rPr>
        <w:t xml:space="preserve">كما انخفضت الإيرادات العامة كنسبة إلى الناتج المحلي الإجمالي حيث سجلت خلال العام المالي 1991/1992 مبلغ 41406 مليون جنيه (31.6% من الناتج المحلي الإجمالي) في حين بلغت خلال العام المالي 1997/1998 مبلغ 67963 مليون جنيه (23.6% من الناتج المحلي الإجمالي) وذلك على الرغم من أنه قد تم خلال تلك الفترة تطبيق قانون الضريبة العامة على المبيعات الصادر بالقانون رقم 11 </w:t>
      </w:r>
      <w:r w:rsidRPr="008C7B8E">
        <w:rPr>
          <w:rFonts w:ascii="Simplified Arabic" w:hAnsi="Simplified Arabic" w:cs="Simplified Arabic"/>
          <w:sz w:val="28"/>
          <w:szCs w:val="28"/>
          <w:rtl/>
          <w:lang w:bidi="ar-EG"/>
        </w:rPr>
        <w:lastRenderedPageBreak/>
        <w:t>لسنة 1991، وكان من المفترض أن يعقب ذلك تطوير القانون لينتقل إلى مرحلة الضريبة على القيمة المضافة إلا أن هذه الخطوة قد تأخرت كثيراً حيث صدر هذا القانون في نهاية عام 2016.</w:t>
      </w:r>
    </w:p>
    <w:p w14:paraId="7EB69563" w14:textId="77777777" w:rsidR="002959BC"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p>
    <w:p w14:paraId="3D8DEA0E" w14:textId="77777777" w:rsidR="002959BC" w:rsidRPr="00012B97"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012B97">
        <w:rPr>
          <w:rFonts w:ascii="Simplified Arabic" w:eastAsia="Times New Roman" w:hAnsi="Simplified Arabic" w:cs="Simplified Arabic"/>
          <w:b/>
          <w:bCs/>
          <w:sz w:val="24"/>
          <w:szCs w:val="24"/>
          <w:rtl/>
        </w:rPr>
        <w:t>شكل رقم (2-2)</w:t>
      </w:r>
    </w:p>
    <w:p w14:paraId="0858F4EE" w14:textId="77777777" w:rsidR="002959BC" w:rsidRPr="00012B97"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Pr>
      </w:pPr>
      <w:r w:rsidRPr="00012B97">
        <w:rPr>
          <w:rFonts w:ascii="Simplified Arabic" w:eastAsia="Times New Roman" w:hAnsi="Simplified Arabic" w:cs="Simplified Arabic"/>
          <w:b/>
          <w:bCs/>
          <w:sz w:val="24"/>
          <w:szCs w:val="24"/>
          <w:rtl/>
        </w:rPr>
        <w:t>التغير النسبي في الإيرادات والمصروفات</w:t>
      </w:r>
    </w:p>
    <w:p w14:paraId="57B8F9C5" w14:textId="77777777" w:rsidR="002959BC" w:rsidRPr="00012B97"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012B97">
        <w:rPr>
          <w:rFonts w:ascii="Simplified Arabic" w:eastAsia="Times New Roman" w:hAnsi="Simplified Arabic" w:cs="Simplified Arabic"/>
          <w:b/>
          <w:bCs/>
          <w:sz w:val="24"/>
          <w:szCs w:val="24"/>
        </w:rPr>
        <w:drawing>
          <wp:anchor distT="0" distB="0" distL="114300" distR="114300" simplePos="0" relativeHeight="251680768" behindDoc="1" locked="0" layoutInCell="1" allowOverlap="1" wp14:anchorId="1781D9A0" wp14:editId="6B8693C2">
            <wp:simplePos x="0" y="0"/>
            <wp:positionH relativeFrom="column">
              <wp:posOffset>0</wp:posOffset>
            </wp:positionH>
            <wp:positionV relativeFrom="paragraph">
              <wp:posOffset>369845</wp:posOffset>
            </wp:positionV>
            <wp:extent cx="5508625" cy="3240000"/>
            <wp:effectExtent l="0" t="0" r="0" b="0"/>
            <wp:wrapTight wrapText="bothSides">
              <wp:wrapPolygon edited="0">
                <wp:start x="0" y="0"/>
                <wp:lineTo x="0" y="21592"/>
                <wp:lineTo x="21588" y="21592"/>
                <wp:lineTo x="21588" y="0"/>
                <wp:lineTo x="0" y="0"/>
              </wp:wrapPolygon>
            </wp:wrapTight>
            <wp:docPr id="105" name="Chart 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V relativeFrom="margin">
              <wp14:pctHeight>0</wp14:pctHeight>
            </wp14:sizeRelV>
          </wp:anchor>
        </w:drawing>
      </w:r>
      <w:r w:rsidRPr="00012B97">
        <w:rPr>
          <w:rFonts w:ascii="Simplified Arabic" w:eastAsia="Times New Roman" w:hAnsi="Simplified Arabic" w:cs="Simplified Arabic"/>
          <w:b/>
          <w:bCs/>
          <w:sz w:val="24"/>
          <w:szCs w:val="24"/>
          <w:rtl/>
        </w:rPr>
        <w:t>خلال الفترة (1991/1992 إلى 1997/1998)</w:t>
      </w:r>
    </w:p>
    <w:p w14:paraId="6E52D3F4" w14:textId="77777777" w:rsidR="002959BC" w:rsidRPr="008C7B8E" w:rsidRDefault="002959BC" w:rsidP="002959BC">
      <w:pPr>
        <w:ind w:firstLine="28"/>
        <w:jc w:val="both"/>
        <w:rPr>
          <w:rFonts w:ascii="Simplified Arabic" w:hAnsi="Simplified Arabic" w:cs="Simplified Arabic"/>
          <w:color w:val="000000"/>
          <w:sz w:val="24"/>
          <w:szCs w:val="24"/>
          <w:rtl/>
        </w:rPr>
      </w:pPr>
      <w:r w:rsidRPr="008C7B8E">
        <w:rPr>
          <w:rFonts w:ascii="Simplified Arabic" w:hAnsi="Simplified Arabic" w:cs="Simplified Arabic"/>
          <w:sz w:val="24"/>
          <w:szCs w:val="24"/>
          <w:rtl/>
        </w:rPr>
        <w:t>المصدر: من إعداد الباحث بالاعتماد على بيانات الجدول رقم (4-1) بالملحق الإحصائي.</w:t>
      </w:r>
    </w:p>
    <w:p w14:paraId="7A9A2C3A" w14:textId="77777777" w:rsidR="002959BC" w:rsidRPr="008C7B8E" w:rsidRDefault="002959BC" w:rsidP="002959BC">
      <w:pPr>
        <w:ind w:firstLine="709"/>
        <w:jc w:val="both"/>
        <w:rPr>
          <w:rFonts w:ascii="Simplified Arabic" w:hAnsi="Simplified Arabic" w:cs="Simplified Arabic"/>
          <w:color w:val="000000"/>
          <w:sz w:val="28"/>
          <w:szCs w:val="28"/>
          <w:rtl/>
        </w:rPr>
      </w:pPr>
    </w:p>
    <w:p w14:paraId="079F9F31" w14:textId="77777777" w:rsidR="002959BC" w:rsidRPr="008C7B8E" w:rsidRDefault="002959BC" w:rsidP="002959BC">
      <w:pPr>
        <w:ind w:firstLine="453"/>
        <w:jc w:val="both"/>
        <w:rPr>
          <w:rFonts w:ascii="Simplified Arabic" w:hAnsi="Simplified Arabic" w:cs="Simplified Arabic"/>
          <w:color w:val="000000"/>
          <w:sz w:val="28"/>
          <w:szCs w:val="28"/>
          <w:rtl/>
        </w:rPr>
      </w:pPr>
      <w:r w:rsidRPr="008C7B8E">
        <w:rPr>
          <w:rFonts w:ascii="Simplified Arabic" w:hAnsi="Simplified Arabic" w:cs="Simplified Arabic"/>
          <w:sz w:val="28"/>
          <w:szCs w:val="28"/>
          <w:rtl/>
          <w:lang w:bidi="ar-EG"/>
        </w:rPr>
        <w:t>ويوضح</w:t>
      </w:r>
      <w:r w:rsidRPr="008C7B8E">
        <w:rPr>
          <w:rFonts w:ascii="Simplified Arabic" w:hAnsi="Simplified Arabic" w:cs="Simplified Arabic"/>
          <w:color w:val="000000"/>
          <w:sz w:val="28"/>
          <w:szCs w:val="28"/>
          <w:rtl/>
          <w:lang w:bidi="ar-EG"/>
        </w:rPr>
        <w:t xml:space="preserve"> الشكل </w:t>
      </w:r>
      <w:r w:rsidRPr="008C7B8E">
        <w:rPr>
          <w:rFonts w:ascii="Simplified Arabic" w:hAnsi="Simplified Arabic" w:cs="Simplified Arabic"/>
          <w:sz w:val="28"/>
          <w:szCs w:val="28"/>
          <w:rtl/>
          <w:lang w:bidi="ar-EG"/>
        </w:rPr>
        <w:t xml:space="preserve">رقم (2-2) </w:t>
      </w:r>
      <w:r w:rsidRPr="008C7B8E">
        <w:rPr>
          <w:rFonts w:ascii="Simplified Arabic" w:hAnsi="Simplified Arabic" w:cs="Simplified Arabic"/>
          <w:color w:val="000000"/>
          <w:sz w:val="28"/>
          <w:szCs w:val="28"/>
          <w:rtl/>
          <w:lang w:bidi="ar-EG"/>
        </w:rPr>
        <w:t xml:space="preserve">التغير النسبي في كل من الإيرادات والمصروفات خلال الفترة موضع التحليل حيث </w:t>
      </w:r>
      <w:r w:rsidRPr="008C7B8E">
        <w:rPr>
          <w:rFonts w:ascii="Simplified Arabic" w:hAnsi="Simplified Arabic" w:cs="Simplified Arabic"/>
          <w:color w:val="000000"/>
          <w:sz w:val="28"/>
          <w:szCs w:val="28"/>
          <w:rtl/>
        </w:rPr>
        <w:t>زادت الإيرادات العامة بنسب أكبر من الزيادة في المصروفات العامة خلال الأعوام المالية الخمسة التالية للعام المالي 1991/1992 حيث زادت الإيرادات العامة بنسب 28.9% و12.8% و12.6% و6% و9.3% على التوالي بينما كانت النفقات العامة تزيد بنسب منخفضة نسبياً حيث زادت بنسب 12.8% و9.8% و7.7% و3.6% و9.7% على التوالي، وهو ما يوضح سبب تراجع نسب العجز الكلي بالموازنة العامة للدولة، إلا أن هذه النسب قد تراجعت قليلاً خلال العامين الماليين 1996/1997 و1997/1998 لتسجل في جانب الإيرادات 5.9 و5.4% وتسجل في جانب المصروفات 4.6% و5.9% على التوالي.</w:t>
      </w:r>
    </w:p>
    <w:p w14:paraId="11AAC07E" w14:textId="77777777" w:rsidR="002959BC"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p>
    <w:p w14:paraId="5EA76342" w14:textId="77777777" w:rsidR="002959BC"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p>
    <w:p w14:paraId="5697D1BD" w14:textId="77777777" w:rsidR="002959BC"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p>
    <w:p w14:paraId="04E1AC5B" w14:textId="77777777" w:rsidR="00131C6C" w:rsidRDefault="00131C6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p>
    <w:p w14:paraId="23602F66" w14:textId="77777777" w:rsidR="00131C6C" w:rsidRDefault="00131C6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p>
    <w:p w14:paraId="195615AE" w14:textId="609DDE26" w:rsidR="002959BC" w:rsidRPr="00012B97"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012B97">
        <w:rPr>
          <w:rFonts w:ascii="Simplified Arabic" w:eastAsia="Times New Roman" w:hAnsi="Simplified Arabic" w:cs="Simplified Arabic"/>
          <w:b/>
          <w:bCs/>
          <w:sz w:val="24"/>
          <w:szCs w:val="24"/>
          <w:rtl/>
        </w:rPr>
        <w:lastRenderedPageBreak/>
        <w:t>شكل رقم (2-3)</w:t>
      </w:r>
    </w:p>
    <w:p w14:paraId="168A7BC5" w14:textId="77777777" w:rsidR="002959BC" w:rsidRPr="00012B97"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Pr>
      </w:pPr>
      <w:r w:rsidRPr="00012B97">
        <w:rPr>
          <w:rFonts w:ascii="Simplified Arabic" w:eastAsia="Times New Roman" w:hAnsi="Simplified Arabic" w:cs="Simplified Arabic"/>
          <w:b/>
          <w:bCs/>
          <w:sz w:val="24"/>
          <w:szCs w:val="24"/>
          <w:rtl/>
        </w:rPr>
        <w:t>تطور نسب الإيرادات والمصروفات والعجز الكلي للموازنة العامة</w:t>
      </w:r>
      <w:r>
        <w:rPr>
          <w:rFonts w:ascii="Simplified Arabic" w:eastAsia="Times New Roman" w:hAnsi="Simplified Arabic" w:cs="Simplified Arabic" w:hint="cs"/>
          <w:b/>
          <w:bCs/>
          <w:sz w:val="24"/>
          <w:szCs w:val="24"/>
          <w:rtl/>
        </w:rPr>
        <w:t xml:space="preserve"> </w:t>
      </w:r>
      <w:r w:rsidRPr="00012B97">
        <w:rPr>
          <w:rFonts w:ascii="Simplified Arabic" w:eastAsia="Times New Roman" w:hAnsi="Simplified Arabic" w:cs="Simplified Arabic"/>
          <w:b/>
          <w:bCs/>
          <w:sz w:val="24"/>
          <w:szCs w:val="24"/>
          <w:rtl/>
        </w:rPr>
        <w:t>إلى الناتج المحلي الإجمالي</w:t>
      </w:r>
    </w:p>
    <w:p w14:paraId="59BAF9F3" w14:textId="77777777" w:rsidR="002959BC" w:rsidRPr="00012B97"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012B97">
        <w:rPr>
          <w:rFonts w:ascii="Simplified Arabic" w:eastAsia="Times New Roman" w:hAnsi="Simplified Arabic" w:cs="Simplified Arabic"/>
          <w:b/>
          <w:bCs/>
          <w:sz w:val="24"/>
          <w:szCs w:val="24"/>
        </w:rPr>
        <w:drawing>
          <wp:anchor distT="0" distB="0" distL="114300" distR="114300" simplePos="0" relativeHeight="251679744" behindDoc="1" locked="0" layoutInCell="1" allowOverlap="1" wp14:anchorId="24DF6201" wp14:editId="28BF82D4">
            <wp:simplePos x="0" y="0"/>
            <wp:positionH relativeFrom="column">
              <wp:posOffset>-1905</wp:posOffset>
            </wp:positionH>
            <wp:positionV relativeFrom="paragraph">
              <wp:posOffset>335915</wp:posOffset>
            </wp:positionV>
            <wp:extent cx="5508625" cy="2958465"/>
            <wp:effectExtent l="0" t="0" r="15875" b="13335"/>
            <wp:wrapTight wrapText="bothSides">
              <wp:wrapPolygon edited="0">
                <wp:start x="0" y="0"/>
                <wp:lineTo x="0" y="21558"/>
                <wp:lineTo x="21588" y="21558"/>
                <wp:lineTo x="21588" y="0"/>
                <wp:lineTo x="0" y="0"/>
              </wp:wrapPolygon>
            </wp:wrapTight>
            <wp:docPr id="106" name="Chart 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Pr="00012B97">
        <w:rPr>
          <w:rFonts w:ascii="Simplified Arabic" w:eastAsia="Times New Roman" w:hAnsi="Simplified Arabic" w:cs="Simplified Arabic"/>
          <w:b/>
          <w:bCs/>
          <w:sz w:val="24"/>
          <w:szCs w:val="24"/>
          <w:rtl/>
        </w:rPr>
        <w:t>خلال الفترة (1991/1992 إلى 1997/1998)</w:t>
      </w:r>
    </w:p>
    <w:p w14:paraId="7513C0C2" w14:textId="77777777" w:rsidR="002959BC" w:rsidRPr="008C7B8E" w:rsidRDefault="002959BC" w:rsidP="002959BC">
      <w:pPr>
        <w:ind w:firstLine="28"/>
        <w:jc w:val="both"/>
        <w:rPr>
          <w:rFonts w:ascii="Simplified Arabic" w:hAnsi="Simplified Arabic" w:cs="Simplified Arabic"/>
          <w:color w:val="000000"/>
          <w:sz w:val="24"/>
          <w:szCs w:val="24"/>
          <w:rtl/>
        </w:rPr>
      </w:pPr>
      <w:r w:rsidRPr="008C7B8E">
        <w:rPr>
          <w:rFonts w:ascii="Simplified Arabic" w:hAnsi="Simplified Arabic" w:cs="Simplified Arabic"/>
          <w:sz w:val="24"/>
          <w:szCs w:val="24"/>
          <w:rtl/>
        </w:rPr>
        <w:t>المصدر: من إعداد الباحث بالاعتماد على بيانات الجدول رقم (4-1) بالملحق</w:t>
      </w:r>
      <w:r w:rsidRPr="008C7B8E">
        <w:rPr>
          <w:rFonts w:ascii="Simplified Arabic" w:hAnsi="Simplified Arabic" w:cs="Simplified Arabic"/>
          <w:sz w:val="24"/>
          <w:szCs w:val="24"/>
          <w:rtl/>
          <w:lang w:bidi="ar-EG"/>
        </w:rPr>
        <w:t xml:space="preserve"> الإحصائي</w:t>
      </w:r>
      <w:r w:rsidRPr="008C7B8E">
        <w:rPr>
          <w:rFonts w:ascii="Simplified Arabic" w:hAnsi="Simplified Arabic" w:cs="Simplified Arabic"/>
          <w:sz w:val="24"/>
          <w:szCs w:val="24"/>
          <w:rtl/>
        </w:rPr>
        <w:t>.</w:t>
      </w:r>
    </w:p>
    <w:p w14:paraId="11D6B862" w14:textId="77777777" w:rsidR="002959BC" w:rsidRPr="00012B97" w:rsidRDefault="002959BC" w:rsidP="002959BC">
      <w:pPr>
        <w:jc w:val="both"/>
        <w:rPr>
          <w:rFonts w:ascii="Simplified Arabic" w:hAnsi="Simplified Arabic" w:cs="Simplified Arabic"/>
          <w:rtl/>
        </w:rPr>
      </w:pPr>
    </w:p>
    <w:p w14:paraId="756C3C46" w14:textId="77777777" w:rsidR="002959BC" w:rsidRPr="008C7B8E" w:rsidRDefault="002959BC" w:rsidP="002959BC">
      <w:pPr>
        <w:ind w:firstLine="453"/>
        <w:jc w:val="both"/>
        <w:rPr>
          <w:rFonts w:ascii="Simplified Arabic" w:hAnsi="Simplified Arabic" w:cs="Simplified Arabic"/>
          <w:sz w:val="28"/>
          <w:szCs w:val="28"/>
          <w:rtl/>
          <w:lang w:bidi="ar-EG"/>
        </w:rPr>
      </w:pPr>
      <w:r w:rsidRPr="008C7B8E">
        <w:rPr>
          <w:rFonts w:ascii="Simplified Arabic" w:hAnsi="Simplified Arabic" w:cs="Simplified Arabic"/>
          <w:sz w:val="28"/>
          <w:szCs w:val="28"/>
          <w:rtl/>
          <w:lang w:bidi="ar-EG"/>
        </w:rPr>
        <w:t>ويتضح من الشكل رقم (2-3) التراجع المستمر في كل من نسب الإيرادات والمصروفات كنسبة إلى الناتج المحلي الإجمالي وهو ما يعكس الدور الذي تلعبه المصروفات الحكومية لتنشيط الاقتصاد المصري ولذلك كان لتراجع المصروفات العامة تأثير سلبي على النشاط الاقتصادي وبالتالي تراجع نسب الإيرادات العامة كذلك.</w:t>
      </w:r>
    </w:p>
    <w:p w14:paraId="54513DDE" w14:textId="77777777" w:rsidR="002959BC" w:rsidRPr="00012B97" w:rsidRDefault="002959BC" w:rsidP="002959BC">
      <w:pPr>
        <w:ind w:firstLine="709"/>
        <w:jc w:val="both"/>
        <w:rPr>
          <w:rFonts w:ascii="Simplified Arabic" w:hAnsi="Simplified Arabic" w:cs="Simplified Arabic"/>
          <w:rtl/>
          <w:lang w:bidi="ar-EG"/>
        </w:rPr>
      </w:pPr>
    </w:p>
    <w:p w14:paraId="4BBF51FA" w14:textId="77777777" w:rsidR="002959BC" w:rsidRDefault="002959BC" w:rsidP="002959BC">
      <w:pPr>
        <w:ind w:firstLine="453"/>
        <w:jc w:val="both"/>
        <w:rPr>
          <w:rFonts w:ascii="Simplified Arabic" w:hAnsi="Simplified Arabic" w:cs="Simplified Arabic"/>
          <w:sz w:val="28"/>
          <w:szCs w:val="28"/>
          <w:rtl/>
          <w:lang w:bidi="ar-EG"/>
        </w:rPr>
      </w:pPr>
      <w:r w:rsidRPr="008C7B8E">
        <w:rPr>
          <w:rFonts w:ascii="Simplified Arabic" w:hAnsi="Simplified Arabic" w:cs="Simplified Arabic"/>
          <w:sz w:val="28"/>
          <w:szCs w:val="28"/>
          <w:rtl/>
          <w:lang w:bidi="ar-EG"/>
        </w:rPr>
        <w:t>إن الملاحظ أنه خلال تلك الفترة قد نجحت الحكومة بشكل كبير في تطبيق سياسة انكماشية فاعلة في تخفيض نسب العجز الكلي للموازنة العامة للدولة وكان لها تأثير واضح على تخفيض المصروفات العامة كنسبة إلى الناتج المحلي الإجمالي، إلا أن الحكومة قد أخفقت في تنشيط الإيرادات وزيادتها بالقدر المأمول فرغم زيادة الإيرادات كقيمة مطلقة واقترابها من قيمة المصروفات العامة بشكل كبير إلا أنها كانت تقل عاماً بعد عام كنسبة إلى الناتج المحلي الإجمالي.</w:t>
      </w:r>
    </w:p>
    <w:p w14:paraId="05B8C5FB" w14:textId="77777777" w:rsidR="002959BC" w:rsidRPr="00012B97" w:rsidRDefault="002959BC" w:rsidP="002959BC">
      <w:pPr>
        <w:ind w:firstLine="453"/>
        <w:jc w:val="both"/>
        <w:rPr>
          <w:rFonts w:ascii="Simplified Arabic" w:hAnsi="Simplified Arabic" w:cs="Simplified Arabic"/>
          <w:rtl/>
          <w:lang w:bidi="ar-EG"/>
        </w:rPr>
      </w:pPr>
    </w:p>
    <w:p w14:paraId="1C8FDFB7" w14:textId="77777777" w:rsidR="002959BC" w:rsidRDefault="002959BC" w:rsidP="002959BC">
      <w:pPr>
        <w:ind w:firstLine="453"/>
        <w:jc w:val="both"/>
        <w:rPr>
          <w:rFonts w:ascii="Simplified Arabic" w:hAnsi="Simplified Arabic" w:cs="Simplified Arabic"/>
          <w:sz w:val="28"/>
          <w:szCs w:val="28"/>
          <w:lang w:bidi="ar-EG"/>
        </w:rPr>
      </w:pPr>
      <w:r w:rsidRPr="008C7B8E">
        <w:rPr>
          <w:rFonts w:ascii="Simplified Arabic" w:hAnsi="Simplified Arabic" w:cs="Simplified Arabic"/>
          <w:sz w:val="28"/>
          <w:szCs w:val="28"/>
          <w:rtl/>
          <w:lang w:bidi="ar-EG"/>
        </w:rPr>
        <w:t>وإجمالاً فقد نجح برنامج الإصلاح الاقتصادي في تخفيض كبير للعجز الكلي للموازنة العامة للدولة حيث انخفض العجز الكلي للموازنة خلال العام المالي 1997/1998 إلى ما نسبته 1% من الناتج المحلي الإجمالي مقارنة بنسبة 4.7% من الناتج المحلي الإجمالي خلال العام المالي 1991/1992 وكان ذلك نتيجة لزيادة الإيرادات بنسبة أكبر من الزيادة في النفقات العامة حيث زادت الإيرادات خلال تلك الفترة بنسبة 164% مقارنة بزيادة قدرها 148% في النفقات العامة.</w:t>
      </w:r>
    </w:p>
    <w:p w14:paraId="5686256E" w14:textId="77777777" w:rsidR="002959BC" w:rsidRPr="008C7B8E" w:rsidRDefault="002959BC" w:rsidP="002959BC">
      <w:pPr>
        <w:ind w:left="542" w:hanging="514"/>
        <w:jc w:val="both"/>
        <w:rPr>
          <w:rFonts w:ascii="Simplified Arabic" w:hAnsi="Simplified Arabic" w:cs="Simplified Arabic"/>
          <w:b/>
          <w:bCs/>
          <w:sz w:val="30"/>
          <w:szCs w:val="30"/>
          <w:u w:val="single"/>
          <w:lang w:bidi="ar-EG"/>
        </w:rPr>
      </w:pPr>
      <w:r w:rsidRPr="008C7B8E">
        <w:rPr>
          <w:rFonts w:ascii="Simplified Arabic" w:hAnsi="Simplified Arabic" w:cs="Simplified Arabic"/>
          <w:b/>
          <w:bCs/>
          <w:sz w:val="30"/>
          <w:szCs w:val="30"/>
          <w:u w:val="single"/>
          <w:rtl/>
          <w:lang w:bidi="ar-EG"/>
        </w:rPr>
        <w:lastRenderedPageBreak/>
        <w:t>2- تحليل آليات تمويل عجز الموازنة العامة للدولة خلال الفترة من العام المالي 1991/1992 إلى العام المالي 1997/1998:</w:t>
      </w:r>
    </w:p>
    <w:p w14:paraId="7356BE68" w14:textId="77777777" w:rsidR="002959BC" w:rsidRPr="008C7B8E" w:rsidRDefault="002959BC" w:rsidP="002959BC">
      <w:pPr>
        <w:ind w:firstLine="453"/>
        <w:jc w:val="both"/>
        <w:rPr>
          <w:rFonts w:ascii="Simplified Arabic" w:hAnsi="Simplified Arabic" w:cs="Simplified Arabic"/>
          <w:sz w:val="28"/>
          <w:szCs w:val="28"/>
          <w:rtl/>
          <w:lang w:bidi="ar-EG"/>
        </w:rPr>
      </w:pPr>
      <w:r w:rsidRPr="008C7B8E">
        <w:rPr>
          <w:rFonts w:ascii="Simplified Arabic" w:hAnsi="Simplified Arabic" w:cs="Simplified Arabic"/>
          <w:sz w:val="28"/>
          <w:szCs w:val="28"/>
          <w:rtl/>
          <w:lang w:bidi="ar-EG"/>
        </w:rPr>
        <w:t xml:space="preserve">إن عجز الموازنة العامة سواء أكان مقصوداً أو راجعاً إلى زيادات غير عادية في النفقات العامة أو إلى انخفاض كفاءة الجهاز الضريبي أو التهرب الضريبي أو ارتفاع المتأخرات الضريبية أو حتى كان سببه سوء تقدير عند إعداد الموازنة العامة، فإن الأثر النهائي لعجز الموازنة العامة على النشاط أو الاستقرار الاقتصادي إنما يتوقف على الطريقة التي ستمول بها الدولة ذلك العجز أكثر من الطريقة التي نشأ بها ذلك الأخير. </w:t>
      </w:r>
      <w:r w:rsidRPr="008C7B8E">
        <w:rPr>
          <w:rFonts w:ascii="Simplified Arabic" w:hAnsi="Simplified Arabic" w:cs="Simplified Arabic"/>
          <w:sz w:val="28"/>
          <w:szCs w:val="28"/>
          <w:vertAlign w:val="superscript"/>
          <w:rtl/>
          <w:lang w:bidi="ar-EG"/>
        </w:rPr>
        <w:t>(</w:t>
      </w:r>
      <w:r w:rsidRPr="008C7B8E">
        <w:rPr>
          <w:rFonts w:ascii="Simplified Arabic" w:hAnsi="Simplified Arabic" w:cs="Simplified Arabic"/>
          <w:sz w:val="28"/>
          <w:szCs w:val="28"/>
          <w:vertAlign w:val="superscript"/>
          <w:rtl/>
          <w:lang w:bidi="ar-EG"/>
        </w:rPr>
        <w:footnoteReference w:id="82"/>
      </w:r>
      <w:r w:rsidRPr="008C7B8E">
        <w:rPr>
          <w:rFonts w:ascii="Simplified Arabic" w:hAnsi="Simplified Arabic" w:cs="Simplified Arabic"/>
          <w:sz w:val="28"/>
          <w:szCs w:val="28"/>
          <w:vertAlign w:val="superscript"/>
          <w:rtl/>
          <w:lang w:bidi="ar-EG"/>
        </w:rPr>
        <w:t>)</w:t>
      </w:r>
    </w:p>
    <w:p w14:paraId="61D386A1" w14:textId="77777777" w:rsidR="002959BC" w:rsidRPr="008C7B8E" w:rsidRDefault="002959BC" w:rsidP="002959BC">
      <w:pPr>
        <w:ind w:firstLine="709"/>
        <w:jc w:val="both"/>
        <w:rPr>
          <w:rFonts w:ascii="Simplified Arabic" w:hAnsi="Simplified Arabic" w:cs="Simplified Arabic"/>
          <w:sz w:val="28"/>
          <w:szCs w:val="28"/>
          <w:rtl/>
          <w:lang w:bidi="ar-EG"/>
        </w:rPr>
      </w:pPr>
    </w:p>
    <w:p w14:paraId="0AE0A93B" w14:textId="77777777" w:rsidR="002959BC" w:rsidRDefault="002959BC" w:rsidP="002959BC">
      <w:pPr>
        <w:ind w:firstLine="453"/>
        <w:jc w:val="both"/>
        <w:rPr>
          <w:rFonts w:ascii="Simplified Arabic" w:hAnsi="Simplified Arabic" w:cs="Simplified Arabic"/>
          <w:sz w:val="28"/>
          <w:szCs w:val="28"/>
          <w:lang w:bidi="ar-EG"/>
        </w:rPr>
      </w:pPr>
      <w:r w:rsidRPr="008C7B8E">
        <w:rPr>
          <w:rFonts w:ascii="Simplified Arabic" w:hAnsi="Simplified Arabic" w:cs="Simplified Arabic"/>
          <w:sz w:val="28"/>
          <w:szCs w:val="28"/>
          <w:rtl/>
          <w:lang w:bidi="ar-EG"/>
        </w:rPr>
        <w:t>وعليه فسوف نتناول الآليات المالية لتمويل عجز الموازنة خلال الفترة من العام المالي 1991/1992 حتى العام المالي 1997/1998، وسوف نتناول هنا التمويل الخارجي والتمويل الداخلي بشقيه المصرفي (عن طريق البنك المركزي والبنوك والشركات المالية) وغير المصرفي (من الشركات غير المالية والقطاع العائلي).</w:t>
      </w:r>
    </w:p>
    <w:p w14:paraId="67C8EEA2" w14:textId="77777777" w:rsidR="002959BC" w:rsidRPr="00012B97"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012B97">
        <w:rPr>
          <w:rFonts w:ascii="Simplified Arabic" w:eastAsia="Times New Roman" w:hAnsi="Simplified Arabic" w:cs="Simplified Arabic"/>
          <w:b/>
          <w:bCs/>
          <w:sz w:val="24"/>
          <w:szCs w:val="24"/>
          <w:rtl/>
        </w:rPr>
        <w:t>شكل رقم (2-4)</w:t>
      </w:r>
    </w:p>
    <w:p w14:paraId="2277B184" w14:textId="77777777" w:rsidR="002959BC" w:rsidRPr="00012B97"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Pr>
      </w:pPr>
      <w:r w:rsidRPr="00012B97">
        <w:rPr>
          <w:rFonts w:ascii="Simplified Arabic" w:eastAsia="Times New Roman" w:hAnsi="Simplified Arabic" w:cs="Simplified Arabic"/>
          <w:b/>
          <w:bCs/>
          <w:sz w:val="24"/>
          <w:szCs w:val="24"/>
          <w:rtl/>
        </w:rPr>
        <w:t>تطور التمويل الخارجي لعجز الموازنة العامة للدولة</w:t>
      </w:r>
    </w:p>
    <w:p w14:paraId="64E1E7AC" w14:textId="77777777" w:rsidR="002959BC" w:rsidRPr="00012B97"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012B97">
        <w:rPr>
          <w:rFonts w:ascii="Simplified Arabic" w:eastAsia="Times New Roman" w:hAnsi="Simplified Arabic" w:cs="Simplified Arabic"/>
          <w:b/>
          <w:bCs/>
          <w:sz w:val="24"/>
          <w:szCs w:val="24"/>
          <w:rtl/>
        </w:rPr>
        <w:t>خلال الفترة (1991/1992 إلى 1997/1998)</w:t>
      </w:r>
    </w:p>
    <w:p w14:paraId="49819FB4" w14:textId="77777777" w:rsidR="002959BC" w:rsidRPr="008C7B8E" w:rsidRDefault="002959BC" w:rsidP="002959BC">
      <w:pPr>
        <w:ind w:firstLine="709"/>
        <w:jc w:val="both"/>
        <w:rPr>
          <w:rFonts w:ascii="Simplified Arabic" w:hAnsi="Simplified Arabic" w:cs="Simplified Arabic"/>
          <w:sz w:val="28"/>
          <w:szCs w:val="28"/>
          <w:rtl/>
          <w:lang w:bidi="ar-EG"/>
        </w:rPr>
      </w:pPr>
      <w:r w:rsidRPr="008C7B8E">
        <w:rPr>
          <w:rFonts w:ascii="Simplified Arabic" w:hAnsi="Simplified Arabic" w:cs="Simplified Arabic"/>
          <w:sz w:val="28"/>
          <w:szCs w:val="28"/>
        </w:rPr>
        <w:drawing>
          <wp:anchor distT="0" distB="0" distL="114300" distR="114300" simplePos="0" relativeHeight="251677696" behindDoc="1" locked="0" layoutInCell="1" allowOverlap="1" wp14:anchorId="560AB6E9" wp14:editId="7417F5D0">
            <wp:simplePos x="0" y="0"/>
            <wp:positionH relativeFrom="margin">
              <wp:posOffset>635</wp:posOffset>
            </wp:positionH>
            <wp:positionV relativeFrom="paragraph">
              <wp:posOffset>169665</wp:posOffset>
            </wp:positionV>
            <wp:extent cx="5508000" cy="3240000"/>
            <wp:effectExtent l="0" t="0" r="0" b="0"/>
            <wp:wrapTight wrapText="bothSides">
              <wp:wrapPolygon edited="0">
                <wp:start x="0" y="0"/>
                <wp:lineTo x="0" y="21592"/>
                <wp:lineTo x="21590" y="21592"/>
                <wp:lineTo x="21590" y="0"/>
                <wp:lineTo x="0" y="0"/>
              </wp:wrapPolygon>
            </wp:wrapTight>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0CD89DA7" w14:textId="77777777" w:rsidR="002959BC" w:rsidRPr="008C7B8E" w:rsidRDefault="002959BC" w:rsidP="002959BC">
      <w:pPr>
        <w:ind w:firstLine="28"/>
        <w:jc w:val="both"/>
        <w:rPr>
          <w:rFonts w:ascii="Simplified Arabic" w:hAnsi="Simplified Arabic" w:cs="Simplified Arabic"/>
          <w:sz w:val="24"/>
          <w:szCs w:val="24"/>
        </w:rPr>
      </w:pPr>
      <w:r w:rsidRPr="008C7B8E">
        <w:rPr>
          <w:rFonts w:ascii="Simplified Arabic" w:hAnsi="Simplified Arabic" w:cs="Simplified Arabic"/>
          <w:sz w:val="24"/>
          <w:szCs w:val="24"/>
          <w:rtl/>
        </w:rPr>
        <w:t>المصدر: من إعداد الباحث بالاعتماد على بيانات الجدول رقم (4-2) بالملحق</w:t>
      </w:r>
      <w:r w:rsidRPr="008C7B8E">
        <w:rPr>
          <w:rFonts w:ascii="Simplified Arabic" w:hAnsi="Simplified Arabic" w:cs="Simplified Arabic"/>
          <w:sz w:val="24"/>
          <w:szCs w:val="24"/>
          <w:rtl/>
          <w:lang w:bidi="ar-EG"/>
        </w:rPr>
        <w:t xml:space="preserve"> الإحصائي</w:t>
      </w:r>
      <w:r w:rsidRPr="008C7B8E">
        <w:rPr>
          <w:rFonts w:ascii="Simplified Arabic" w:hAnsi="Simplified Arabic" w:cs="Simplified Arabic"/>
          <w:sz w:val="24"/>
          <w:szCs w:val="24"/>
          <w:rtl/>
        </w:rPr>
        <w:t>.</w:t>
      </w:r>
    </w:p>
    <w:p w14:paraId="6D24BA4D" w14:textId="77777777" w:rsidR="002959BC" w:rsidRPr="008C7B8E" w:rsidRDefault="002959BC" w:rsidP="002959BC">
      <w:pPr>
        <w:ind w:firstLine="453"/>
        <w:jc w:val="both"/>
        <w:rPr>
          <w:rFonts w:ascii="Simplified Arabic" w:hAnsi="Simplified Arabic" w:cs="Simplified Arabic"/>
          <w:sz w:val="28"/>
          <w:szCs w:val="28"/>
          <w:rtl/>
          <w:lang w:bidi="ar-EG"/>
        </w:rPr>
      </w:pPr>
      <w:r w:rsidRPr="008C7B8E">
        <w:rPr>
          <w:rFonts w:ascii="Simplified Arabic" w:hAnsi="Simplified Arabic" w:cs="Simplified Arabic"/>
          <w:sz w:val="28"/>
          <w:szCs w:val="28"/>
          <w:rtl/>
          <w:lang w:bidi="ar-EG"/>
        </w:rPr>
        <w:lastRenderedPageBreak/>
        <w:t xml:space="preserve">يوضح الشكل رقم (2-4) مقدار التمويل الخارجي ونسبته إلى إجمالي التمويل خلال الفترة من العام المالي 1991/1992 وحتى العام المالي 1997/1998 حيث بلغ التمويل الخارجي خلال العام المالي 1991/1992 مبلغ </w:t>
      </w:r>
      <w:r w:rsidRPr="008C7B8E">
        <w:rPr>
          <w:rFonts w:ascii="Simplified Arabic" w:hAnsi="Simplified Arabic" w:cs="Simplified Arabic"/>
          <w:sz w:val="28"/>
          <w:szCs w:val="28"/>
          <w:rtl/>
        </w:rPr>
        <w:t>1783</w:t>
      </w:r>
      <w:r w:rsidRPr="008C7B8E">
        <w:rPr>
          <w:rFonts w:ascii="Simplified Arabic" w:hAnsi="Simplified Arabic" w:cs="Simplified Arabic"/>
          <w:sz w:val="28"/>
          <w:szCs w:val="28"/>
          <w:rtl/>
          <w:lang w:bidi="ar-EG"/>
        </w:rPr>
        <w:t xml:space="preserve"> مليون جنيه (30% من إجمالي التمويل) ثم انخفض هذا المبلغ خلال العام المالي 1992/1993 إلى </w:t>
      </w:r>
      <w:r w:rsidRPr="008C7B8E">
        <w:rPr>
          <w:rFonts w:ascii="Simplified Arabic" w:hAnsi="Simplified Arabic" w:cs="Simplified Arabic"/>
          <w:sz w:val="28"/>
          <w:szCs w:val="28"/>
          <w:rtl/>
        </w:rPr>
        <w:t>298 مليون جنيه</w:t>
      </w:r>
      <w:r w:rsidRPr="008C7B8E">
        <w:rPr>
          <w:rFonts w:ascii="Simplified Arabic" w:hAnsi="Simplified Arabic" w:cs="Simplified Arabic"/>
          <w:sz w:val="28"/>
          <w:szCs w:val="28"/>
          <w:rtl/>
          <w:lang w:bidi="ar-EG"/>
        </w:rPr>
        <w:t xml:space="preserve"> (5% من إجمالي التمويل) إلا أنه ارتفع قليلاً خلال العام المالي 1993/1994 ليصل لمبلغ </w:t>
      </w:r>
      <w:r w:rsidRPr="008C7B8E">
        <w:rPr>
          <w:rFonts w:ascii="Simplified Arabic" w:hAnsi="Simplified Arabic" w:cs="Simplified Arabic"/>
          <w:sz w:val="28"/>
          <w:szCs w:val="28"/>
          <w:rtl/>
        </w:rPr>
        <w:t>464 مليون جنيه</w:t>
      </w:r>
      <w:r w:rsidRPr="008C7B8E">
        <w:rPr>
          <w:rFonts w:ascii="Simplified Arabic" w:hAnsi="Simplified Arabic" w:cs="Simplified Arabic"/>
          <w:sz w:val="28"/>
          <w:szCs w:val="28"/>
          <w:rtl/>
          <w:lang w:bidi="ar-EG"/>
        </w:rPr>
        <w:t xml:space="preserve"> (13% من إجمالي التمويل) ثم تتابع انخفاضه بعد ذلك إلى مستويات سالبة حيث وصل خلال العام المالي 1994/1995 لمبلغ </w:t>
      </w:r>
      <w:r w:rsidRPr="008C7B8E">
        <w:rPr>
          <w:rFonts w:ascii="Simplified Arabic" w:hAnsi="Simplified Arabic" w:cs="Simplified Arabic"/>
          <w:sz w:val="28"/>
          <w:szCs w:val="28"/>
          <w:rtl/>
        </w:rPr>
        <w:t xml:space="preserve">-278 </w:t>
      </w:r>
      <w:r w:rsidRPr="008C7B8E">
        <w:rPr>
          <w:rFonts w:ascii="Simplified Arabic" w:hAnsi="Simplified Arabic" w:cs="Simplified Arabic"/>
          <w:sz w:val="28"/>
          <w:szCs w:val="28"/>
          <w:rtl/>
          <w:lang w:bidi="ar-EG"/>
        </w:rPr>
        <w:t>مليون جنيه (</w:t>
      </w:r>
      <w:r w:rsidRPr="008C7B8E">
        <w:rPr>
          <w:rFonts w:ascii="Simplified Arabic" w:hAnsi="Simplified Arabic" w:cs="Simplified Arabic"/>
          <w:sz w:val="28"/>
          <w:szCs w:val="28"/>
          <w:rtl/>
        </w:rPr>
        <w:t xml:space="preserve">-11% </w:t>
      </w:r>
      <w:r w:rsidRPr="008C7B8E">
        <w:rPr>
          <w:rFonts w:ascii="Simplified Arabic" w:hAnsi="Simplified Arabic" w:cs="Simplified Arabic"/>
          <w:sz w:val="28"/>
          <w:szCs w:val="28"/>
          <w:rtl/>
          <w:lang w:bidi="ar-EG"/>
        </w:rPr>
        <w:t>من إجمالي التمويل) وظل ينخفض حتى وصل في العام المالي 1997/1998 لمبلغ -</w:t>
      </w:r>
      <w:r w:rsidRPr="008C7B8E">
        <w:rPr>
          <w:rFonts w:ascii="Simplified Arabic" w:hAnsi="Simplified Arabic" w:cs="Simplified Arabic"/>
          <w:sz w:val="28"/>
          <w:szCs w:val="28"/>
          <w:rtl/>
        </w:rPr>
        <w:t>1328 مليون جنيه</w:t>
      </w:r>
      <w:r w:rsidRPr="008C7B8E">
        <w:rPr>
          <w:rFonts w:ascii="Simplified Arabic" w:hAnsi="Simplified Arabic" w:cs="Simplified Arabic"/>
          <w:sz w:val="28"/>
          <w:szCs w:val="28"/>
          <w:rtl/>
          <w:lang w:bidi="ar-EG"/>
        </w:rPr>
        <w:t xml:space="preserve"> (</w:t>
      </w:r>
      <w:r w:rsidRPr="008C7B8E">
        <w:rPr>
          <w:rFonts w:ascii="Simplified Arabic" w:hAnsi="Simplified Arabic" w:cs="Simplified Arabic"/>
          <w:sz w:val="28"/>
          <w:szCs w:val="28"/>
          <w:rtl/>
        </w:rPr>
        <w:t xml:space="preserve">-47% </w:t>
      </w:r>
      <w:r w:rsidRPr="008C7B8E">
        <w:rPr>
          <w:rFonts w:ascii="Simplified Arabic" w:hAnsi="Simplified Arabic" w:cs="Simplified Arabic"/>
          <w:sz w:val="28"/>
          <w:szCs w:val="28"/>
          <w:rtl/>
          <w:lang w:bidi="ar-EG"/>
        </w:rPr>
        <w:t xml:space="preserve">من إجمالي التمويل). </w:t>
      </w:r>
    </w:p>
    <w:p w14:paraId="350C0360" w14:textId="77777777" w:rsidR="002959BC" w:rsidRPr="008C7B8E" w:rsidRDefault="002959BC" w:rsidP="002959BC">
      <w:pPr>
        <w:ind w:firstLine="709"/>
        <w:jc w:val="both"/>
        <w:rPr>
          <w:rFonts w:ascii="Simplified Arabic" w:hAnsi="Simplified Arabic" w:cs="Simplified Arabic"/>
          <w:sz w:val="28"/>
          <w:szCs w:val="28"/>
          <w:rtl/>
          <w:lang w:bidi="ar-EG"/>
        </w:rPr>
      </w:pPr>
    </w:p>
    <w:p w14:paraId="28EA46D4" w14:textId="77777777" w:rsidR="002959BC" w:rsidRPr="008C7B8E" w:rsidRDefault="002959BC" w:rsidP="002959BC">
      <w:pPr>
        <w:ind w:firstLine="453"/>
        <w:jc w:val="both"/>
        <w:rPr>
          <w:rFonts w:ascii="Simplified Arabic" w:hAnsi="Simplified Arabic" w:cs="Simplified Arabic"/>
          <w:sz w:val="28"/>
          <w:szCs w:val="28"/>
          <w:rtl/>
          <w:lang w:bidi="ar-EG"/>
        </w:rPr>
      </w:pPr>
      <w:r w:rsidRPr="008C7B8E">
        <w:rPr>
          <w:rFonts w:ascii="Simplified Arabic" w:hAnsi="Simplified Arabic" w:cs="Simplified Arabic"/>
          <w:sz w:val="28"/>
          <w:szCs w:val="28"/>
          <w:rtl/>
          <w:lang w:bidi="ar-EG"/>
        </w:rPr>
        <w:t xml:space="preserve">وقد كان ذلك انعكاساً للاتجاه الذي اتخذته السياسة المالية لتمويل عجز الموازنة العامة من خلال المصادر المحلية للتمويل والتوقف عن استخدام مصادر التمويل الخارجي وذلك للسيطرة على حجم الدين الخارجي الكبير والذي وصل في العام المالي 1991/1992 مبلغ 31 مليار دولار (74.3% من الناتج المحلي الإجمالي) ما أتاح للحكومة سداد جزء من مديونياتها الخارجية، بالإضافة إلى تخفيضات الدين الخارجي الناتج عن موقف مصر من حرب الخليج الثانية، وما قرره نادي باريس من إلغاء 50% من الدين العام المستحق على مصر لدول النادي. </w:t>
      </w:r>
      <w:r w:rsidRPr="008C7B8E">
        <w:rPr>
          <w:rFonts w:ascii="Simplified Arabic" w:hAnsi="Simplified Arabic" w:cs="Simplified Arabic"/>
          <w:sz w:val="28"/>
          <w:szCs w:val="28"/>
          <w:vertAlign w:val="superscript"/>
          <w:rtl/>
          <w:lang w:bidi="ar-EG"/>
        </w:rPr>
        <w:t>(</w:t>
      </w:r>
      <w:r w:rsidRPr="008C7B8E">
        <w:rPr>
          <w:rFonts w:ascii="Simplified Arabic" w:hAnsi="Simplified Arabic" w:cs="Simplified Arabic"/>
          <w:sz w:val="28"/>
          <w:szCs w:val="28"/>
          <w:vertAlign w:val="superscript"/>
          <w:rtl/>
          <w:lang w:bidi="ar-EG"/>
        </w:rPr>
        <w:footnoteReference w:id="83"/>
      </w:r>
      <w:r w:rsidRPr="008C7B8E">
        <w:rPr>
          <w:rFonts w:ascii="Simplified Arabic" w:hAnsi="Simplified Arabic" w:cs="Simplified Arabic"/>
          <w:sz w:val="28"/>
          <w:szCs w:val="28"/>
          <w:vertAlign w:val="superscript"/>
          <w:rtl/>
          <w:lang w:bidi="ar-EG"/>
        </w:rPr>
        <w:t>)</w:t>
      </w:r>
    </w:p>
    <w:p w14:paraId="3EABFB66" w14:textId="77777777" w:rsidR="002959BC" w:rsidRPr="00012B97"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012B97">
        <w:rPr>
          <w:rFonts w:ascii="Simplified Arabic" w:eastAsia="Times New Roman" w:hAnsi="Simplified Arabic" w:cs="Simplified Arabic"/>
          <w:b/>
          <w:bCs/>
          <w:sz w:val="24"/>
          <w:szCs w:val="24"/>
          <w:rtl/>
        </w:rPr>
        <w:t>شكل رقم (2-5)</w:t>
      </w:r>
    </w:p>
    <w:p w14:paraId="66D83D5C" w14:textId="77777777" w:rsidR="002959BC" w:rsidRPr="00012B97"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Pr>
      </w:pPr>
      <w:r w:rsidRPr="00012B97">
        <w:rPr>
          <w:rFonts w:ascii="Simplified Arabic" w:eastAsia="Times New Roman" w:hAnsi="Simplified Arabic" w:cs="Simplified Arabic"/>
          <w:b/>
          <w:bCs/>
          <w:sz w:val="24"/>
          <w:szCs w:val="24"/>
          <w:rtl/>
        </w:rPr>
        <w:t>تطور التمويل المحلي (المصرفي وغير المصرفي) لعجز الموازنة العامة للدولة</w:t>
      </w:r>
    </w:p>
    <w:p w14:paraId="10B6F34D" w14:textId="77777777" w:rsidR="002959BC" w:rsidRPr="00012B97"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012B97">
        <w:rPr>
          <w:rFonts w:ascii="Simplified Arabic" w:eastAsia="Times New Roman" w:hAnsi="Simplified Arabic" w:cs="Simplified Arabic"/>
          <w:b/>
          <w:bCs/>
          <w:sz w:val="24"/>
          <w:szCs w:val="24"/>
          <w:rtl/>
        </w:rPr>
        <w:t>خلال الفترة (1991/1992 إلى 1997/1998)</w:t>
      </w:r>
    </w:p>
    <w:p w14:paraId="55A094A2" w14:textId="77777777" w:rsidR="002959BC" w:rsidRPr="008C7B8E" w:rsidRDefault="002959BC" w:rsidP="002959BC">
      <w:pPr>
        <w:jc w:val="both"/>
        <w:rPr>
          <w:rFonts w:ascii="Simplified Arabic" w:hAnsi="Simplified Arabic" w:cs="Simplified Arabic"/>
          <w:sz w:val="28"/>
          <w:szCs w:val="28"/>
          <w:rtl/>
          <w:lang w:bidi="ar-EG"/>
        </w:rPr>
      </w:pPr>
      <w:r w:rsidRPr="008C7B8E">
        <w:rPr>
          <w:rFonts w:ascii="Simplified Arabic" w:hAnsi="Simplified Arabic" w:cs="Simplified Arabic"/>
          <w:sz w:val="28"/>
          <w:szCs w:val="28"/>
        </w:rPr>
        <w:drawing>
          <wp:inline distT="0" distB="0" distL="0" distR="0" wp14:anchorId="563E1F5A" wp14:editId="2845A407">
            <wp:extent cx="5508625" cy="3240000"/>
            <wp:effectExtent l="0" t="0" r="0" b="0"/>
            <wp:docPr id="107" name="Chart 1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C72E585" w14:textId="77777777" w:rsidR="002959BC" w:rsidRPr="008C7B8E" w:rsidRDefault="002959BC" w:rsidP="002959BC">
      <w:pPr>
        <w:ind w:firstLine="28"/>
        <w:jc w:val="both"/>
        <w:rPr>
          <w:rFonts w:ascii="Simplified Arabic" w:hAnsi="Simplified Arabic" w:cs="Simplified Arabic"/>
          <w:sz w:val="24"/>
          <w:szCs w:val="24"/>
        </w:rPr>
      </w:pPr>
      <w:r w:rsidRPr="008C7B8E">
        <w:rPr>
          <w:rFonts w:ascii="Simplified Arabic" w:hAnsi="Simplified Arabic" w:cs="Simplified Arabic"/>
          <w:sz w:val="24"/>
          <w:szCs w:val="24"/>
          <w:rtl/>
        </w:rPr>
        <w:t>المصدر: من إعداد الباحث بالاعتماد على بيانات الجدول رقم (4-3) بالملحق</w:t>
      </w:r>
      <w:r w:rsidRPr="008C7B8E">
        <w:rPr>
          <w:rFonts w:ascii="Simplified Arabic" w:hAnsi="Simplified Arabic" w:cs="Simplified Arabic"/>
          <w:sz w:val="24"/>
          <w:szCs w:val="24"/>
          <w:rtl/>
          <w:lang w:bidi="ar-EG"/>
        </w:rPr>
        <w:t xml:space="preserve"> الإحصائي</w:t>
      </w:r>
      <w:r w:rsidRPr="008C7B8E">
        <w:rPr>
          <w:rFonts w:ascii="Simplified Arabic" w:hAnsi="Simplified Arabic" w:cs="Simplified Arabic"/>
          <w:sz w:val="24"/>
          <w:szCs w:val="24"/>
          <w:rtl/>
        </w:rPr>
        <w:t>.</w:t>
      </w:r>
    </w:p>
    <w:p w14:paraId="2EDBCA8D" w14:textId="77777777" w:rsidR="002959BC" w:rsidRPr="008C7B8E" w:rsidRDefault="002959BC" w:rsidP="002959BC">
      <w:pPr>
        <w:ind w:firstLine="453"/>
        <w:jc w:val="both"/>
        <w:rPr>
          <w:rFonts w:ascii="Simplified Arabic" w:hAnsi="Simplified Arabic" w:cs="Simplified Arabic"/>
          <w:sz w:val="28"/>
          <w:szCs w:val="28"/>
          <w:rtl/>
          <w:lang w:bidi="ar-EG"/>
        </w:rPr>
      </w:pPr>
      <w:r w:rsidRPr="008C7B8E">
        <w:rPr>
          <w:rFonts w:ascii="Simplified Arabic" w:hAnsi="Simplified Arabic" w:cs="Simplified Arabic"/>
          <w:sz w:val="28"/>
          <w:szCs w:val="28"/>
          <w:rtl/>
          <w:lang w:bidi="ar-EG"/>
        </w:rPr>
        <w:lastRenderedPageBreak/>
        <w:t>ويتضح من الشكل رقم (2-5) أن التمويل غير المصرفي سجل خلال العام المالي 1991/1992 مبلغ 7678 مليون جنيه (182% من إجمالي التمويل المحلي) بينما سجل التمويل المصرفي مبلغ -3456 مليون جنيه (-82% من إجمالي التمويل المحلي)، ثم انخفض التمويل غير المصرفي ليصل خلال العام المالي 1993/1994 ليصل لمبلغ 3444 مليون جنيه (107% من إجمالي التمويل المحلي) وفي المقابل سجل التمويل المصرفي في نفس العام مبلغ -211 مليون جنيه (-7% من إجمالي التمويل المحلي).</w:t>
      </w:r>
    </w:p>
    <w:p w14:paraId="40F655A5" w14:textId="77777777" w:rsidR="002959BC" w:rsidRPr="008C7B8E" w:rsidRDefault="002959BC" w:rsidP="002959BC">
      <w:pPr>
        <w:ind w:firstLine="709"/>
        <w:jc w:val="both"/>
        <w:rPr>
          <w:rFonts w:ascii="Simplified Arabic" w:hAnsi="Simplified Arabic" w:cs="Simplified Arabic"/>
          <w:sz w:val="28"/>
          <w:szCs w:val="28"/>
          <w:rtl/>
          <w:lang w:bidi="ar-EG"/>
        </w:rPr>
      </w:pPr>
    </w:p>
    <w:p w14:paraId="45406D4A" w14:textId="77777777" w:rsidR="002959BC" w:rsidRDefault="002959BC" w:rsidP="002959BC">
      <w:pPr>
        <w:ind w:firstLine="453"/>
        <w:jc w:val="both"/>
        <w:rPr>
          <w:rFonts w:ascii="Simplified Arabic" w:hAnsi="Simplified Arabic" w:cs="Simplified Arabic"/>
          <w:sz w:val="28"/>
          <w:szCs w:val="28"/>
          <w:rtl/>
          <w:lang w:bidi="ar-EG"/>
        </w:rPr>
      </w:pPr>
      <w:r w:rsidRPr="008C7B8E">
        <w:rPr>
          <w:rFonts w:ascii="Simplified Arabic" w:hAnsi="Simplified Arabic" w:cs="Simplified Arabic"/>
          <w:sz w:val="28"/>
          <w:szCs w:val="28"/>
          <w:rtl/>
          <w:lang w:bidi="ar-EG"/>
        </w:rPr>
        <w:t xml:space="preserve">ثم توالى الانخفاض في التمويل غير المصرفي خلال العام المالي 1995/1996 ليصل </w:t>
      </w:r>
      <w:r w:rsidRPr="008C7B8E">
        <w:rPr>
          <w:rFonts w:ascii="Simplified Arabic" w:hAnsi="Simplified Arabic" w:cs="Simplified Arabic"/>
          <w:sz w:val="28"/>
          <w:szCs w:val="28"/>
          <w:rtl/>
          <w:lang w:bidi="ar-EG"/>
        </w:rPr>
        <w:br/>
        <w:t>لمبلغ -229 مليون جنيه (-5% من إجمالي التمويل المحلي) بينما كان التمويل المصرفي يقدر بمبلغ 4565 مليون جنيه (105% من إجمال التمويل المحلي)، إلا أنه خلال العاميين الماليين 1996/1997 و1997/1998 ارتفع التمويل غير المصرفي ليسجل خلال العام المالي 1997/1998 مبلغ 2219 مليون جنيه (53% من إجمالي التمويل المحلي) بينما انخفض التمويل المصرفي ليسجل مبلغ 1929 مليون جنيه (47% من إجمالي التمويل المحلي).</w:t>
      </w:r>
    </w:p>
    <w:p w14:paraId="53AD7B43" w14:textId="77777777" w:rsidR="002959BC" w:rsidRDefault="002959BC" w:rsidP="002959BC">
      <w:pPr>
        <w:ind w:firstLine="453"/>
        <w:jc w:val="both"/>
        <w:rPr>
          <w:rFonts w:ascii="Simplified Arabic" w:hAnsi="Simplified Arabic" w:cs="Simplified Arabic"/>
          <w:sz w:val="28"/>
          <w:szCs w:val="28"/>
          <w:lang w:bidi="ar-EG"/>
        </w:rPr>
      </w:pPr>
    </w:p>
    <w:p w14:paraId="415E88D7" w14:textId="77777777" w:rsidR="002959BC" w:rsidRDefault="002959BC" w:rsidP="002959BC">
      <w:pPr>
        <w:ind w:firstLine="453"/>
        <w:jc w:val="both"/>
        <w:rPr>
          <w:rFonts w:ascii="Simplified Arabic" w:hAnsi="Simplified Arabic" w:cs="Simplified Arabic"/>
          <w:sz w:val="28"/>
          <w:szCs w:val="28"/>
          <w:rtl/>
          <w:lang w:bidi="ar-EG"/>
        </w:rPr>
      </w:pPr>
      <w:r w:rsidRPr="008C7B8E">
        <w:rPr>
          <w:rFonts w:ascii="Simplified Arabic" w:hAnsi="Simplified Arabic" w:cs="Simplified Arabic"/>
          <w:sz w:val="28"/>
          <w:szCs w:val="28"/>
          <w:rtl/>
          <w:lang w:bidi="ar-EG"/>
        </w:rPr>
        <w:t>كما يتضح من الشكل رقم (2-5) طبيعة العلاقة العكسية بين التمويل المحلي المصرفي والتمويل المحلي غير المصرفي خلال الفترة من العام المالي 1991/1992 وحتى العام المالي 1997/1998، حيث نجد أنه نتيجة لتطبيق برنامج الإصلاح الاقتصادي والذي كان يقضي بأن يتم التوقف عن تمويل عجز الموازنة من خلال الإصدار النقدي والاعتماد في معظم الأعوام المالية خلال تلك الفترة على التمويل المحلي غير المصرفي فيما عدا العامين الماليين 1995/1996 و1996/1997 حيث تم الاعتماد على التمويل المحلي المصرفي والذي يتم اللجوء إليه عادة نظراً لعدم التمكن من تمويل عجز الموازنة العامة للدولة من المصادر الأخرى للتمويل حيث أنه يمثل الملجأ الأخير للحكومة لتمويل عجز الموازنة، أما في العام المالي 1997/1998 فقد تساوى تقريباً استخدام التمويل المحلي المصرفي والتمويل المحلي غير المصرفي في تمويل عجز الموازنة العامة للدولة.</w:t>
      </w:r>
    </w:p>
    <w:p w14:paraId="62B46F3A" w14:textId="77777777" w:rsidR="002959BC" w:rsidRDefault="002959BC" w:rsidP="002959BC">
      <w:pPr>
        <w:ind w:firstLine="453"/>
        <w:jc w:val="both"/>
        <w:rPr>
          <w:rFonts w:ascii="Simplified Arabic" w:hAnsi="Simplified Arabic" w:cs="Simplified Arabic"/>
          <w:sz w:val="28"/>
          <w:szCs w:val="28"/>
          <w:rtl/>
          <w:lang w:bidi="ar-EG"/>
        </w:rPr>
      </w:pPr>
    </w:p>
    <w:p w14:paraId="3F1BFD14" w14:textId="77777777" w:rsidR="002959BC" w:rsidRDefault="002959BC" w:rsidP="002959BC">
      <w:pPr>
        <w:ind w:firstLine="453"/>
        <w:jc w:val="both"/>
        <w:rPr>
          <w:rFonts w:ascii="Simplified Arabic" w:hAnsi="Simplified Arabic" w:cs="Simplified Arabic"/>
          <w:sz w:val="28"/>
          <w:szCs w:val="28"/>
          <w:rtl/>
          <w:lang w:bidi="ar-EG"/>
        </w:rPr>
      </w:pPr>
    </w:p>
    <w:p w14:paraId="2FC8CF85" w14:textId="77777777" w:rsidR="002959BC" w:rsidRDefault="002959BC" w:rsidP="002959BC">
      <w:pPr>
        <w:ind w:firstLine="453"/>
        <w:jc w:val="both"/>
        <w:rPr>
          <w:rFonts w:ascii="Simplified Arabic" w:hAnsi="Simplified Arabic" w:cs="Simplified Arabic"/>
          <w:sz w:val="28"/>
          <w:szCs w:val="28"/>
          <w:rtl/>
          <w:lang w:bidi="ar-EG"/>
        </w:rPr>
      </w:pPr>
    </w:p>
    <w:p w14:paraId="45CDE055" w14:textId="77777777" w:rsidR="002959BC" w:rsidRDefault="002959BC" w:rsidP="002959BC">
      <w:pPr>
        <w:ind w:firstLine="453"/>
        <w:jc w:val="both"/>
        <w:rPr>
          <w:rFonts w:ascii="Simplified Arabic" w:hAnsi="Simplified Arabic" w:cs="Simplified Arabic"/>
          <w:sz w:val="28"/>
          <w:szCs w:val="28"/>
          <w:rtl/>
          <w:lang w:bidi="ar-EG"/>
        </w:rPr>
      </w:pPr>
    </w:p>
    <w:p w14:paraId="0623ED81" w14:textId="77777777" w:rsidR="002959BC" w:rsidRDefault="002959BC" w:rsidP="002959BC">
      <w:pPr>
        <w:ind w:firstLine="453"/>
        <w:jc w:val="both"/>
        <w:rPr>
          <w:rFonts w:ascii="Simplified Arabic" w:hAnsi="Simplified Arabic" w:cs="Simplified Arabic"/>
          <w:sz w:val="28"/>
          <w:szCs w:val="28"/>
          <w:rtl/>
          <w:lang w:bidi="ar-EG"/>
        </w:rPr>
      </w:pPr>
    </w:p>
    <w:p w14:paraId="2B5B326D" w14:textId="77777777" w:rsidR="002959BC" w:rsidRDefault="002959BC" w:rsidP="002959BC">
      <w:pPr>
        <w:ind w:firstLine="453"/>
        <w:jc w:val="both"/>
        <w:rPr>
          <w:rFonts w:ascii="Simplified Arabic" w:hAnsi="Simplified Arabic" w:cs="Simplified Arabic"/>
          <w:sz w:val="28"/>
          <w:szCs w:val="28"/>
          <w:rtl/>
          <w:lang w:bidi="ar-EG"/>
        </w:rPr>
      </w:pPr>
    </w:p>
    <w:p w14:paraId="64AA3ACA" w14:textId="77777777" w:rsidR="002959BC" w:rsidRDefault="002959BC" w:rsidP="002959BC">
      <w:pPr>
        <w:ind w:firstLine="453"/>
        <w:jc w:val="both"/>
        <w:rPr>
          <w:rFonts w:ascii="Simplified Arabic" w:hAnsi="Simplified Arabic" w:cs="Simplified Arabic"/>
          <w:sz w:val="28"/>
          <w:szCs w:val="28"/>
          <w:rtl/>
          <w:lang w:bidi="ar-EG"/>
        </w:rPr>
      </w:pPr>
    </w:p>
    <w:p w14:paraId="719E4440" w14:textId="77777777" w:rsidR="002959BC" w:rsidRPr="008C7B8E" w:rsidRDefault="002959BC" w:rsidP="002959BC">
      <w:pPr>
        <w:ind w:firstLine="453"/>
        <w:jc w:val="both"/>
        <w:rPr>
          <w:rFonts w:ascii="Simplified Arabic" w:hAnsi="Simplified Arabic" w:cs="Simplified Arabic"/>
          <w:sz w:val="28"/>
          <w:szCs w:val="28"/>
          <w:rtl/>
          <w:lang w:bidi="ar-EG"/>
        </w:rPr>
      </w:pPr>
    </w:p>
    <w:p w14:paraId="77DCEFB4" w14:textId="77777777" w:rsidR="00131C6C" w:rsidRDefault="00131C6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p>
    <w:p w14:paraId="5FAD4887" w14:textId="3C071C7E" w:rsidR="002959BC" w:rsidRPr="00012B97"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012B97">
        <w:rPr>
          <w:rFonts w:ascii="Simplified Arabic" w:eastAsia="Times New Roman" w:hAnsi="Simplified Arabic" w:cs="Simplified Arabic"/>
          <w:b/>
          <w:bCs/>
          <w:sz w:val="24"/>
          <w:szCs w:val="24"/>
          <w:rtl/>
        </w:rPr>
        <w:lastRenderedPageBreak/>
        <w:t>شكل رقم (2-6)</w:t>
      </w:r>
    </w:p>
    <w:p w14:paraId="15C457DC" w14:textId="77777777" w:rsidR="002959BC" w:rsidRPr="00012B97"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Pr>
      </w:pPr>
      <w:r w:rsidRPr="00012B97">
        <w:rPr>
          <w:rFonts w:ascii="Simplified Arabic" w:eastAsia="Times New Roman" w:hAnsi="Simplified Arabic" w:cs="Simplified Arabic"/>
          <w:b/>
          <w:bCs/>
          <w:sz w:val="24"/>
          <w:szCs w:val="24"/>
          <w:rtl/>
        </w:rPr>
        <w:t>تطور التمويل الخارجي والتمويل المحلي لعجز الموازنة العامة للدولة</w:t>
      </w:r>
    </w:p>
    <w:p w14:paraId="286B4D38" w14:textId="77777777" w:rsidR="002959BC" w:rsidRPr="00012B97"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012B97">
        <w:rPr>
          <w:rFonts w:ascii="Simplified Arabic" w:eastAsia="Times New Roman" w:hAnsi="Simplified Arabic" w:cs="Simplified Arabic"/>
          <w:b/>
          <w:bCs/>
          <w:sz w:val="24"/>
          <w:szCs w:val="24"/>
          <w:rtl/>
        </w:rPr>
        <w:t>خلال الفترة (1991/1992 إلى 1997/1998)</w:t>
      </w:r>
    </w:p>
    <w:p w14:paraId="377E1CF5" w14:textId="77777777" w:rsidR="002959BC" w:rsidRDefault="002959BC" w:rsidP="002959BC">
      <w:pPr>
        <w:ind w:firstLine="28"/>
        <w:jc w:val="both"/>
        <w:rPr>
          <w:rFonts w:ascii="Simplified Arabic" w:hAnsi="Simplified Arabic" w:cs="Simplified Arabic"/>
          <w:color w:val="000000"/>
          <w:sz w:val="24"/>
          <w:szCs w:val="24"/>
          <w:rtl/>
        </w:rPr>
      </w:pPr>
      <w:r w:rsidRPr="008C7B8E">
        <w:rPr>
          <w:rFonts w:ascii="Simplified Arabic" w:hAnsi="Simplified Arabic" w:cs="Simplified Arabic"/>
          <w:sz w:val="24"/>
          <w:szCs w:val="24"/>
        </w:rPr>
        <w:drawing>
          <wp:anchor distT="0" distB="0" distL="114300" distR="114300" simplePos="0" relativeHeight="251681792" behindDoc="1" locked="0" layoutInCell="1" allowOverlap="1" wp14:anchorId="12B25C57" wp14:editId="5F8D2722">
            <wp:simplePos x="0" y="0"/>
            <wp:positionH relativeFrom="margin">
              <wp:posOffset>247135</wp:posOffset>
            </wp:positionH>
            <wp:positionV relativeFrom="paragraph">
              <wp:posOffset>86719</wp:posOffset>
            </wp:positionV>
            <wp:extent cx="5508000" cy="3240000"/>
            <wp:effectExtent l="0" t="0" r="0" b="0"/>
            <wp:wrapTight wrapText="bothSides">
              <wp:wrapPolygon edited="0">
                <wp:start x="0" y="0"/>
                <wp:lineTo x="0" y="21592"/>
                <wp:lineTo x="21590" y="21592"/>
                <wp:lineTo x="21590" y="0"/>
                <wp:lineTo x="0" y="0"/>
              </wp:wrapPolygon>
            </wp:wrapTight>
            <wp:docPr id="108" name="Chart 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Pr="008C7B8E">
        <w:rPr>
          <w:rFonts w:ascii="Simplified Arabic" w:hAnsi="Simplified Arabic" w:cs="Simplified Arabic"/>
          <w:sz w:val="24"/>
          <w:szCs w:val="24"/>
          <w:rtl/>
        </w:rPr>
        <w:t xml:space="preserve"> المصدر: من إعداد الباحث بالاعتماد على بيانات الجدولين رقمي (4-2) و(4-3) بالملحق</w:t>
      </w:r>
      <w:r w:rsidRPr="008C7B8E">
        <w:rPr>
          <w:rFonts w:ascii="Simplified Arabic" w:hAnsi="Simplified Arabic" w:cs="Simplified Arabic"/>
          <w:sz w:val="24"/>
          <w:szCs w:val="24"/>
          <w:rtl/>
          <w:lang w:bidi="ar-EG"/>
        </w:rPr>
        <w:t xml:space="preserve"> الإحصائي</w:t>
      </w:r>
      <w:r w:rsidRPr="008C7B8E">
        <w:rPr>
          <w:rFonts w:ascii="Simplified Arabic" w:hAnsi="Simplified Arabic" w:cs="Simplified Arabic"/>
          <w:sz w:val="24"/>
          <w:szCs w:val="24"/>
          <w:rtl/>
        </w:rPr>
        <w:t>.</w:t>
      </w:r>
    </w:p>
    <w:p w14:paraId="7C29C502" w14:textId="77777777" w:rsidR="002959BC" w:rsidRPr="008C7B8E" w:rsidRDefault="002959BC" w:rsidP="002959BC">
      <w:pPr>
        <w:ind w:firstLine="28"/>
        <w:jc w:val="both"/>
        <w:rPr>
          <w:rFonts w:ascii="Simplified Arabic" w:hAnsi="Simplified Arabic" w:cs="Simplified Arabic"/>
          <w:color w:val="000000"/>
          <w:sz w:val="24"/>
          <w:szCs w:val="24"/>
          <w:rtl/>
        </w:rPr>
      </w:pPr>
    </w:p>
    <w:p w14:paraId="6977CE0B" w14:textId="77777777" w:rsidR="002959BC" w:rsidRPr="008C7B8E" w:rsidRDefault="002959BC" w:rsidP="002959BC">
      <w:pPr>
        <w:ind w:firstLine="453"/>
        <w:jc w:val="both"/>
        <w:rPr>
          <w:rFonts w:ascii="Simplified Arabic" w:hAnsi="Simplified Arabic" w:cs="Simplified Arabic"/>
          <w:sz w:val="28"/>
          <w:szCs w:val="28"/>
          <w:rtl/>
          <w:lang w:bidi="ar-EG"/>
        </w:rPr>
      </w:pPr>
      <w:r w:rsidRPr="008C7B8E">
        <w:rPr>
          <w:rFonts w:ascii="Simplified Arabic" w:hAnsi="Simplified Arabic" w:cs="Simplified Arabic"/>
          <w:sz w:val="28"/>
          <w:szCs w:val="28"/>
          <w:rtl/>
          <w:lang w:bidi="ar-EG"/>
        </w:rPr>
        <w:t>ويتضح من الشكل رقم (2-6) أن التمويل الخارجي قد شهد انخفاضاً مستمراً ومتزايداً خلال الفترة من العام المالي 1991/1992 وحتى العام المالي 1997/1998 حيث انخفض من مبلغ 1783 مليون جنيه (1.4% من الناتج المحلي الإجمالي) حتى وصل خلال العام المالي 1997/1998 لمبلغ -1328 مليون جنيه (-0.5% من الناتج المحلي الإجمالي) وهو انعكاس للسياسة المالية الانكماشية التي تبنتها الدولة خلال تلك الفترة.</w:t>
      </w:r>
    </w:p>
    <w:p w14:paraId="342860A0" w14:textId="77777777" w:rsidR="002959BC" w:rsidRPr="008C7B8E" w:rsidRDefault="002959BC" w:rsidP="002959BC">
      <w:pPr>
        <w:ind w:firstLine="709"/>
        <w:jc w:val="both"/>
        <w:rPr>
          <w:rFonts w:ascii="Simplified Arabic" w:hAnsi="Simplified Arabic" w:cs="Simplified Arabic"/>
          <w:sz w:val="28"/>
          <w:szCs w:val="28"/>
          <w:rtl/>
          <w:lang w:bidi="ar-EG"/>
        </w:rPr>
      </w:pPr>
    </w:p>
    <w:p w14:paraId="0C0FB1CB" w14:textId="77777777" w:rsidR="002959BC" w:rsidRPr="008C7B8E" w:rsidRDefault="002959BC" w:rsidP="002959BC">
      <w:pPr>
        <w:ind w:firstLine="453"/>
        <w:jc w:val="both"/>
        <w:rPr>
          <w:rFonts w:ascii="Simplified Arabic" w:hAnsi="Simplified Arabic" w:cs="Simplified Arabic"/>
          <w:sz w:val="28"/>
          <w:szCs w:val="28"/>
          <w:rtl/>
          <w:lang w:bidi="ar-EG"/>
        </w:rPr>
      </w:pPr>
      <w:r w:rsidRPr="008C7B8E">
        <w:rPr>
          <w:rFonts w:ascii="Simplified Arabic" w:hAnsi="Simplified Arabic" w:cs="Simplified Arabic"/>
          <w:sz w:val="28"/>
          <w:szCs w:val="28"/>
          <w:rtl/>
          <w:lang w:bidi="ar-EG"/>
        </w:rPr>
        <w:t>أما التمويل المحلي فقد شهد انخفاضاً أيضاً خلال تلك الفترة حيث سجل خلال العام المالي 1991/1992 مبلغ 4222 مليون جنيه (3.2% من الناتج المحلي الإجمالي) وانخفض ليسجل خلال العام المالي 1997/1998 مسجلاً مبلغ 4148 مليون جنيه (1.4% من الناتج المحلي الإجمالي)، وذلك نتيجة للسياسة المالية الانكماشية التي تبنتها الدولة خلال تلك الفترة الذي أدى إلى الانخفاض المستمر لعجز الموازنة العامة لدولة حتى بلغ (1% من الناتج المحلي الإجمالي) في العام المالي 1997/1998، وهو ما انعكس على انخفاض التمويل بشقيه المحلي والخارجي.</w:t>
      </w:r>
    </w:p>
    <w:p w14:paraId="51248027" w14:textId="77777777" w:rsidR="002959BC" w:rsidRPr="008C7B8E" w:rsidRDefault="002959BC" w:rsidP="002959BC">
      <w:pPr>
        <w:ind w:firstLine="453"/>
        <w:jc w:val="both"/>
        <w:rPr>
          <w:rFonts w:ascii="Simplified Arabic" w:hAnsi="Simplified Arabic" w:cs="Simplified Arabic"/>
          <w:sz w:val="28"/>
          <w:szCs w:val="28"/>
          <w:rtl/>
          <w:lang w:bidi="ar-EG"/>
        </w:rPr>
      </w:pPr>
    </w:p>
    <w:p w14:paraId="005535FB" w14:textId="77777777" w:rsidR="002959BC" w:rsidRPr="008C7B8E" w:rsidRDefault="002959BC" w:rsidP="002959BC">
      <w:pPr>
        <w:ind w:firstLine="453"/>
        <w:jc w:val="both"/>
        <w:rPr>
          <w:rFonts w:ascii="Simplified Arabic" w:hAnsi="Simplified Arabic" w:cs="Simplified Arabic"/>
          <w:sz w:val="28"/>
          <w:szCs w:val="28"/>
          <w:rtl/>
          <w:lang w:bidi="ar-EG"/>
        </w:rPr>
      </w:pPr>
    </w:p>
    <w:p w14:paraId="6004A18B" w14:textId="77777777" w:rsidR="002959BC" w:rsidRPr="008C7B8E" w:rsidRDefault="002959BC" w:rsidP="002959BC">
      <w:pPr>
        <w:ind w:left="542" w:hanging="514"/>
        <w:jc w:val="both"/>
        <w:rPr>
          <w:rFonts w:ascii="Simplified Arabic" w:hAnsi="Simplified Arabic" w:cs="Simplified Arabic"/>
          <w:b/>
          <w:bCs/>
          <w:sz w:val="30"/>
          <w:szCs w:val="30"/>
          <w:u w:val="single"/>
          <w:lang w:bidi="ar-EG"/>
        </w:rPr>
      </w:pPr>
      <w:r w:rsidRPr="008C7B8E">
        <w:rPr>
          <w:rFonts w:ascii="Simplified Arabic" w:hAnsi="Simplified Arabic" w:cs="Simplified Arabic"/>
          <w:b/>
          <w:bCs/>
          <w:sz w:val="30"/>
          <w:szCs w:val="30"/>
          <w:u w:val="single"/>
          <w:rtl/>
          <w:lang w:bidi="ar-EG"/>
        </w:rPr>
        <w:lastRenderedPageBreak/>
        <w:t>3- تحليل العلاقة بين التضخم وآليات تمويل عجز الموازنة خلال الفترة من العام المالي 1991/1992 إلى العام المالي 1997/1998:</w:t>
      </w:r>
    </w:p>
    <w:p w14:paraId="2CB636A7" w14:textId="77777777" w:rsidR="002959BC" w:rsidRPr="008C7B8E" w:rsidRDefault="002959BC" w:rsidP="002959BC">
      <w:pPr>
        <w:ind w:firstLine="453"/>
        <w:jc w:val="both"/>
        <w:rPr>
          <w:rFonts w:ascii="Simplified Arabic" w:hAnsi="Simplified Arabic" w:cs="Simplified Arabic"/>
          <w:sz w:val="28"/>
          <w:szCs w:val="28"/>
          <w:rtl/>
          <w:lang w:bidi="ar-EG"/>
        </w:rPr>
      </w:pPr>
      <w:r w:rsidRPr="008C7B8E">
        <w:rPr>
          <w:rFonts w:ascii="Simplified Arabic" w:hAnsi="Simplified Arabic" w:cs="Simplified Arabic"/>
          <w:sz w:val="28"/>
          <w:szCs w:val="28"/>
          <w:rtl/>
          <w:lang w:bidi="ar-EG"/>
        </w:rPr>
        <w:t xml:space="preserve">من الافتراضات التي تلقى دعماً أمبريقياً جيداً أن وراء التضخم المرتفع والمزمن في الدول النامية عجوزات كبيرة في موازناتها العامة </w:t>
      </w:r>
      <w:r w:rsidRPr="008C7B8E">
        <w:rPr>
          <w:rFonts w:ascii="Simplified Arabic" w:hAnsi="Simplified Arabic" w:cs="Simplified Arabic"/>
          <w:sz w:val="28"/>
          <w:szCs w:val="28"/>
          <w:vertAlign w:val="superscript"/>
          <w:rtl/>
          <w:lang w:bidi="ar-EG"/>
        </w:rPr>
        <w:t>(</w:t>
      </w:r>
      <w:r w:rsidRPr="008C7B8E">
        <w:rPr>
          <w:rFonts w:ascii="Simplified Arabic" w:hAnsi="Simplified Arabic" w:cs="Simplified Arabic"/>
          <w:sz w:val="28"/>
          <w:szCs w:val="28"/>
          <w:vertAlign w:val="superscript"/>
          <w:rtl/>
          <w:lang w:bidi="ar-EG"/>
        </w:rPr>
        <w:footnoteReference w:id="84"/>
      </w:r>
      <w:r w:rsidRPr="008C7B8E">
        <w:rPr>
          <w:rFonts w:ascii="Simplified Arabic" w:hAnsi="Simplified Arabic" w:cs="Simplified Arabic"/>
          <w:sz w:val="28"/>
          <w:szCs w:val="28"/>
          <w:vertAlign w:val="superscript"/>
          <w:rtl/>
          <w:lang w:bidi="ar-EG"/>
        </w:rPr>
        <w:t>)</w:t>
      </w:r>
      <w:r w:rsidRPr="008C7B8E">
        <w:rPr>
          <w:rFonts w:ascii="Simplified Arabic" w:hAnsi="Simplified Arabic" w:cs="Simplified Arabic"/>
          <w:sz w:val="28"/>
          <w:szCs w:val="28"/>
          <w:rtl/>
          <w:lang w:bidi="ar-EG"/>
        </w:rPr>
        <w:t xml:space="preserve"> فعجز الموازنة يؤثر على النقود وبالتالي على التضخم بالإضافة إلى أن التضخم المرتفع يؤدي إلى زيادة عجز الموازنة العامة، ويرجع السبب في ذلك إلى أن توقيت فرض الضرائب يختلف عن توقيت تحصيلها (ظاهرة التباطؤ في جمع الضرائب)، وبالتالي فإذا كان معدل التضخم مرتفعاً فإنه يؤدي إلى انخفاض القيمة الحقيقية لحصيلة الضرائب مما يؤدي إلى زيادة عجز الموازنة الذي سيؤدي بدوره إلى زيادة معدل التضخم وهكذا، وذلك ما يطلق عليه في الأدبيات الاقتصادية أثر أوليفرا – تانزي </w:t>
      </w:r>
      <w:r w:rsidRPr="008C7B8E">
        <w:rPr>
          <w:rFonts w:ascii="Simplified Arabic" w:hAnsi="Simplified Arabic" w:cs="Simplified Arabic"/>
          <w:sz w:val="28"/>
          <w:szCs w:val="28"/>
          <w:vertAlign w:val="superscript"/>
          <w:rtl/>
          <w:lang w:bidi="ar-EG"/>
        </w:rPr>
        <w:t xml:space="preserve"> (</w:t>
      </w:r>
      <w:r w:rsidRPr="008C7B8E">
        <w:rPr>
          <w:rFonts w:ascii="Simplified Arabic" w:hAnsi="Simplified Arabic" w:cs="Simplified Arabic"/>
          <w:sz w:val="28"/>
          <w:szCs w:val="28"/>
          <w:vertAlign w:val="superscript"/>
          <w:rtl/>
          <w:lang w:bidi="ar-EG"/>
        </w:rPr>
        <w:footnoteReference w:id="85"/>
      </w:r>
      <w:r w:rsidRPr="008C7B8E">
        <w:rPr>
          <w:rFonts w:ascii="Simplified Arabic" w:hAnsi="Simplified Arabic" w:cs="Simplified Arabic"/>
          <w:sz w:val="28"/>
          <w:szCs w:val="28"/>
          <w:vertAlign w:val="superscript"/>
          <w:rtl/>
          <w:lang w:bidi="ar-EG"/>
        </w:rPr>
        <w:t>)</w:t>
      </w:r>
      <w:r w:rsidRPr="008C7B8E">
        <w:rPr>
          <w:rFonts w:ascii="Simplified Arabic" w:hAnsi="Simplified Arabic" w:cs="Simplified Arabic"/>
          <w:sz w:val="28"/>
          <w:szCs w:val="28"/>
          <w:rtl/>
          <w:lang w:bidi="ar-EG"/>
        </w:rPr>
        <w:t xml:space="preserve">. </w:t>
      </w:r>
    </w:p>
    <w:p w14:paraId="655B6EC5" w14:textId="77777777" w:rsidR="002959BC" w:rsidRPr="008C7B8E" w:rsidRDefault="002959BC" w:rsidP="002959BC">
      <w:pPr>
        <w:ind w:firstLine="453"/>
        <w:jc w:val="both"/>
        <w:rPr>
          <w:rFonts w:ascii="Simplified Arabic" w:hAnsi="Simplified Arabic" w:cs="Simplified Arabic"/>
          <w:sz w:val="28"/>
          <w:szCs w:val="28"/>
          <w:rtl/>
          <w:lang w:bidi="ar-EG"/>
        </w:rPr>
      </w:pPr>
      <w:r w:rsidRPr="008C7B8E">
        <w:rPr>
          <w:rFonts w:ascii="Simplified Arabic" w:hAnsi="Simplified Arabic" w:cs="Simplified Arabic"/>
          <w:sz w:val="28"/>
          <w:szCs w:val="28"/>
          <w:rtl/>
          <w:lang w:bidi="ar-EG"/>
        </w:rPr>
        <w:t xml:space="preserve">ويوضح الشكل التالي </w:t>
      </w:r>
      <w:r>
        <w:rPr>
          <w:rFonts w:ascii="Simplified Arabic" w:hAnsi="Simplified Arabic" w:cs="Simplified Arabic" w:hint="cs"/>
          <w:sz w:val="28"/>
          <w:szCs w:val="28"/>
          <w:rtl/>
          <w:lang w:bidi="ar-EG"/>
        </w:rPr>
        <w:t xml:space="preserve">معدل </w:t>
      </w:r>
      <w:r w:rsidRPr="008C7B8E">
        <w:rPr>
          <w:rFonts w:ascii="Simplified Arabic" w:hAnsi="Simplified Arabic" w:cs="Simplified Arabic"/>
          <w:sz w:val="28"/>
          <w:szCs w:val="28"/>
          <w:rtl/>
          <w:lang w:bidi="ar-EG"/>
        </w:rPr>
        <w:t>التضخم في الاقتصاد المصري خلال الفترة من العام المالي 1991/1992 وحتى العام المالي 1997/1998:</w:t>
      </w:r>
    </w:p>
    <w:p w14:paraId="7FB56E0E" w14:textId="77777777" w:rsidR="002959BC" w:rsidRPr="00012B97"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012B97">
        <w:rPr>
          <w:rFonts w:ascii="Simplified Arabic" w:eastAsia="Times New Roman" w:hAnsi="Simplified Arabic" w:cs="Simplified Arabic"/>
          <w:b/>
          <w:bCs/>
          <w:sz w:val="24"/>
          <w:szCs w:val="24"/>
          <w:rtl/>
        </w:rPr>
        <w:t>شكل رقم (2-7)</w:t>
      </w:r>
    </w:p>
    <w:p w14:paraId="6E4BFDE7" w14:textId="77777777" w:rsidR="002959BC" w:rsidRPr="00012B97"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Pr>
      </w:pPr>
      <w:r w:rsidRPr="00012B97">
        <w:rPr>
          <w:rFonts w:ascii="Simplified Arabic" w:eastAsia="Times New Roman" w:hAnsi="Simplified Arabic" w:cs="Simplified Arabic"/>
          <w:b/>
          <w:bCs/>
          <w:sz w:val="24"/>
          <w:szCs w:val="24"/>
          <w:rtl/>
        </w:rPr>
        <w:t>تطور معدل التضخم ونسبة العجز الكلي للموازنة العامة</w:t>
      </w:r>
    </w:p>
    <w:p w14:paraId="745879A1" w14:textId="77777777" w:rsidR="002959BC" w:rsidRPr="00012B97"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012B97">
        <w:rPr>
          <w:rFonts w:ascii="Simplified Arabic" w:eastAsia="Times New Roman" w:hAnsi="Simplified Arabic" w:cs="Simplified Arabic"/>
          <w:b/>
          <w:bCs/>
          <w:sz w:val="24"/>
          <w:szCs w:val="24"/>
        </w:rPr>
        <w:drawing>
          <wp:anchor distT="0" distB="0" distL="114300" distR="114300" simplePos="0" relativeHeight="251678720" behindDoc="1" locked="0" layoutInCell="1" allowOverlap="1" wp14:anchorId="45231FAA" wp14:editId="6F828E34">
            <wp:simplePos x="0" y="0"/>
            <wp:positionH relativeFrom="margin">
              <wp:posOffset>0</wp:posOffset>
            </wp:positionH>
            <wp:positionV relativeFrom="paragraph">
              <wp:posOffset>257062</wp:posOffset>
            </wp:positionV>
            <wp:extent cx="5508625" cy="3240000"/>
            <wp:effectExtent l="0" t="0" r="0" b="0"/>
            <wp:wrapTight wrapText="bothSides">
              <wp:wrapPolygon edited="0">
                <wp:start x="0" y="0"/>
                <wp:lineTo x="0" y="21592"/>
                <wp:lineTo x="21588" y="21592"/>
                <wp:lineTo x="21588" y="0"/>
                <wp:lineTo x="0" y="0"/>
              </wp:wrapPolygon>
            </wp:wrapTight>
            <wp:docPr id="109" name="Chart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Pr="00012B97">
        <w:rPr>
          <w:rFonts w:ascii="Simplified Arabic" w:eastAsia="Times New Roman" w:hAnsi="Simplified Arabic" w:cs="Simplified Arabic"/>
          <w:b/>
          <w:bCs/>
          <w:sz w:val="24"/>
          <w:szCs w:val="24"/>
          <w:rtl/>
        </w:rPr>
        <w:t>خلال الفترة (1991/1992 إلى 1997/1998)</w:t>
      </w:r>
    </w:p>
    <w:p w14:paraId="013F194B" w14:textId="77777777" w:rsidR="002959BC" w:rsidRDefault="002959BC" w:rsidP="002959BC">
      <w:pPr>
        <w:jc w:val="both"/>
        <w:rPr>
          <w:rFonts w:ascii="Simplified Arabic" w:hAnsi="Simplified Arabic" w:cs="Simplified Arabic"/>
          <w:sz w:val="24"/>
          <w:szCs w:val="24"/>
          <w:rtl/>
          <w:lang w:bidi="ar-EG"/>
        </w:rPr>
      </w:pPr>
    </w:p>
    <w:p w14:paraId="6CB9F2D6" w14:textId="77777777" w:rsidR="002959BC" w:rsidRDefault="002959BC" w:rsidP="002959BC">
      <w:pPr>
        <w:jc w:val="both"/>
        <w:rPr>
          <w:rFonts w:ascii="Simplified Arabic" w:hAnsi="Simplified Arabic" w:cs="Simplified Arabic"/>
          <w:sz w:val="24"/>
          <w:szCs w:val="24"/>
          <w:rtl/>
          <w:lang w:bidi="ar-EG"/>
        </w:rPr>
      </w:pPr>
    </w:p>
    <w:p w14:paraId="34A5FC79" w14:textId="77777777" w:rsidR="002959BC" w:rsidRDefault="002959BC" w:rsidP="002959BC">
      <w:pPr>
        <w:jc w:val="both"/>
        <w:rPr>
          <w:rFonts w:ascii="Simplified Arabic" w:hAnsi="Simplified Arabic" w:cs="Simplified Arabic"/>
          <w:sz w:val="24"/>
          <w:szCs w:val="24"/>
          <w:rtl/>
          <w:lang w:bidi="ar-EG"/>
        </w:rPr>
      </w:pPr>
    </w:p>
    <w:p w14:paraId="5ED36F38" w14:textId="77777777" w:rsidR="002959BC" w:rsidRPr="008C7B8E" w:rsidRDefault="002959BC" w:rsidP="002959BC">
      <w:pPr>
        <w:jc w:val="both"/>
        <w:rPr>
          <w:rFonts w:ascii="Simplified Arabic" w:hAnsi="Simplified Arabic" w:cs="Simplified Arabic"/>
          <w:color w:val="000000"/>
          <w:sz w:val="24"/>
          <w:szCs w:val="24"/>
          <w:rtl/>
        </w:rPr>
      </w:pPr>
      <w:r>
        <mc:AlternateContent>
          <mc:Choice Requires="wps">
            <w:drawing>
              <wp:anchor distT="0" distB="0" distL="114300" distR="114300" simplePos="0" relativeHeight="251685888" behindDoc="0" locked="0" layoutInCell="1" allowOverlap="1" wp14:anchorId="7E964BBC" wp14:editId="66E46C65">
                <wp:simplePos x="0" y="0"/>
                <wp:positionH relativeFrom="column">
                  <wp:posOffset>3105785</wp:posOffset>
                </wp:positionH>
                <wp:positionV relativeFrom="paragraph">
                  <wp:posOffset>2227742</wp:posOffset>
                </wp:positionV>
                <wp:extent cx="1180214" cy="244549"/>
                <wp:effectExtent l="0" t="0" r="1270" b="3175"/>
                <wp:wrapNone/>
                <wp:docPr id="100" name="مربع نص 4"/>
                <wp:cNvGraphicFramePr/>
                <a:graphic xmlns:a="http://schemas.openxmlformats.org/drawingml/2006/main">
                  <a:graphicData uri="http://schemas.microsoft.com/office/word/2010/wordprocessingShape">
                    <wps:wsp>
                      <wps:cNvSpPr txBox="1"/>
                      <wps:spPr>
                        <a:xfrm>
                          <a:off x="0" y="0"/>
                          <a:ext cx="1180214" cy="244549"/>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96FB73" w14:textId="77777777" w:rsidR="00270E6A" w:rsidRPr="005E38FC" w:rsidRDefault="00270E6A" w:rsidP="002959BC">
                            <w:pPr>
                              <w:rPr>
                                <w:rFonts w:asciiTheme="minorBidi" w:hAnsiTheme="minorBidi"/>
                                <w:sz w:val="4"/>
                                <w:szCs w:val="4"/>
                                <w:lang w:bidi="ar-EG"/>
                              </w:rPr>
                            </w:pPr>
                          </w:p>
                          <w:p w14:paraId="0F395567" w14:textId="77777777" w:rsidR="00270E6A" w:rsidRPr="004D597A" w:rsidRDefault="00270E6A" w:rsidP="002959BC">
                            <w:pPr>
                              <w:rPr>
                                <w:rFonts w:asciiTheme="minorBidi" w:hAnsiTheme="minorBidi"/>
                                <w:sz w:val="18"/>
                                <w:szCs w:val="18"/>
                                <w:lang w:bidi="ar-EG"/>
                              </w:rPr>
                            </w:pPr>
                            <w:r>
                              <w:rPr>
                                <w:rFonts w:asciiTheme="minorBidi" w:hAnsiTheme="minorBidi" w:hint="cs"/>
                                <w:sz w:val="18"/>
                                <w:szCs w:val="18"/>
                                <w:rtl/>
                                <w:lang w:bidi="ar-EG"/>
                              </w:rPr>
                              <w:t>معدل التضخم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64BBC" id="مربع نص 4" o:spid="_x0000_s1118" type="#_x0000_t202" style="position:absolute;left:0;text-align:left;margin-left:244.55pt;margin-top:175.4pt;width:92.95pt;height:1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" fillcolor="white [3212]" stroked="f" strokeweight=".5pt">
                <v:textbox>
                  <w:txbxContent>
                    <w:p w14:paraId="6496FB73" w14:textId="77777777" w:rsidR="00270E6A" w:rsidRPr="005E38FC" w:rsidRDefault="00270E6A" w:rsidP="002959BC">
                      <w:pPr>
                        <w:rPr>
                          <w:rFonts w:asciiTheme="minorBidi" w:hAnsiTheme="minorBidi"/>
                          <w:sz w:val="4"/>
                          <w:szCs w:val="4"/>
                          <w:lang w:bidi="ar-EG"/>
                        </w:rPr>
                      </w:pPr>
                    </w:p>
                    <w:p w14:paraId="0F395567" w14:textId="77777777" w:rsidR="00270E6A" w:rsidRPr="004D597A" w:rsidRDefault="00270E6A" w:rsidP="002959BC">
                      <w:pPr>
                        <w:rPr>
                          <w:rFonts w:asciiTheme="minorBidi" w:hAnsiTheme="minorBidi"/>
                          <w:sz w:val="18"/>
                          <w:szCs w:val="18"/>
                          <w:lang w:bidi="ar-EG"/>
                        </w:rPr>
                      </w:pPr>
                      <w:r>
                        <w:rPr>
                          <w:rFonts w:asciiTheme="minorBidi" w:hAnsiTheme="minorBidi" w:hint="cs"/>
                          <w:sz w:val="18"/>
                          <w:szCs w:val="18"/>
                          <w:rtl/>
                          <w:lang w:bidi="ar-EG"/>
                        </w:rPr>
                        <w:t>معدل التضخم</w:t>
                      </w:r>
                    </w:p>
                  </w:txbxContent>
                </v:textbox>
              </v:shape>
            </w:pict>
          </mc:Fallback>
        </mc:AlternateContent>
      </w:r>
      <w:r w:rsidRPr="008C7B8E">
        <w:rPr>
          <w:rFonts w:ascii="Simplified Arabic" w:hAnsi="Simplified Arabic" w:cs="Simplified Arabic"/>
          <w:sz w:val="24"/>
          <w:szCs w:val="24"/>
          <w:rtl/>
        </w:rPr>
        <w:t>المصدر: من إعداد الباحث بالاعتماد على بيانات الجدولين رقمي (4-1)، (4-4) بالملحق</w:t>
      </w:r>
      <w:r w:rsidRPr="008C7B8E">
        <w:rPr>
          <w:rFonts w:ascii="Simplified Arabic" w:hAnsi="Simplified Arabic" w:cs="Simplified Arabic"/>
          <w:sz w:val="24"/>
          <w:szCs w:val="24"/>
          <w:rtl/>
          <w:lang w:bidi="ar-EG"/>
        </w:rPr>
        <w:t xml:space="preserve"> الإحصائي</w:t>
      </w:r>
      <w:r w:rsidRPr="008C7B8E">
        <w:rPr>
          <w:rFonts w:ascii="Simplified Arabic" w:hAnsi="Simplified Arabic" w:cs="Simplified Arabic"/>
          <w:sz w:val="24"/>
          <w:szCs w:val="24"/>
          <w:rtl/>
        </w:rPr>
        <w:t>.</w:t>
      </w:r>
    </w:p>
    <w:p w14:paraId="705E9933" w14:textId="77777777" w:rsidR="002959BC" w:rsidRPr="008C7B8E" w:rsidRDefault="002959BC" w:rsidP="002959BC">
      <w:pPr>
        <w:ind w:firstLine="453"/>
        <w:jc w:val="both"/>
        <w:rPr>
          <w:rFonts w:ascii="Simplified Arabic" w:hAnsi="Simplified Arabic" w:cs="Simplified Arabic"/>
          <w:sz w:val="28"/>
          <w:szCs w:val="28"/>
          <w:rtl/>
          <w:lang w:bidi="ar-EG"/>
        </w:rPr>
      </w:pPr>
      <w:r w:rsidRPr="008C7B8E">
        <w:rPr>
          <w:rFonts w:ascii="Simplified Arabic" w:hAnsi="Simplified Arabic" w:cs="Simplified Arabic"/>
          <w:sz w:val="28"/>
          <w:szCs w:val="28"/>
          <w:rtl/>
          <w:lang w:bidi="ar-EG"/>
        </w:rPr>
        <w:lastRenderedPageBreak/>
        <w:t>ويتضح من الشكل رقم (2-7) أن الاتجاه العام لكل من التضخم والعجز الكلي للموازنة العامة هو الانخفاض حيث سجل التضخم في العام المالي 1991/1992 نسبة 19.7% بينما بلغ العجز الكلي للموازنة العامة 4.7% إلى الناتج المحلي الإجمالي، وواصل العجز الكلي للموازنة الانخفاض حتى وصل في العام المالي 1997/1998 إلى 1% إلى الناتج المحلي الإجمالي وكذا شهدت نسب التضخم انخفاضاً متواصلاً حتى وصلت في العام المالي 1997/1998 نسبة 4.6%.</w:t>
      </w:r>
    </w:p>
    <w:p w14:paraId="78281BE8" w14:textId="77777777" w:rsidR="002959BC" w:rsidRPr="008C7B8E" w:rsidRDefault="002959BC" w:rsidP="002959BC">
      <w:pPr>
        <w:ind w:firstLine="709"/>
        <w:jc w:val="both"/>
        <w:rPr>
          <w:rFonts w:ascii="Simplified Arabic" w:hAnsi="Simplified Arabic" w:cs="Simplified Arabic"/>
          <w:sz w:val="28"/>
          <w:szCs w:val="28"/>
          <w:rtl/>
          <w:lang w:bidi="ar-EG"/>
        </w:rPr>
      </w:pPr>
    </w:p>
    <w:p w14:paraId="35C38027" w14:textId="77777777" w:rsidR="002959BC" w:rsidRPr="008C7B8E" w:rsidRDefault="002959BC" w:rsidP="002959BC">
      <w:pPr>
        <w:ind w:firstLine="453"/>
        <w:jc w:val="both"/>
        <w:rPr>
          <w:rFonts w:ascii="Simplified Arabic" w:hAnsi="Simplified Arabic" w:cs="Simplified Arabic"/>
          <w:sz w:val="28"/>
          <w:szCs w:val="28"/>
          <w:rtl/>
          <w:lang w:bidi="ar-EG"/>
        </w:rPr>
      </w:pPr>
      <w:r w:rsidRPr="008C7B8E">
        <w:rPr>
          <w:rFonts w:ascii="Simplified Arabic" w:hAnsi="Simplified Arabic" w:cs="Simplified Arabic"/>
          <w:sz w:val="28"/>
          <w:szCs w:val="28"/>
          <w:rtl/>
          <w:lang w:bidi="ar-EG"/>
        </w:rPr>
        <w:t>ولعل ذلك يعود في جزء منه إلى السياسة المالية الانكماشية المتبعة خلال تلك الفترة والتي آثرت بشكل كبير على انخفاض العجز الكلي للموازنة كما كان لها تأثير على خفض معدلات التضخم نظراً للانخفاض في جانب الطلب وكذا عدم الاعتماد على الإصدار النقدي لتمويل الموازنة العامة حيث تم اللجوء خلال معظم تلك الفترة إلى التمويل المحلي غير المصرفي لتمويل الموازنة العامة للدولة.</w:t>
      </w:r>
    </w:p>
    <w:p w14:paraId="28182F29" w14:textId="77777777" w:rsidR="002959BC" w:rsidRPr="00012B97"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012B97">
        <w:rPr>
          <w:rFonts w:ascii="Simplified Arabic" w:eastAsia="Times New Roman" w:hAnsi="Simplified Arabic" w:cs="Simplified Arabic"/>
          <w:b/>
          <w:bCs/>
          <w:sz w:val="24"/>
          <w:szCs w:val="24"/>
          <w:rtl/>
        </w:rPr>
        <w:t>شكل رقم (2-8)</w:t>
      </w:r>
    </w:p>
    <w:p w14:paraId="42D60D50" w14:textId="77777777" w:rsidR="002959BC" w:rsidRPr="00012B97"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012B97">
        <w:rPr>
          <w:rFonts w:ascii="Simplified Arabic" w:eastAsia="Times New Roman" w:hAnsi="Simplified Arabic" w:cs="Simplified Arabic"/>
          <w:b/>
          <w:bCs/>
          <w:sz w:val="24"/>
          <w:szCs w:val="24"/>
          <w:rtl/>
        </w:rPr>
        <w:t>تطور الرقم القياسي لأسعار المستهلكين</w:t>
      </w:r>
    </w:p>
    <w:p w14:paraId="28C9929A" w14:textId="77777777" w:rsidR="002959BC" w:rsidRPr="00012B97"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Pr>
      </w:pPr>
      <w:r w:rsidRPr="00012B97">
        <w:rPr>
          <w:rFonts w:ascii="Simplified Arabic" w:eastAsia="Times New Roman" w:hAnsi="Simplified Arabic" w:cs="Simplified Arabic"/>
          <w:b/>
          <w:bCs/>
          <w:sz w:val="24"/>
          <w:szCs w:val="24"/>
          <w:rtl/>
        </w:rPr>
        <w:t>والتمويل الخارجي والمحلي المصرفي والمحلي غير المصرفي</w:t>
      </w:r>
    </w:p>
    <w:p w14:paraId="5809DDEF" w14:textId="77777777" w:rsidR="002959BC" w:rsidRPr="00012B97"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Pr>
      </w:pPr>
      <w:r w:rsidRPr="00012B97">
        <w:rPr>
          <w:rFonts w:ascii="Simplified Arabic" w:eastAsia="Times New Roman" w:hAnsi="Simplified Arabic" w:cs="Simplified Arabic"/>
          <w:b/>
          <w:bCs/>
          <w:sz w:val="24"/>
          <w:szCs w:val="24"/>
          <w:rtl/>
        </w:rPr>
        <w:t>خلال الفترة (1991/1992 إلى 1997/1998)</w:t>
      </w:r>
    </w:p>
    <w:p w14:paraId="0D93F850" w14:textId="77777777" w:rsidR="002959BC" w:rsidRPr="008C7B8E" w:rsidRDefault="002959BC" w:rsidP="002959BC">
      <w:pPr>
        <w:jc w:val="both"/>
        <w:rPr>
          <w:rFonts w:ascii="Simplified Arabic" w:hAnsi="Simplified Arabic" w:cs="Simplified Arabic"/>
          <w:color w:val="000000" w:themeColor="text1"/>
          <w:sz w:val="28"/>
          <w:szCs w:val="28"/>
        </w:rPr>
      </w:pPr>
      <w:r w:rsidRPr="008C7B8E">
        <w:rPr>
          <w:rFonts w:ascii="Simplified Arabic" w:hAnsi="Simplified Arabic" w:cs="Simplified Arabic"/>
          <w:color w:val="000000" w:themeColor="text1"/>
          <w:sz w:val="28"/>
          <w:szCs w:val="28"/>
        </w:rPr>
        <mc:AlternateContent>
          <mc:Choice Requires="wpg">
            <w:drawing>
              <wp:anchor distT="0" distB="0" distL="114300" distR="114300" simplePos="0" relativeHeight="251684864" behindDoc="0" locked="0" layoutInCell="1" allowOverlap="1" wp14:anchorId="641F5DB1" wp14:editId="225A4AEF">
                <wp:simplePos x="0" y="0"/>
                <wp:positionH relativeFrom="column">
                  <wp:posOffset>-5494</wp:posOffset>
                </wp:positionH>
                <wp:positionV relativeFrom="paragraph">
                  <wp:posOffset>82467</wp:posOffset>
                </wp:positionV>
                <wp:extent cx="5508625" cy="3239770"/>
                <wp:effectExtent l="0" t="0" r="15875" b="17780"/>
                <wp:wrapNone/>
                <wp:docPr id="101" name="مجموعة 10"/>
                <wp:cNvGraphicFramePr/>
                <a:graphic xmlns:a="http://schemas.openxmlformats.org/drawingml/2006/main">
                  <a:graphicData uri="http://schemas.microsoft.com/office/word/2010/wordprocessingGroup">
                    <wpg:wgp>
                      <wpg:cNvGrpSpPr/>
                      <wpg:grpSpPr>
                        <a:xfrm>
                          <a:off x="0" y="0"/>
                          <a:ext cx="5508625" cy="3239770"/>
                          <a:chOff x="0" y="0"/>
                          <a:chExt cx="5508625" cy="3239770"/>
                        </a:xfrm>
                      </wpg:grpSpPr>
                      <wpg:graphicFrame>
                        <wpg:cNvPr id="102" name="Chart 102"/>
                        <wpg:cNvFrPr/>
                        <wpg:xfrm>
                          <a:off x="0" y="0"/>
                          <a:ext cx="5508625" cy="3239770"/>
                        </wpg:xfrm>
                        <a:graphic>
                          <a:graphicData uri="http://schemas.openxmlformats.org/drawingml/2006/chart">
                            <c:chart xmlns:c="http://schemas.openxmlformats.org/drawingml/2006/chart" xmlns:r="http://schemas.openxmlformats.org/officeDocument/2006/relationships" r:id="rId15"/>
                          </a:graphicData>
                        </a:graphic>
                      </wpg:graphicFrame>
                      <wps:wsp>
                        <wps:cNvPr id="103" name="مربع نص 8"/>
                        <wps:cNvSpPr txBox="1"/>
                        <wps:spPr>
                          <a:xfrm>
                            <a:off x="3371850" y="2957885"/>
                            <a:ext cx="1955800" cy="22981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F2BA70" w14:textId="77777777" w:rsidR="00270E6A" w:rsidRPr="004D597A" w:rsidRDefault="00270E6A" w:rsidP="002959BC">
                              <w:pPr>
                                <w:jc w:val="center"/>
                                <w:rPr>
                                  <w:rFonts w:asciiTheme="minorBidi" w:hAnsiTheme="minorBidi"/>
                                  <w:sz w:val="18"/>
                                  <w:szCs w:val="18"/>
                                  <w:rtl/>
                                  <w:lang w:bidi="ar-EG"/>
                                </w:rPr>
                              </w:pPr>
                              <w:r w:rsidRPr="004D597A">
                                <w:rPr>
                                  <w:rFonts w:asciiTheme="minorBidi" w:hAnsiTheme="minorBidi"/>
                                  <w:sz w:val="18"/>
                                  <w:szCs w:val="18"/>
                                  <w:rtl/>
                                  <w:lang w:bidi="ar-EG"/>
                                </w:rPr>
                                <w:t>الرقم القياسي لأسعار المستهلكين (2010=100)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41F5DB1" id="مجموعة 10" o:spid="_x0000_s1119" style="position:absolute;left:0;text-align:left;margin-left:-.45pt;margin-top:6.5pt;width:433.75pt;height:255.1pt;z-index:251684864" coordsize="55086,32397"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02" o:spid="_x0000_s1120" type="#_x0000_t75" style="position:absolute;left:-121;top:-121;width:55350;height:326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">
                  <v:imagedata r:id="rId16" o:title=""/>
                  <o:lock v:ext="edit" aspectratio="f"/>
                </v:shape>
                <v:shape id="مربع نص 8" o:spid="_x0000_s1121" type="#_x0000_t202" style="position:absolute;left:33718;top:29578;width:19558;height: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" fillcolor="white [3212]" stroked="f" strokeweight=".5pt">
                  <v:textbox>
                    <w:txbxContent>
                      <w:p w14:paraId="56F2BA70" w14:textId="77777777" w:rsidR="00270E6A" w:rsidRPr="004D597A" w:rsidRDefault="00270E6A" w:rsidP="002959BC">
                        <w:pPr>
                          <w:jc w:val="center"/>
                          <w:rPr>
                            <w:rFonts w:asciiTheme="minorBidi" w:hAnsiTheme="minorBidi"/>
                            <w:sz w:val="18"/>
                            <w:szCs w:val="18"/>
                            <w:rtl/>
                            <w:lang w:bidi="ar-EG"/>
                          </w:rPr>
                        </w:pPr>
                        <w:r w:rsidRPr="004D597A">
                          <w:rPr>
                            <w:rFonts w:asciiTheme="minorBidi" w:hAnsiTheme="minorBidi"/>
                            <w:sz w:val="18"/>
                            <w:szCs w:val="18"/>
                            <w:rtl/>
                            <w:lang w:bidi="ar-EG"/>
                          </w:rPr>
                          <w:t>الرقم القياسي لأسعار المستهلكين (2010=100)</w:t>
                        </w:r>
                      </w:p>
                    </w:txbxContent>
                  </v:textbox>
                </v:shape>
              </v:group>
            </w:pict>
          </mc:Fallback>
        </mc:AlternateContent>
      </w:r>
    </w:p>
    <w:p w14:paraId="00A9CA6A" w14:textId="77777777" w:rsidR="002959BC" w:rsidRPr="008C7B8E" w:rsidRDefault="002959BC" w:rsidP="002959BC">
      <w:pPr>
        <w:jc w:val="both"/>
        <w:rPr>
          <w:rFonts w:ascii="Simplified Arabic" w:hAnsi="Simplified Arabic" w:cs="Simplified Arabic"/>
          <w:color w:val="000000" w:themeColor="text1"/>
          <w:sz w:val="28"/>
          <w:szCs w:val="28"/>
        </w:rPr>
      </w:pPr>
    </w:p>
    <w:p w14:paraId="0CC70493" w14:textId="77777777" w:rsidR="002959BC" w:rsidRPr="008C7B8E" w:rsidRDefault="002959BC" w:rsidP="002959BC">
      <w:pPr>
        <w:jc w:val="both"/>
        <w:rPr>
          <w:rFonts w:ascii="Simplified Arabic" w:hAnsi="Simplified Arabic" w:cs="Simplified Arabic"/>
          <w:color w:val="000000" w:themeColor="text1"/>
          <w:sz w:val="28"/>
          <w:szCs w:val="28"/>
        </w:rPr>
      </w:pPr>
    </w:p>
    <w:p w14:paraId="4A073A7E" w14:textId="77777777" w:rsidR="002959BC" w:rsidRPr="008C7B8E" w:rsidRDefault="002959BC" w:rsidP="002959BC">
      <w:pPr>
        <w:jc w:val="both"/>
        <w:rPr>
          <w:rFonts w:ascii="Simplified Arabic" w:hAnsi="Simplified Arabic" w:cs="Simplified Arabic"/>
          <w:color w:val="000000" w:themeColor="text1"/>
          <w:sz w:val="28"/>
          <w:szCs w:val="28"/>
        </w:rPr>
      </w:pPr>
    </w:p>
    <w:p w14:paraId="125BD6DF" w14:textId="77777777" w:rsidR="002959BC" w:rsidRPr="008C7B8E" w:rsidRDefault="002959BC" w:rsidP="002959BC">
      <w:pPr>
        <w:jc w:val="both"/>
        <w:rPr>
          <w:rFonts w:ascii="Simplified Arabic" w:hAnsi="Simplified Arabic" w:cs="Simplified Arabic"/>
          <w:color w:val="000000" w:themeColor="text1"/>
          <w:sz w:val="28"/>
          <w:szCs w:val="28"/>
        </w:rPr>
      </w:pPr>
    </w:p>
    <w:p w14:paraId="684ED1C5" w14:textId="77777777" w:rsidR="002959BC" w:rsidRPr="008C7B8E" w:rsidRDefault="002959BC" w:rsidP="002959BC">
      <w:pPr>
        <w:jc w:val="both"/>
        <w:rPr>
          <w:rFonts w:ascii="Simplified Arabic" w:hAnsi="Simplified Arabic" w:cs="Simplified Arabic"/>
          <w:color w:val="000000" w:themeColor="text1"/>
          <w:sz w:val="28"/>
          <w:szCs w:val="28"/>
        </w:rPr>
      </w:pPr>
    </w:p>
    <w:p w14:paraId="32D26B94" w14:textId="77777777" w:rsidR="002959BC" w:rsidRPr="008C7B8E" w:rsidRDefault="002959BC" w:rsidP="002959BC">
      <w:pPr>
        <w:jc w:val="both"/>
        <w:rPr>
          <w:rFonts w:ascii="Simplified Arabic" w:hAnsi="Simplified Arabic" w:cs="Simplified Arabic"/>
          <w:color w:val="000000" w:themeColor="text1"/>
          <w:sz w:val="28"/>
          <w:szCs w:val="28"/>
        </w:rPr>
      </w:pPr>
    </w:p>
    <w:p w14:paraId="4D75CDA7" w14:textId="77777777" w:rsidR="002959BC" w:rsidRPr="008C7B8E" w:rsidRDefault="002959BC" w:rsidP="002959BC">
      <w:pPr>
        <w:jc w:val="both"/>
        <w:rPr>
          <w:rFonts w:ascii="Simplified Arabic" w:hAnsi="Simplified Arabic" w:cs="Simplified Arabic"/>
          <w:color w:val="000000" w:themeColor="text1"/>
          <w:sz w:val="28"/>
          <w:szCs w:val="28"/>
        </w:rPr>
      </w:pPr>
    </w:p>
    <w:p w14:paraId="3B5F650C" w14:textId="77777777" w:rsidR="002959BC" w:rsidRPr="008C7B8E" w:rsidRDefault="002959BC" w:rsidP="002959BC">
      <w:pPr>
        <w:jc w:val="both"/>
        <w:rPr>
          <w:rFonts w:ascii="Simplified Arabic" w:hAnsi="Simplified Arabic" w:cs="Simplified Arabic"/>
          <w:color w:val="000000" w:themeColor="text1"/>
          <w:sz w:val="28"/>
          <w:szCs w:val="28"/>
        </w:rPr>
      </w:pPr>
    </w:p>
    <w:p w14:paraId="55B44DFB" w14:textId="77777777" w:rsidR="002959BC" w:rsidRPr="008C7B8E" w:rsidRDefault="002959BC" w:rsidP="002959BC">
      <w:pPr>
        <w:jc w:val="both"/>
        <w:rPr>
          <w:rFonts w:ascii="Simplified Arabic" w:hAnsi="Simplified Arabic" w:cs="Simplified Arabic"/>
          <w:color w:val="000000" w:themeColor="text1"/>
          <w:sz w:val="28"/>
          <w:szCs w:val="28"/>
        </w:rPr>
      </w:pPr>
    </w:p>
    <w:p w14:paraId="0120811C" w14:textId="77777777" w:rsidR="002959BC" w:rsidRPr="008C7B8E" w:rsidRDefault="002959BC" w:rsidP="002959BC">
      <w:pPr>
        <w:jc w:val="both"/>
        <w:rPr>
          <w:rFonts w:ascii="Simplified Arabic" w:hAnsi="Simplified Arabic" w:cs="Simplified Arabic"/>
          <w:color w:val="000000" w:themeColor="text1"/>
          <w:sz w:val="28"/>
          <w:szCs w:val="28"/>
        </w:rPr>
      </w:pPr>
    </w:p>
    <w:p w14:paraId="5705CA5D" w14:textId="77777777" w:rsidR="002959BC" w:rsidRPr="008C7B8E" w:rsidRDefault="002959BC" w:rsidP="002959BC">
      <w:pPr>
        <w:ind w:firstLine="28"/>
        <w:jc w:val="both"/>
        <w:rPr>
          <w:rFonts w:ascii="Simplified Arabic" w:hAnsi="Simplified Arabic" w:cs="Simplified Arabic"/>
          <w:sz w:val="16"/>
          <w:szCs w:val="16"/>
        </w:rPr>
      </w:pPr>
    </w:p>
    <w:p w14:paraId="14313EA9" w14:textId="77777777" w:rsidR="002959BC" w:rsidRPr="008C7B8E" w:rsidRDefault="002959BC" w:rsidP="002959BC">
      <w:pPr>
        <w:ind w:firstLine="28"/>
        <w:jc w:val="both"/>
        <w:rPr>
          <w:rFonts w:ascii="Simplified Arabic" w:hAnsi="Simplified Arabic" w:cs="Simplified Arabic"/>
          <w:color w:val="000000"/>
          <w:sz w:val="24"/>
          <w:szCs w:val="24"/>
          <w:rtl/>
          <w:lang w:bidi="ar-EG"/>
        </w:rPr>
      </w:pPr>
      <w:r w:rsidRPr="008C7B8E">
        <w:rPr>
          <w:rFonts w:ascii="Simplified Arabic" w:hAnsi="Simplified Arabic" w:cs="Simplified Arabic"/>
          <w:sz w:val="24"/>
          <w:szCs w:val="24"/>
          <w:rtl/>
        </w:rPr>
        <w:t>المصدر: من إعداد الباحث بالاعتماد على بيانات الجداول أرقام (4-1)، (4-2)، (4-3)، (4-4) بالملحق</w:t>
      </w:r>
      <w:r w:rsidRPr="008C7B8E">
        <w:rPr>
          <w:rFonts w:ascii="Simplified Arabic" w:hAnsi="Simplified Arabic" w:cs="Simplified Arabic"/>
          <w:sz w:val="24"/>
          <w:szCs w:val="24"/>
          <w:rtl/>
          <w:lang w:bidi="ar-EG"/>
        </w:rPr>
        <w:t xml:space="preserve"> الإحصائي.</w:t>
      </w:r>
    </w:p>
    <w:p w14:paraId="403D956A" w14:textId="77777777" w:rsidR="002959BC" w:rsidRPr="008C7B8E" w:rsidRDefault="002959BC" w:rsidP="002959BC">
      <w:pPr>
        <w:jc w:val="both"/>
        <w:rPr>
          <w:rFonts w:ascii="Simplified Arabic" w:hAnsi="Simplified Arabic" w:cs="Simplified Arabic"/>
          <w:sz w:val="18"/>
          <w:szCs w:val="18"/>
          <w:rtl/>
          <w:lang w:bidi="ar-EG"/>
        </w:rPr>
      </w:pPr>
    </w:p>
    <w:p w14:paraId="1599C9F1" w14:textId="77777777" w:rsidR="002959BC" w:rsidRPr="008C7B8E" w:rsidRDefault="002959BC" w:rsidP="002959BC">
      <w:pPr>
        <w:ind w:firstLine="45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وحيث أن معدلات التضخم تعتمد على التغير السنوي في الرقم القياسي لأسعار المستهلكين، فيتضح من الشكل (2-8) أن </w:t>
      </w:r>
      <w:r w:rsidRPr="008C7B8E">
        <w:rPr>
          <w:rFonts w:ascii="Simplified Arabic" w:hAnsi="Simplified Arabic" w:cs="Simplified Arabic"/>
          <w:sz w:val="28"/>
          <w:szCs w:val="28"/>
          <w:rtl/>
          <w:lang w:bidi="ar-EG"/>
        </w:rPr>
        <w:t>الرقم القياسي لأسعار المستهلكين</w:t>
      </w:r>
      <w:r w:rsidRPr="008C7B8E">
        <w:rPr>
          <w:rFonts w:ascii="Simplified Arabic" w:hAnsi="Simplified Arabic" w:cs="Simplified Arabic"/>
          <w:sz w:val="28"/>
          <w:szCs w:val="28"/>
          <w:rtl/>
        </w:rPr>
        <w:t xml:space="preserve"> </w:t>
      </w:r>
      <w:r w:rsidRPr="008C7B8E">
        <w:rPr>
          <w:rFonts w:ascii="Simplified Arabic" w:hAnsi="Simplified Arabic" w:cs="Simplified Arabic"/>
          <w:sz w:val="28"/>
          <w:szCs w:val="28"/>
          <w:rtl/>
          <w:lang w:bidi="ar-EG"/>
        </w:rPr>
        <w:t xml:space="preserve">(2010 سنة الأساس) كان </w:t>
      </w:r>
      <w:r>
        <w:rPr>
          <w:rFonts w:ascii="Simplified Arabic" w:hAnsi="Simplified Arabic" w:cs="Simplified Arabic" w:hint="cs"/>
          <w:sz w:val="28"/>
          <w:szCs w:val="28"/>
          <w:rtl/>
          <w:lang w:bidi="ar-EG"/>
        </w:rPr>
        <w:t>ي</w:t>
      </w:r>
      <w:r w:rsidRPr="008C7B8E">
        <w:rPr>
          <w:rFonts w:ascii="Simplified Arabic" w:hAnsi="Simplified Arabic" w:cs="Simplified Arabic"/>
          <w:sz w:val="28"/>
          <w:szCs w:val="28"/>
          <w:rtl/>
          <w:lang w:bidi="ar-EG"/>
        </w:rPr>
        <w:t xml:space="preserve">تزايد ببطء خلال تلك الفترة حيث سجل 22.9 في العام المالي 1991/1992 بينما سجل 40.9 في العام المالي 1997/1998. </w:t>
      </w:r>
    </w:p>
    <w:p w14:paraId="47E4F280" w14:textId="77777777" w:rsidR="002959BC" w:rsidRPr="008C7B8E" w:rsidRDefault="002959BC" w:rsidP="002959BC">
      <w:pPr>
        <w:ind w:firstLine="709"/>
        <w:jc w:val="both"/>
        <w:rPr>
          <w:rFonts w:ascii="Simplified Arabic" w:hAnsi="Simplified Arabic" w:cs="Simplified Arabic"/>
          <w:sz w:val="18"/>
          <w:szCs w:val="18"/>
          <w:rtl/>
          <w:lang w:bidi="ar-EG"/>
        </w:rPr>
      </w:pPr>
    </w:p>
    <w:p w14:paraId="3537EB12" w14:textId="77777777" w:rsidR="002959BC" w:rsidRPr="008C7B8E" w:rsidRDefault="002959BC" w:rsidP="002959BC">
      <w:pPr>
        <w:ind w:firstLine="453"/>
        <w:jc w:val="both"/>
        <w:rPr>
          <w:rFonts w:ascii="Simplified Arabic" w:hAnsi="Simplified Arabic" w:cs="Simplified Arabic"/>
          <w:sz w:val="28"/>
          <w:szCs w:val="28"/>
          <w:rtl/>
          <w:lang w:bidi="ar-EG"/>
        </w:rPr>
      </w:pPr>
      <w:r w:rsidRPr="008C7B8E">
        <w:rPr>
          <w:rFonts w:ascii="Simplified Arabic" w:hAnsi="Simplified Arabic" w:cs="Simplified Arabic"/>
          <w:sz w:val="28"/>
          <w:szCs w:val="28"/>
          <w:rtl/>
          <w:lang w:bidi="ar-EG"/>
        </w:rPr>
        <w:lastRenderedPageBreak/>
        <w:t>كما يتضح أنه خلال تلك الفترة فقد شهد التمويل الخارجي انخفاضاً ملحوظاً نتيجة اتجاه الحكومة إلى تخفيض الاعتماد على التمويل الخارجي لعجز الموازنة رغبة في تخفيض الدين الخارجي، وكذا شهد التمويل المحلي غير المصرفي انخفاضاً خلال الفترة من العام المالي 1991/1992 حتى العام المالي 1995/1996 ثم شهد ارتفاعاً خلال العاميين الماليين التاليين، بينما شهد التمويل المحلي المصرفي ارتفاعاً خلال تلك الفترة حيث سجل في العام المالي 1991/1992 مبلغ  -3.4 مليار جنيه ليسجل خلال العام المالي 1995/1996 مبلغ 4.5 مليار جنيه لينخفض خلال العامين الماليين التاليين حيث وصل في العام المالي 1997/1998 لمبلغ 1.9 مليار جنيه.</w:t>
      </w:r>
    </w:p>
    <w:p w14:paraId="47CFBE20" w14:textId="125D33A5" w:rsidR="002959BC" w:rsidRDefault="002959BC">
      <w:pPr>
        <w:bidi w:val="0"/>
        <w:spacing w:after="160" w:line="259" w:lineRule="auto"/>
        <w:rPr>
          <w:rtl/>
          <w:lang w:bidi="ar-EG"/>
        </w:rPr>
      </w:pPr>
      <w:r>
        <w:rPr>
          <w:rtl/>
          <w:lang w:bidi="ar-EG"/>
        </w:rPr>
        <w:br w:type="page"/>
      </w:r>
    </w:p>
    <w:p w14:paraId="36C5A4FF" w14:textId="77777777" w:rsidR="002959BC" w:rsidRPr="00F51EC7" w:rsidRDefault="002959BC" w:rsidP="002959BC">
      <w:pPr>
        <w:ind w:left="542" w:hanging="514"/>
        <w:jc w:val="both"/>
        <w:rPr>
          <w:rFonts w:ascii="Simplified Arabic" w:hAnsi="Simplified Arabic" w:cs="Simplified Arabic"/>
          <w:b/>
          <w:bCs/>
          <w:sz w:val="30"/>
          <w:szCs w:val="30"/>
          <w:u w:val="single"/>
          <w:rtl/>
          <w:lang w:bidi="ar-EG"/>
        </w:rPr>
      </w:pPr>
      <w:r w:rsidRPr="00F51EC7">
        <w:rPr>
          <w:rFonts w:ascii="Simplified Arabic" w:hAnsi="Simplified Arabic" w:cs="Simplified Arabic"/>
          <w:b/>
          <w:bCs/>
          <w:sz w:val="30"/>
          <w:szCs w:val="30"/>
          <w:u w:val="single"/>
          <w:rtl/>
          <w:lang w:bidi="ar-EG"/>
        </w:rPr>
        <w:lastRenderedPageBreak/>
        <w:t>ثانياً- تحليل العلاقة بين آليات تمويل عجز الموازنة العامة والتضخم في مصر خلال الفترة من العام المالي 1998/1999 إلى 2010/2011:</w:t>
      </w:r>
    </w:p>
    <w:p w14:paraId="5757AB5E" w14:textId="77777777" w:rsidR="002959BC" w:rsidRPr="00F51EC7" w:rsidRDefault="002959BC" w:rsidP="002959BC">
      <w:pPr>
        <w:ind w:left="542" w:hanging="514"/>
        <w:jc w:val="both"/>
        <w:rPr>
          <w:rFonts w:ascii="Simplified Arabic" w:hAnsi="Simplified Arabic" w:cs="Simplified Arabic"/>
          <w:sz w:val="28"/>
          <w:szCs w:val="28"/>
          <w:u w:val="single"/>
          <w:rtl/>
          <w:lang w:bidi="ar-EG"/>
        </w:rPr>
      </w:pPr>
    </w:p>
    <w:p w14:paraId="59562218" w14:textId="77777777" w:rsidR="002959BC" w:rsidRPr="00F51EC7" w:rsidRDefault="002959BC" w:rsidP="002959BC">
      <w:pPr>
        <w:ind w:left="542" w:hanging="514"/>
        <w:jc w:val="both"/>
        <w:rPr>
          <w:rFonts w:ascii="Simplified Arabic" w:hAnsi="Simplified Arabic" w:cs="Simplified Arabic"/>
          <w:b/>
          <w:bCs/>
          <w:sz w:val="30"/>
          <w:szCs w:val="30"/>
          <w:u w:val="single"/>
          <w:lang w:bidi="ar-EG"/>
        </w:rPr>
      </w:pPr>
      <w:r w:rsidRPr="00F51EC7">
        <w:rPr>
          <w:rFonts w:ascii="Simplified Arabic" w:hAnsi="Simplified Arabic" w:cs="Simplified Arabic"/>
          <w:b/>
          <w:bCs/>
          <w:sz w:val="30"/>
          <w:szCs w:val="30"/>
          <w:u w:val="single"/>
          <w:rtl/>
          <w:lang w:bidi="ar-EG"/>
        </w:rPr>
        <w:t>1-</w:t>
      </w:r>
      <w:r w:rsidRPr="00F51EC7">
        <w:rPr>
          <w:rFonts w:ascii="Simplified Arabic" w:hAnsi="Simplified Arabic" w:cs="Simplified Arabic"/>
          <w:b/>
          <w:bCs/>
          <w:sz w:val="30"/>
          <w:szCs w:val="30"/>
          <w:rtl/>
          <w:lang w:bidi="ar-EG"/>
        </w:rPr>
        <w:t xml:space="preserve"> </w:t>
      </w:r>
      <w:r w:rsidRPr="00F51EC7">
        <w:rPr>
          <w:rFonts w:ascii="Simplified Arabic" w:hAnsi="Simplified Arabic" w:cs="Simplified Arabic"/>
          <w:b/>
          <w:bCs/>
          <w:sz w:val="30"/>
          <w:szCs w:val="30"/>
          <w:u w:val="single"/>
          <w:rtl/>
          <w:lang w:bidi="ar-EG"/>
        </w:rPr>
        <w:t>تطور عجز الموازنة العامة للدولة:</w:t>
      </w:r>
    </w:p>
    <w:p w14:paraId="5866D09A" w14:textId="77777777" w:rsidR="002959BC" w:rsidRPr="00F51EC7" w:rsidRDefault="002959BC" w:rsidP="002959BC">
      <w:pPr>
        <w:ind w:firstLine="453"/>
        <w:jc w:val="both"/>
        <w:rPr>
          <w:rFonts w:ascii="Simplified Arabic" w:hAnsi="Simplified Arabic" w:cs="Simplified Arabic"/>
          <w:sz w:val="28"/>
          <w:szCs w:val="28"/>
          <w:rtl/>
          <w:lang w:bidi="ar-EG"/>
        </w:rPr>
      </w:pPr>
      <w:r w:rsidRPr="00F51EC7">
        <w:rPr>
          <w:rFonts w:ascii="Simplified Arabic" w:hAnsi="Simplified Arabic" w:cs="Simplified Arabic"/>
          <w:sz w:val="28"/>
          <w:szCs w:val="28"/>
          <w:rtl/>
          <w:lang w:bidi="ar-EG"/>
        </w:rPr>
        <w:t xml:space="preserve">سوف يتم تقسيم تحليل بيانات عجز الموازنة العامة للدولة خلال هذه الفترة إلى مرحلتين تبدأ الأولى من العام المالي 1998/1999 حتى العام المالي 2004/2005، وأما الثانية فتبدأ من العام المالي 2005/2006 وحتى العام المالي 2010/2011 وذلك نظراً للتغيرات التي طرأت على تبويب الموازنة العامة للدولة ليتفق مع دليل إحصاءات مالية الحكومة </w:t>
      </w:r>
      <w:r w:rsidRPr="00F51EC7">
        <w:rPr>
          <w:rFonts w:ascii="Simplified Arabic" w:hAnsi="Simplified Arabic" w:cs="Simplified Arabic"/>
          <w:sz w:val="28"/>
          <w:szCs w:val="28"/>
          <w:lang w:bidi="ar-EG"/>
        </w:rPr>
        <w:t>GFS 2001</w:t>
      </w:r>
      <w:r w:rsidRPr="00F51EC7">
        <w:rPr>
          <w:rFonts w:ascii="Simplified Arabic" w:hAnsi="Simplified Arabic" w:cs="Simplified Arabic"/>
          <w:sz w:val="28"/>
          <w:szCs w:val="28"/>
          <w:rtl/>
          <w:lang w:bidi="ar-EG"/>
        </w:rPr>
        <w:t xml:space="preserve"> لصندوق النقد الدولي</w:t>
      </w:r>
      <w:r w:rsidRPr="00F51EC7">
        <w:rPr>
          <w:rFonts w:ascii="Simplified Arabic" w:hAnsi="Simplified Arabic" w:cs="Simplified Arabic"/>
          <w:sz w:val="28"/>
          <w:szCs w:val="28"/>
          <w:vertAlign w:val="superscript"/>
          <w:rtl/>
          <w:lang w:bidi="ar-EG"/>
        </w:rPr>
        <w:t>(</w:t>
      </w:r>
      <w:r w:rsidRPr="00F51EC7">
        <w:rPr>
          <w:rFonts w:ascii="Simplified Arabic" w:hAnsi="Simplified Arabic" w:cs="Simplified Arabic"/>
          <w:sz w:val="28"/>
          <w:szCs w:val="28"/>
          <w:vertAlign w:val="superscript"/>
          <w:rtl/>
          <w:lang w:bidi="ar-EG"/>
        </w:rPr>
        <w:footnoteReference w:id="86"/>
      </w:r>
      <w:r w:rsidRPr="00F51EC7">
        <w:rPr>
          <w:rFonts w:ascii="Simplified Arabic" w:hAnsi="Simplified Arabic" w:cs="Simplified Arabic"/>
          <w:sz w:val="28"/>
          <w:szCs w:val="28"/>
          <w:vertAlign w:val="superscript"/>
          <w:rtl/>
          <w:lang w:bidi="ar-EG"/>
        </w:rPr>
        <w:t>)</w:t>
      </w:r>
      <w:r w:rsidRPr="00F51EC7">
        <w:rPr>
          <w:rFonts w:ascii="Simplified Arabic" w:hAnsi="Simplified Arabic" w:cs="Simplified Arabic"/>
          <w:sz w:val="28"/>
          <w:szCs w:val="28"/>
          <w:rtl/>
          <w:lang w:bidi="ar-EG"/>
        </w:rPr>
        <w:t>.</w:t>
      </w:r>
    </w:p>
    <w:p w14:paraId="7B5D94A2" w14:textId="77777777" w:rsidR="002959BC" w:rsidRPr="00F51EC7" w:rsidRDefault="002959BC" w:rsidP="002959BC">
      <w:pPr>
        <w:ind w:firstLine="453"/>
        <w:jc w:val="both"/>
        <w:rPr>
          <w:rFonts w:ascii="Simplified Arabic" w:hAnsi="Simplified Arabic" w:cs="Simplified Arabic"/>
          <w:sz w:val="28"/>
          <w:szCs w:val="28"/>
          <w:rtl/>
          <w:lang w:bidi="ar-EG"/>
        </w:rPr>
      </w:pPr>
    </w:p>
    <w:p w14:paraId="501C123F" w14:textId="77777777" w:rsidR="002959BC" w:rsidRPr="00F51EC7" w:rsidRDefault="002959BC" w:rsidP="002959BC">
      <w:pPr>
        <w:ind w:left="542" w:hanging="514"/>
        <w:jc w:val="both"/>
        <w:rPr>
          <w:rFonts w:ascii="Simplified Arabic" w:hAnsi="Simplified Arabic" w:cs="Simplified Arabic"/>
          <w:b/>
          <w:bCs/>
          <w:sz w:val="28"/>
          <w:szCs w:val="28"/>
          <w:u w:val="single"/>
          <w:lang w:bidi="ar-EG"/>
        </w:rPr>
      </w:pPr>
      <w:r w:rsidRPr="00F51EC7">
        <w:rPr>
          <w:rFonts w:ascii="Simplified Arabic" w:hAnsi="Simplified Arabic" w:cs="Simplified Arabic"/>
          <w:b/>
          <w:bCs/>
          <w:sz w:val="28"/>
          <w:szCs w:val="28"/>
          <w:u w:val="single"/>
          <w:rtl/>
          <w:lang w:bidi="ar-EG"/>
        </w:rPr>
        <w:t>1-1-</w:t>
      </w:r>
      <w:r w:rsidRPr="00F51EC7">
        <w:rPr>
          <w:rFonts w:ascii="Simplified Arabic" w:hAnsi="Simplified Arabic" w:cs="Simplified Arabic"/>
          <w:b/>
          <w:bCs/>
          <w:sz w:val="28"/>
          <w:szCs w:val="28"/>
          <w:rtl/>
          <w:lang w:bidi="ar-EG"/>
        </w:rPr>
        <w:t xml:space="preserve"> </w:t>
      </w:r>
      <w:r w:rsidRPr="00F51EC7">
        <w:rPr>
          <w:rFonts w:ascii="Simplified Arabic" w:hAnsi="Simplified Arabic" w:cs="Simplified Arabic"/>
          <w:b/>
          <w:bCs/>
          <w:sz w:val="28"/>
          <w:szCs w:val="28"/>
          <w:u w:val="single"/>
          <w:rtl/>
          <w:lang w:bidi="ar-EG"/>
        </w:rPr>
        <w:t>عجز الموازنة العامة للدولة خلال الفترة من 1998/1999 حتى 2004/2005:</w:t>
      </w:r>
    </w:p>
    <w:p w14:paraId="5FF4DD6A" w14:textId="77777777" w:rsidR="002959BC" w:rsidRPr="00F51EC7" w:rsidRDefault="002959BC" w:rsidP="002959BC">
      <w:pPr>
        <w:ind w:left="453"/>
        <w:jc w:val="both"/>
        <w:rPr>
          <w:rFonts w:ascii="Simplified Arabic" w:hAnsi="Simplified Arabic" w:cs="Simplified Arabic"/>
          <w:sz w:val="28"/>
          <w:szCs w:val="28"/>
          <w:rtl/>
          <w:lang w:bidi="ar-EG"/>
        </w:rPr>
      </w:pPr>
    </w:p>
    <w:p w14:paraId="4FDF263D" w14:textId="77777777" w:rsidR="002959BC" w:rsidRPr="00F51EC7" w:rsidRDefault="002959BC" w:rsidP="002959BC">
      <w:pPr>
        <w:ind w:firstLine="453"/>
        <w:jc w:val="both"/>
        <w:rPr>
          <w:rFonts w:ascii="Simplified Arabic" w:hAnsi="Simplified Arabic" w:cs="Simplified Arabic"/>
          <w:sz w:val="28"/>
          <w:szCs w:val="28"/>
          <w:vertAlign w:val="superscript"/>
          <w:rtl/>
          <w:lang w:bidi="ar-EG"/>
        </w:rPr>
      </w:pPr>
      <w:r w:rsidRPr="00F51EC7">
        <w:rPr>
          <w:rFonts w:ascii="Simplified Arabic" w:hAnsi="Simplified Arabic" w:cs="Simplified Arabic"/>
          <w:sz w:val="28"/>
          <w:szCs w:val="28"/>
          <w:rtl/>
          <w:lang w:bidi="ar-EG"/>
        </w:rPr>
        <w:t>بالرغم من نجاح السياسة المالية الانكماشية خلال الفترة من العام المالي 1991/1992 وحتى العام المالي 1997/1998 في تخفيض نسب المصروفات العامة إلى الناتج المحلي الإجمالي خلال السنوات الأولى لتطبيق برنامج الإصلاح الاقتصادي، وبالتالي انخفاض العجز الكلي للموازنة العامة للدولة، إلا أنه بدءً من العام المالي 1998/1999 بدأت الحكومة في التخلي تدريجياً عن تلك السياسة المالية الانكماشية، وانتهاج سياسة مالية توسعية تهدف إلى زيادة معدلات النمو الاقتصادي والتشغيل، حيث قامت الحكومة بتنفيذ عدد من المشروعات القومية الكبرى التي كان لها أكبر الأثر في زيادة المصروفات</w:t>
      </w:r>
      <w:r w:rsidRPr="00F51EC7">
        <w:rPr>
          <w:rFonts w:ascii="Simplified Arabic" w:hAnsi="Simplified Arabic" w:cs="Simplified Arabic"/>
          <w:sz w:val="28"/>
          <w:szCs w:val="28"/>
          <w:vertAlign w:val="superscript"/>
          <w:rtl/>
          <w:lang w:bidi="ar-EG"/>
        </w:rPr>
        <w:t>.(</w:t>
      </w:r>
      <w:r w:rsidRPr="00F51EC7">
        <w:rPr>
          <w:rFonts w:ascii="Simplified Arabic" w:hAnsi="Simplified Arabic" w:cs="Simplified Arabic"/>
          <w:sz w:val="28"/>
          <w:szCs w:val="28"/>
          <w:vertAlign w:val="superscript"/>
          <w:rtl/>
          <w:lang w:bidi="ar-EG"/>
        </w:rPr>
        <w:footnoteReference w:id="87"/>
      </w:r>
      <w:r w:rsidRPr="00F51EC7">
        <w:rPr>
          <w:rFonts w:ascii="Simplified Arabic" w:hAnsi="Simplified Arabic" w:cs="Simplified Arabic"/>
          <w:sz w:val="28"/>
          <w:szCs w:val="28"/>
          <w:vertAlign w:val="superscript"/>
          <w:rtl/>
          <w:lang w:bidi="ar-EG"/>
        </w:rPr>
        <w:t>)</w:t>
      </w:r>
    </w:p>
    <w:p w14:paraId="3ECAE03B" w14:textId="77777777" w:rsidR="002959BC" w:rsidRPr="00F51EC7" w:rsidRDefault="002959BC" w:rsidP="002959BC">
      <w:pPr>
        <w:ind w:firstLine="453"/>
        <w:jc w:val="both"/>
        <w:rPr>
          <w:rFonts w:ascii="Simplified Arabic" w:hAnsi="Simplified Arabic" w:cs="Simplified Arabic"/>
          <w:sz w:val="28"/>
          <w:szCs w:val="28"/>
          <w:vertAlign w:val="superscript"/>
          <w:rtl/>
          <w:lang w:bidi="ar-EG"/>
        </w:rPr>
      </w:pPr>
    </w:p>
    <w:p w14:paraId="08090AC2" w14:textId="77777777" w:rsidR="002959BC" w:rsidRPr="00F51EC7" w:rsidRDefault="002959BC" w:rsidP="002959BC">
      <w:pPr>
        <w:ind w:firstLine="453"/>
        <w:jc w:val="both"/>
        <w:rPr>
          <w:rFonts w:ascii="Simplified Arabic" w:hAnsi="Simplified Arabic" w:cs="Simplified Arabic"/>
          <w:sz w:val="28"/>
          <w:szCs w:val="28"/>
          <w:u w:val="single"/>
          <w:rtl/>
          <w:lang w:bidi="ar-EG"/>
        </w:rPr>
      </w:pPr>
      <w:r w:rsidRPr="00F51EC7">
        <w:rPr>
          <w:rFonts w:ascii="Simplified Arabic" w:hAnsi="Simplified Arabic" w:cs="Simplified Arabic"/>
          <w:sz w:val="28"/>
          <w:szCs w:val="28"/>
          <w:rtl/>
          <w:lang w:bidi="ar-EG"/>
        </w:rPr>
        <w:t>وأسفرت هذه السياسة المالية التوسعية عن زيادة متواصلة لعجز الموازنة العامة للدولة، ويوضح الشكل التالي تطور إجمالي الإيرادات العامة والنفقات العامة وكذا عجز الموازنة العامة للدولة خلال الفترة من العام المالي 1998/1999 إلى العام المالي 2004/2005:</w:t>
      </w:r>
    </w:p>
    <w:p w14:paraId="5DEE675A" w14:textId="77777777" w:rsidR="002959BC" w:rsidRPr="00F51EC7" w:rsidRDefault="002959BC" w:rsidP="002959BC">
      <w:pPr>
        <w:ind w:firstLine="709"/>
        <w:jc w:val="both"/>
        <w:rPr>
          <w:rFonts w:ascii="Simplified Arabic" w:hAnsi="Simplified Arabic" w:cs="Simplified Arabic"/>
          <w:sz w:val="28"/>
          <w:szCs w:val="28"/>
          <w:rtl/>
          <w:lang w:bidi="ar-EG"/>
        </w:rPr>
        <w:sectPr w:rsidR="002959BC" w:rsidRPr="00F51EC7" w:rsidSect="00270E6A">
          <w:headerReference w:type="default" r:id="rId17"/>
          <w:headerReference w:type="first" r:id="rId18"/>
          <w:footnotePr>
            <w:numRestart w:val="eachPage"/>
          </w:footnotePr>
          <w:pgSz w:w="11907" w:h="16840" w:code="9"/>
          <w:pgMar w:top="1134" w:right="1701" w:bottom="1134" w:left="1134" w:header="425" w:footer="0" w:gutter="0"/>
          <w:pgNumType w:start="45"/>
          <w:cols w:space="720"/>
          <w:rtlGutter/>
          <w:docGrid w:linePitch="360"/>
        </w:sectPr>
      </w:pPr>
    </w:p>
    <w:p w14:paraId="1DFFCE59"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lastRenderedPageBreak/>
        <w:t>شكل رقم (2-9)</w:t>
      </w:r>
    </w:p>
    <w:p w14:paraId="799C0053"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Pr>
      </w:pPr>
      <w:r w:rsidRPr="00D9474F">
        <w:rPr>
          <w:rFonts w:ascii="Simplified Arabic" w:eastAsia="Times New Roman" w:hAnsi="Simplified Arabic" w:cs="Simplified Arabic"/>
          <w:b/>
          <w:bCs/>
          <w:sz w:val="24"/>
          <w:szCs w:val="24"/>
          <w:rtl/>
        </w:rPr>
        <w:t>تطور الإيرادات والمصروفات والعجز الكلي للموازنة العامة</w:t>
      </w:r>
    </w:p>
    <w:p w14:paraId="70C561BE"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Pr>
        <w:drawing>
          <wp:anchor distT="0" distB="0" distL="114300" distR="114300" simplePos="0" relativeHeight="251687936" behindDoc="1" locked="0" layoutInCell="1" allowOverlap="1" wp14:anchorId="596D06E5" wp14:editId="46AE550F">
            <wp:simplePos x="0" y="0"/>
            <wp:positionH relativeFrom="column">
              <wp:posOffset>-11778</wp:posOffset>
            </wp:positionH>
            <wp:positionV relativeFrom="paragraph">
              <wp:posOffset>380678</wp:posOffset>
            </wp:positionV>
            <wp:extent cx="5508625" cy="3240000"/>
            <wp:effectExtent l="0" t="0" r="15875" b="17780"/>
            <wp:wrapTight wrapText="bothSides">
              <wp:wrapPolygon edited="0">
                <wp:start x="0" y="0"/>
                <wp:lineTo x="0" y="21592"/>
                <wp:lineTo x="21588" y="21592"/>
                <wp:lineTo x="21588" y="0"/>
                <wp:lineTo x="0" y="0"/>
              </wp:wrapPolygon>
            </wp:wrapTight>
            <wp:docPr id="116" name="Chart 116">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V relativeFrom="margin">
              <wp14:pctHeight>0</wp14:pctHeight>
            </wp14:sizeRelV>
          </wp:anchor>
        </w:drawing>
      </w:r>
      <w:r w:rsidRPr="00D9474F">
        <w:rPr>
          <w:rFonts w:ascii="Simplified Arabic" w:eastAsia="Times New Roman" w:hAnsi="Simplified Arabic" w:cs="Simplified Arabic"/>
          <w:b/>
          <w:bCs/>
          <w:sz w:val="24"/>
          <w:szCs w:val="24"/>
          <w:rtl/>
        </w:rPr>
        <w:t>خلال الفترة (1998/1999 إلى 2004/2005)</w:t>
      </w:r>
    </w:p>
    <w:p w14:paraId="5F439DF3" w14:textId="77777777" w:rsidR="002959BC" w:rsidRPr="00F51EC7" w:rsidRDefault="002959BC" w:rsidP="002959BC">
      <w:pPr>
        <w:ind w:firstLine="28"/>
        <w:jc w:val="both"/>
        <w:rPr>
          <w:rFonts w:ascii="Simplified Arabic" w:hAnsi="Simplified Arabic" w:cs="Simplified Arabic"/>
          <w:color w:val="000000"/>
          <w:sz w:val="24"/>
          <w:szCs w:val="24"/>
          <w:rtl/>
        </w:rPr>
      </w:pPr>
      <w:r w:rsidRPr="00F51EC7">
        <w:rPr>
          <w:rFonts w:ascii="Simplified Arabic" w:hAnsi="Simplified Arabic" w:cs="Simplified Arabic"/>
          <w:sz w:val="24"/>
          <w:szCs w:val="24"/>
          <w:rtl/>
        </w:rPr>
        <w:t>المصدر: من إعداد الباحث بالاعتماد على بيانات الجدول رقم (4-1) بالملحق.</w:t>
      </w:r>
    </w:p>
    <w:p w14:paraId="400F4AB8" w14:textId="77777777" w:rsidR="002959BC" w:rsidRPr="00F51EC7" w:rsidRDefault="002959BC" w:rsidP="002959BC">
      <w:pPr>
        <w:jc w:val="both"/>
        <w:rPr>
          <w:rFonts w:ascii="Simplified Arabic" w:hAnsi="Simplified Arabic" w:cs="Simplified Arabic"/>
          <w:sz w:val="28"/>
          <w:szCs w:val="28"/>
          <w:rtl/>
        </w:rPr>
      </w:pPr>
    </w:p>
    <w:p w14:paraId="25B24DB6" w14:textId="77777777" w:rsidR="002959BC" w:rsidRPr="00F51EC7" w:rsidRDefault="002959BC" w:rsidP="002959BC">
      <w:pPr>
        <w:ind w:firstLine="453"/>
        <w:jc w:val="both"/>
        <w:rPr>
          <w:rFonts w:ascii="Simplified Arabic" w:hAnsi="Simplified Arabic" w:cs="Simplified Arabic"/>
          <w:sz w:val="28"/>
          <w:szCs w:val="28"/>
          <w:rtl/>
          <w:lang w:bidi="ar-EG"/>
        </w:rPr>
      </w:pPr>
      <w:r w:rsidRPr="00F51EC7">
        <w:rPr>
          <w:rFonts w:ascii="Simplified Arabic" w:hAnsi="Simplified Arabic" w:cs="Simplified Arabic"/>
          <w:sz w:val="28"/>
          <w:szCs w:val="28"/>
          <w:rtl/>
          <w:lang w:bidi="ar-EG"/>
        </w:rPr>
        <w:t>ويتضح من الشكل رقم (2-9) أنه بداية من العام المالي 1998/1999 وحتى العام المالي 2004/2005 بدأت الحكومة في انتهاج سياسة مالية توسعية وهو ما أدى إلى زيادة العجز الكلي للموازنة العامة كرقم مطلق وكنسبة إلى الناتج المحلي الإجمالي، حيث سجل العجز الكلي خلال العام المالي 1998/1999 مبلغ 8923 مليون جنيه (2.9% من الناتج المحلي الإجمالي) وارتفع ليصل خلال العام المالي 2004/2005 مبلغ 51643 مليون جنيه (9.6% كنسبة إلى الناتج المحلي الإجمالي).</w:t>
      </w:r>
    </w:p>
    <w:p w14:paraId="445C02ED" w14:textId="77777777" w:rsidR="002959BC" w:rsidRPr="00F51EC7" w:rsidRDefault="002959BC" w:rsidP="002959BC">
      <w:pPr>
        <w:ind w:firstLine="453"/>
        <w:jc w:val="both"/>
        <w:rPr>
          <w:rFonts w:ascii="Simplified Arabic" w:hAnsi="Simplified Arabic" w:cs="Simplified Arabic"/>
          <w:sz w:val="28"/>
          <w:szCs w:val="28"/>
          <w:rtl/>
          <w:lang w:bidi="ar-EG"/>
        </w:rPr>
      </w:pPr>
    </w:p>
    <w:p w14:paraId="18E926B3" w14:textId="77777777" w:rsidR="002959BC" w:rsidRPr="00F51EC7" w:rsidRDefault="002959BC" w:rsidP="002959BC">
      <w:pPr>
        <w:ind w:firstLine="453"/>
        <w:jc w:val="both"/>
        <w:rPr>
          <w:rFonts w:ascii="Simplified Arabic" w:hAnsi="Simplified Arabic" w:cs="Simplified Arabic"/>
          <w:sz w:val="28"/>
          <w:szCs w:val="28"/>
          <w:rtl/>
          <w:lang w:bidi="ar-EG"/>
        </w:rPr>
      </w:pPr>
      <w:r w:rsidRPr="00F51EC7">
        <w:rPr>
          <w:rFonts w:ascii="Simplified Arabic" w:hAnsi="Simplified Arabic" w:cs="Simplified Arabic"/>
          <w:sz w:val="28"/>
          <w:szCs w:val="28"/>
          <w:rtl/>
          <w:lang w:bidi="ar-EG"/>
        </w:rPr>
        <w:t xml:space="preserve">وعلى الرغم من زيادة الإيرادات العامة كرقم مطلق خلال تلك الفترة حيث سجلت خلال العام المالي 1998/1999 مبلغ 71072 مليون جنيه (23.1% من الناتج المحلي الإجمالي) وارتفعت لتصل خلال العام المالي 2004/2005 إلى </w:t>
      </w:r>
      <w:r w:rsidRPr="00F51EC7">
        <w:rPr>
          <w:rFonts w:ascii="Simplified Arabic" w:hAnsi="Simplified Arabic" w:cs="Simplified Arabic"/>
          <w:sz w:val="28"/>
          <w:szCs w:val="28"/>
          <w:rtl/>
        </w:rPr>
        <w:t xml:space="preserve">110864 </w:t>
      </w:r>
      <w:r w:rsidRPr="00F51EC7">
        <w:rPr>
          <w:rFonts w:ascii="Simplified Arabic" w:hAnsi="Simplified Arabic" w:cs="Simplified Arabic"/>
          <w:sz w:val="28"/>
          <w:szCs w:val="28"/>
          <w:rtl/>
          <w:lang w:bidi="ar-EG"/>
        </w:rPr>
        <w:t>مليون جنيه (</w:t>
      </w:r>
      <w:r w:rsidRPr="00F51EC7">
        <w:rPr>
          <w:rFonts w:ascii="Simplified Arabic" w:hAnsi="Simplified Arabic" w:cs="Simplified Arabic"/>
          <w:sz w:val="28"/>
          <w:szCs w:val="28"/>
          <w:rtl/>
        </w:rPr>
        <w:t>20.6</w:t>
      </w:r>
      <w:r w:rsidRPr="00F51EC7">
        <w:rPr>
          <w:rFonts w:ascii="Simplified Arabic" w:hAnsi="Simplified Arabic" w:cs="Simplified Arabic"/>
          <w:sz w:val="28"/>
          <w:szCs w:val="28"/>
          <w:rtl/>
          <w:lang w:bidi="ar-EG"/>
        </w:rPr>
        <w:t>% من الناتج المحلي الإجمالي) إلا أنها ظلت تتراجع كنسبة إلى الناتج المحلي الإجمالي وهو ما يمكن تفسيره بانخفاض قدرة الحكومة على تحصيل مستحقاتها وتزايد معدلات التهرب الضريبي واتساع نطاق الاقتصاد غير الرسمي.</w:t>
      </w:r>
    </w:p>
    <w:p w14:paraId="437E6A62" w14:textId="77777777" w:rsidR="002959BC" w:rsidRDefault="002959BC" w:rsidP="002959BC">
      <w:pPr>
        <w:ind w:firstLine="709"/>
        <w:jc w:val="both"/>
        <w:rPr>
          <w:rFonts w:ascii="Simplified Arabic" w:hAnsi="Simplified Arabic" w:cs="Simplified Arabic"/>
          <w:sz w:val="28"/>
          <w:szCs w:val="28"/>
          <w:rtl/>
          <w:lang w:bidi="ar-EG"/>
        </w:rPr>
      </w:pPr>
    </w:p>
    <w:p w14:paraId="63C404C5" w14:textId="77777777" w:rsidR="002959BC" w:rsidRPr="00F51EC7" w:rsidRDefault="002959BC" w:rsidP="002959BC">
      <w:pPr>
        <w:ind w:firstLine="709"/>
        <w:jc w:val="both"/>
        <w:rPr>
          <w:rFonts w:ascii="Simplified Arabic" w:hAnsi="Simplified Arabic" w:cs="Simplified Arabic"/>
          <w:sz w:val="28"/>
          <w:szCs w:val="28"/>
          <w:rtl/>
          <w:lang w:bidi="ar-EG"/>
        </w:rPr>
      </w:pPr>
    </w:p>
    <w:p w14:paraId="71F7EB3B" w14:textId="77777777" w:rsidR="002959BC" w:rsidRPr="00F51EC7" w:rsidRDefault="002959BC" w:rsidP="002959BC">
      <w:pPr>
        <w:ind w:firstLine="453"/>
        <w:jc w:val="both"/>
        <w:rPr>
          <w:rFonts w:ascii="Simplified Arabic" w:hAnsi="Simplified Arabic" w:cs="Simplified Arabic"/>
          <w:sz w:val="28"/>
          <w:szCs w:val="28"/>
          <w:rtl/>
          <w:lang w:bidi="ar-EG"/>
        </w:rPr>
      </w:pPr>
      <w:r w:rsidRPr="00F51EC7">
        <w:rPr>
          <w:rFonts w:ascii="Simplified Arabic" w:hAnsi="Simplified Arabic" w:cs="Simplified Arabic"/>
          <w:sz w:val="28"/>
          <w:szCs w:val="28"/>
          <w:rtl/>
          <w:lang w:bidi="ar-EG"/>
        </w:rPr>
        <w:lastRenderedPageBreak/>
        <w:t xml:space="preserve">أما بالنسبة إلى المصروفات فقد زادت خلال تلك الفترة زيادة كبيرة سواء كرقم مطلق أو كنسبة إلى الناتج المحلي الإجمالي فقد سجلت خلال العام المالي 1998/1999 مبلغ 79995 مليون جنيه (26% من الناتج المحلي الإجمالي) وظلت ترتفع خلال تلك الفترة حتى وصلت خلال العام المالي 2004/2005 إلى </w:t>
      </w:r>
      <w:r w:rsidRPr="00F51EC7">
        <w:rPr>
          <w:rFonts w:ascii="Simplified Arabic" w:hAnsi="Simplified Arabic" w:cs="Simplified Arabic"/>
          <w:sz w:val="28"/>
          <w:szCs w:val="28"/>
          <w:rtl/>
        </w:rPr>
        <w:t xml:space="preserve">161611 </w:t>
      </w:r>
      <w:r w:rsidRPr="00F51EC7">
        <w:rPr>
          <w:rFonts w:ascii="Simplified Arabic" w:hAnsi="Simplified Arabic" w:cs="Simplified Arabic"/>
          <w:sz w:val="28"/>
          <w:szCs w:val="28"/>
          <w:rtl/>
          <w:lang w:bidi="ar-EG"/>
        </w:rPr>
        <w:t xml:space="preserve">مليون جنيه (30% من الناتج المحلي الإجمالي).  </w:t>
      </w:r>
    </w:p>
    <w:p w14:paraId="4F082554" w14:textId="77777777" w:rsidR="002959BC" w:rsidRPr="00F51EC7" w:rsidRDefault="002959BC" w:rsidP="002959BC">
      <w:pPr>
        <w:ind w:firstLine="709"/>
        <w:jc w:val="both"/>
        <w:rPr>
          <w:rFonts w:ascii="Simplified Arabic" w:hAnsi="Simplified Arabic" w:cs="Simplified Arabic"/>
          <w:sz w:val="28"/>
          <w:szCs w:val="28"/>
          <w:rtl/>
          <w:lang w:bidi="ar-EG"/>
        </w:rPr>
      </w:pPr>
    </w:p>
    <w:p w14:paraId="068CDAC4"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t>شكل رقم (2-10)</w:t>
      </w:r>
    </w:p>
    <w:p w14:paraId="64B13D1C"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t>التغير النسبي في الإيرادات والمصروفات</w:t>
      </w:r>
    </w:p>
    <w:p w14:paraId="7E8245F1"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Pr>
        <w:drawing>
          <wp:anchor distT="0" distB="0" distL="114300" distR="114300" simplePos="0" relativeHeight="251692032" behindDoc="1" locked="0" layoutInCell="1" allowOverlap="1" wp14:anchorId="2902006F" wp14:editId="4CD76FF3">
            <wp:simplePos x="0" y="0"/>
            <wp:positionH relativeFrom="column">
              <wp:posOffset>-20955</wp:posOffset>
            </wp:positionH>
            <wp:positionV relativeFrom="paragraph">
              <wp:posOffset>300355</wp:posOffset>
            </wp:positionV>
            <wp:extent cx="5508625" cy="3240000"/>
            <wp:effectExtent l="0" t="0" r="15875" b="17780"/>
            <wp:wrapTight wrapText="bothSides">
              <wp:wrapPolygon edited="0">
                <wp:start x="0" y="0"/>
                <wp:lineTo x="0" y="21592"/>
                <wp:lineTo x="21588" y="21592"/>
                <wp:lineTo x="21588" y="0"/>
                <wp:lineTo x="0" y="0"/>
              </wp:wrapPolygon>
            </wp:wrapTight>
            <wp:docPr id="117" name="Chart 117">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V relativeFrom="margin">
              <wp14:pctHeight>0</wp14:pctHeight>
            </wp14:sizeRelV>
          </wp:anchor>
        </w:drawing>
      </w:r>
      <w:r w:rsidRPr="00D9474F">
        <w:rPr>
          <w:rFonts w:ascii="Simplified Arabic" w:eastAsia="Times New Roman" w:hAnsi="Simplified Arabic" w:cs="Simplified Arabic"/>
          <w:b/>
          <w:bCs/>
          <w:sz w:val="24"/>
          <w:szCs w:val="24"/>
          <w:rtl/>
        </w:rPr>
        <w:t>خلال الفترة (1998/1999 إلى 2004/2005)</w:t>
      </w:r>
    </w:p>
    <w:p w14:paraId="66C22888" w14:textId="77777777" w:rsidR="002959BC" w:rsidRPr="00F51EC7" w:rsidRDefault="002959BC" w:rsidP="002959BC">
      <w:pPr>
        <w:ind w:firstLine="28"/>
        <w:jc w:val="both"/>
        <w:rPr>
          <w:rFonts w:ascii="Simplified Arabic" w:hAnsi="Simplified Arabic" w:cs="Simplified Arabic"/>
          <w:color w:val="000000"/>
          <w:sz w:val="24"/>
          <w:szCs w:val="24"/>
          <w:rtl/>
        </w:rPr>
      </w:pPr>
      <w:r w:rsidRPr="00F51EC7">
        <w:rPr>
          <w:rFonts w:ascii="Simplified Arabic" w:hAnsi="Simplified Arabic" w:cs="Simplified Arabic"/>
          <w:sz w:val="24"/>
          <w:szCs w:val="24"/>
          <w:rtl/>
        </w:rPr>
        <w:t>المصدر: من إعداد الباحث بالاعتماد على بيانات جدول رقم (4-1) بالملحق.</w:t>
      </w:r>
    </w:p>
    <w:p w14:paraId="4199DE85" w14:textId="77777777" w:rsidR="002959BC" w:rsidRPr="00F51EC7" w:rsidRDefault="002959BC" w:rsidP="002959BC">
      <w:pPr>
        <w:jc w:val="both"/>
        <w:rPr>
          <w:rFonts w:ascii="Simplified Arabic" w:hAnsi="Simplified Arabic" w:cs="Simplified Arabic"/>
          <w:sz w:val="28"/>
          <w:szCs w:val="28"/>
          <w:rtl/>
        </w:rPr>
      </w:pPr>
    </w:p>
    <w:p w14:paraId="46FA6A7C" w14:textId="77777777" w:rsidR="002959BC" w:rsidRPr="00F51EC7" w:rsidRDefault="002959BC" w:rsidP="002959BC">
      <w:pPr>
        <w:ind w:firstLine="453"/>
        <w:jc w:val="both"/>
        <w:rPr>
          <w:rFonts w:ascii="Simplified Arabic" w:hAnsi="Simplified Arabic" w:cs="Simplified Arabic"/>
          <w:sz w:val="28"/>
          <w:szCs w:val="28"/>
          <w:rtl/>
          <w:lang w:bidi="ar-EG"/>
        </w:rPr>
      </w:pPr>
      <w:r w:rsidRPr="00F51EC7">
        <w:rPr>
          <w:rFonts w:ascii="Simplified Arabic" w:hAnsi="Simplified Arabic" w:cs="Simplified Arabic"/>
          <w:sz w:val="28"/>
          <w:szCs w:val="28"/>
          <w:rtl/>
          <w:lang w:bidi="ar-EG"/>
        </w:rPr>
        <w:t>ويوضح الشكل رقم (2-10) التغير النسبي للإيرادات والنفقات العامة من عام إلى آخر خلال الفترة من العام المالي 1998/1999 إلى العام المالي 2004/2005، حيث يتضح الزياد الكبيرة في التغير النسبي للمصروفات خلال الفترة من العام المالي 1998/1999 إلى العام المالي 2001/2002 حيث سجلت قيم الزيادة خلال تلك الفترة 13% و10.8% و8.5% و20.2% على التوالي بينما كانت تسجل قيم التغير النسبي للإيرادات خلال تلك الفترة زيادة طفيفة قدرها 4.6% و6.1% و1% و2.9% على التوالي وهو ما أدى إلى زيادة العجز الكلي للموازنة ليصل خلال العام المالي 2001/2002 إلى 38486 مليون جنيه بنسبة (10% من الناتج المحلي الإجمالي).</w:t>
      </w:r>
    </w:p>
    <w:p w14:paraId="0FD3EC8B" w14:textId="77777777" w:rsidR="002959BC" w:rsidRPr="00F51EC7" w:rsidRDefault="002959BC" w:rsidP="002959BC">
      <w:pPr>
        <w:ind w:firstLine="453"/>
        <w:jc w:val="both"/>
        <w:rPr>
          <w:rFonts w:ascii="Simplified Arabic" w:hAnsi="Simplified Arabic" w:cs="Simplified Arabic"/>
          <w:sz w:val="28"/>
          <w:szCs w:val="28"/>
          <w:rtl/>
          <w:lang w:bidi="ar-EG"/>
        </w:rPr>
      </w:pPr>
    </w:p>
    <w:p w14:paraId="50264DA3" w14:textId="77777777" w:rsidR="002959BC" w:rsidRPr="00F51EC7" w:rsidRDefault="002959BC" w:rsidP="002959BC">
      <w:pPr>
        <w:ind w:firstLine="453"/>
        <w:jc w:val="both"/>
        <w:rPr>
          <w:rFonts w:ascii="Simplified Arabic" w:hAnsi="Simplified Arabic" w:cs="Simplified Arabic"/>
          <w:color w:val="000000"/>
          <w:sz w:val="28"/>
          <w:szCs w:val="28"/>
          <w:rtl/>
        </w:rPr>
      </w:pPr>
      <w:r w:rsidRPr="00F51EC7">
        <w:rPr>
          <w:rFonts w:ascii="Simplified Arabic" w:hAnsi="Simplified Arabic" w:cs="Simplified Arabic"/>
          <w:sz w:val="28"/>
          <w:szCs w:val="28"/>
          <w:rtl/>
          <w:lang w:bidi="ar-EG"/>
        </w:rPr>
        <w:lastRenderedPageBreak/>
        <w:t xml:space="preserve">في حين زادت الإيرادات بنسبة 14.1% خلال العام المالي 2002/2003 بينما بلغت زيادة المصروفات نسبة 10.2% لكن سرعان ما عاودت المصروفات العامة الزيادة بنسبة أكبر من الزيادة في الإيرادات العامة خلال العامين الماليين 2003/2004 و2004/2005 لتسجل 14.7% و10.7% مقارنة بزيادة قدرها 14% و8.8% نسب الزيادة في الإيرادات العامة على التوالي. </w:t>
      </w:r>
    </w:p>
    <w:p w14:paraId="687D4872"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t>شكل رقم (2-11)</w:t>
      </w:r>
    </w:p>
    <w:p w14:paraId="29511C46"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t>تطور نسب الإيرادات والمصروفات والعجز الكلي للموازنة العامة</w:t>
      </w:r>
      <w:r w:rsidRPr="00D9474F">
        <w:rPr>
          <w:rFonts w:ascii="Simplified Arabic" w:eastAsia="Times New Roman" w:hAnsi="Simplified Arabic" w:cs="Simplified Arabic"/>
          <w:b/>
          <w:bCs/>
          <w:sz w:val="24"/>
          <w:szCs w:val="24"/>
        </w:rPr>
        <w:t xml:space="preserve"> </w:t>
      </w:r>
      <w:r w:rsidRPr="00D9474F">
        <w:rPr>
          <w:rFonts w:ascii="Simplified Arabic" w:eastAsia="Times New Roman" w:hAnsi="Simplified Arabic" w:cs="Simplified Arabic"/>
          <w:b/>
          <w:bCs/>
          <w:sz w:val="24"/>
          <w:szCs w:val="24"/>
          <w:rtl/>
        </w:rPr>
        <w:t>إلى الناتج المحلي الإجمالي</w:t>
      </w:r>
    </w:p>
    <w:p w14:paraId="27B6819F"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Pr>
        <w:drawing>
          <wp:anchor distT="0" distB="0" distL="114300" distR="114300" simplePos="0" relativeHeight="251694080" behindDoc="1" locked="0" layoutInCell="1" allowOverlap="1" wp14:anchorId="7FEE9E02" wp14:editId="00309FAD">
            <wp:simplePos x="0" y="0"/>
            <wp:positionH relativeFrom="column">
              <wp:posOffset>-20955</wp:posOffset>
            </wp:positionH>
            <wp:positionV relativeFrom="paragraph">
              <wp:posOffset>314490</wp:posOffset>
            </wp:positionV>
            <wp:extent cx="5508625" cy="3239770"/>
            <wp:effectExtent l="0" t="0" r="15875" b="17780"/>
            <wp:wrapTight wrapText="bothSides">
              <wp:wrapPolygon edited="0">
                <wp:start x="0" y="0"/>
                <wp:lineTo x="0" y="21592"/>
                <wp:lineTo x="21588" y="21592"/>
                <wp:lineTo x="21588" y="0"/>
                <wp:lineTo x="0" y="0"/>
              </wp:wrapPolygon>
            </wp:wrapTight>
            <wp:docPr id="118" name="Chart 118">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V relativeFrom="margin">
              <wp14:pctHeight>0</wp14:pctHeight>
            </wp14:sizeRelV>
          </wp:anchor>
        </w:drawing>
      </w:r>
      <w:r w:rsidRPr="00D9474F">
        <w:rPr>
          <w:rFonts w:ascii="Simplified Arabic" w:eastAsia="Times New Roman" w:hAnsi="Simplified Arabic" w:cs="Simplified Arabic"/>
          <w:b/>
          <w:bCs/>
          <w:sz w:val="24"/>
          <w:szCs w:val="24"/>
          <w:rtl/>
        </w:rPr>
        <w:t>خلال الفترة (1998/1999 إلى 2004/2005)</w:t>
      </w:r>
    </w:p>
    <w:p w14:paraId="1F978296" w14:textId="77777777" w:rsidR="002959BC" w:rsidRPr="00F51EC7" w:rsidRDefault="002959BC" w:rsidP="002959BC">
      <w:pPr>
        <w:ind w:firstLine="28"/>
        <w:jc w:val="both"/>
        <w:rPr>
          <w:rFonts w:ascii="Simplified Arabic" w:hAnsi="Simplified Arabic" w:cs="Simplified Arabic"/>
          <w:color w:val="000000"/>
          <w:sz w:val="24"/>
          <w:szCs w:val="24"/>
          <w:rtl/>
        </w:rPr>
      </w:pPr>
      <w:r w:rsidRPr="00F51EC7">
        <w:rPr>
          <w:rFonts w:ascii="Simplified Arabic" w:hAnsi="Simplified Arabic" w:cs="Simplified Arabic"/>
          <w:sz w:val="24"/>
          <w:szCs w:val="24"/>
          <w:rtl/>
        </w:rPr>
        <w:t>المصدر: من إعداد الباحث بالاعتماد على بيانات الجدول رقم (4-1) بالملحق.</w:t>
      </w:r>
    </w:p>
    <w:p w14:paraId="12797575" w14:textId="77777777" w:rsidR="002959BC" w:rsidRPr="008F184A" w:rsidRDefault="002959BC" w:rsidP="002959BC">
      <w:pPr>
        <w:jc w:val="both"/>
        <w:rPr>
          <w:rFonts w:ascii="Simplified Arabic" w:hAnsi="Simplified Arabic" w:cs="Simplified Arabic"/>
          <w:color w:val="000000"/>
          <w:sz w:val="16"/>
          <w:szCs w:val="16"/>
          <w:rtl/>
        </w:rPr>
      </w:pPr>
    </w:p>
    <w:p w14:paraId="589BCF7C" w14:textId="77777777" w:rsidR="002959BC" w:rsidRDefault="002959BC" w:rsidP="002959BC">
      <w:pPr>
        <w:ind w:firstLine="454"/>
        <w:jc w:val="both"/>
        <w:rPr>
          <w:rFonts w:ascii="Simplified Arabic" w:hAnsi="Simplified Arabic" w:cs="Simplified Arabic"/>
          <w:sz w:val="28"/>
          <w:szCs w:val="28"/>
          <w:lang w:bidi="ar-EG"/>
        </w:rPr>
      </w:pPr>
      <w:r w:rsidRPr="00F51EC7">
        <w:rPr>
          <w:rFonts w:ascii="Simplified Arabic" w:hAnsi="Simplified Arabic" w:cs="Simplified Arabic"/>
          <w:sz w:val="28"/>
          <w:szCs w:val="28"/>
          <w:rtl/>
          <w:lang w:bidi="ar-EG"/>
        </w:rPr>
        <w:t xml:space="preserve">ويلاحظ من الشكل رقم (2-11) الانخفاض المستمر في نسب الإيرادات إلى الناتج المحلي الإجمالي حيث تراجعت الإيرادات من 23.1% نسبة إلى الناتج المحلي الإجمالي خلال العام المالي 1998/1999 إلى نسبة 20.6% خلال العام المالي 2004/2005 في حين كانت هناك ارتفاع في نسب المصروفات إلى الناتج المحلي الإجمالي حيث سجلت خلال العام المالي 1998/1999 نسبة 26% من الناتج المحلي الإجمالي وظلت ترتفع حتى بلغت 30% من الناتج المحلي الإجمالي خلال العام المالي 2004/2005. </w:t>
      </w:r>
    </w:p>
    <w:p w14:paraId="6C73BAE9" w14:textId="77777777" w:rsidR="002959BC" w:rsidRPr="008F184A" w:rsidRDefault="002959BC" w:rsidP="002959BC">
      <w:pPr>
        <w:ind w:firstLine="454"/>
        <w:jc w:val="both"/>
        <w:rPr>
          <w:rFonts w:ascii="Simplified Arabic" w:hAnsi="Simplified Arabic" w:cs="Simplified Arabic"/>
          <w:sz w:val="16"/>
          <w:szCs w:val="16"/>
          <w:rtl/>
          <w:lang w:bidi="ar-EG"/>
        </w:rPr>
      </w:pPr>
    </w:p>
    <w:p w14:paraId="2ED667F1" w14:textId="77777777" w:rsidR="002959BC" w:rsidRDefault="002959BC" w:rsidP="002959BC">
      <w:pPr>
        <w:ind w:firstLine="454"/>
        <w:jc w:val="both"/>
        <w:rPr>
          <w:rFonts w:ascii="Simplified Arabic" w:hAnsi="Simplified Arabic" w:cs="Simplified Arabic"/>
          <w:sz w:val="28"/>
          <w:szCs w:val="28"/>
          <w:lang w:bidi="ar-EG"/>
        </w:rPr>
      </w:pPr>
      <w:r w:rsidRPr="00F51EC7">
        <w:rPr>
          <w:rFonts w:ascii="Simplified Arabic" w:hAnsi="Simplified Arabic" w:cs="Simplified Arabic"/>
          <w:sz w:val="28"/>
          <w:szCs w:val="28"/>
          <w:rtl/>
          <w:lang w:bidi="ar-EG"/>
        </w:rPr>
        <w:t>إن الإنجاز الذي تحقق خلال السنوات الأولى لتطبيق برنامج الإصلاح الاقتصادي على صعيد ضبط أوضاع المالية العامة وتخفيض العجز الكلي للموازنة العامة للدولة قد تلاشى تدريجياً نتيجة انتهاج سياسة مالية توسعية لم تراع الأوضاع المالية للموازنة العامة للدولة.</w:t>
      </w:r>
    </w:p>
    <w:p w14:paraId="725E6695" w14:textId="77777777" w:rsidR="002959BC" w:rsidRDefault="002959BC" w:rsidP="002959BC">
      <w:pPr>
        <w:ind w:firstLine="453"/>
        <w:jc w:val="both"/>
        <w:rPr>
          <w:rFonts w:ascii="Simplified Arabic" w:hAnsi="Simplified Arabic" w:cs="Simplified Arabic"/>
          <w:sz w:val="28"/>
          <w:szCs w:val="28"/>
          <w:lang w:bidi="ar-EG"/>
        </w:rPr>
      </w:pPr>
      <w:r w:rsidRPr="00F51EC7">
        <w:rPr>
          <w:rFonts w:ascii="Simplified Arabic" w:hAnsi="Simplified Arabic" w:cs="Simplified Arabic"/>
          <w:sz w:val="28"/>
          <w:szCs w:val="28"/>
          <w:rtl/>
          <w:lang w:bidi="ar-EG"/>
        </w:rPr>
        <w:t xml:space="preserve">وقد ساعد على زيادة العجز الصدمات الخارجية التي تعرض لها الاقتصاد المصري في أواخر عام 1997 و1998، لاسيما هبوط عائدات تصدير النفط لانخفاض أسعاره عالمياً وانخفاض الفائض النفطي </w:t>
      </w:r>
      <w:r w:rsidRPr="00F51EC7">
        <w:rPr>
          <w:rFonts w:ascii="Simplified Arabic" w:hAnsi="Simplified Arabic" w:cs="Simplified Arabic"/>
          <w:sz w:val="28"/>
          <w:szCs w:val="28"/>
          <w:rtl/>
          <w:lang w:bidi="ar-EG"/>
        </w:rPr>
        <w:lastRenderedPageBreak/>
        <w:t xml:space="preserve">المتاح للتصدير، وكذلك هبوط عائدات السياحة في أعقاب الهجوم الإرهابي على السياح في الأقصر، وكذلك انتقال عدوى خروج الأموال من البورصات الأسيوية إلى البورصات العربية. </w:t>
      </w:r>
      <w:r w:rsidRPr="00F51EC7">
        <w:rPr>
          <w:rFonts w:ascii="Simplified Arabic" w:hAnsi="Simplified Arabic" w:cs="Simplified Arabic"/>
          <w:sz w:val="28"/>
          <w:szCs w:val="28"/>
          <w:vertAlign w:val="superscript"/>
          <w:rtl/>
          <w:lang w:bidi="ar-EG"/>
        </w:rPr>
        <w:t>(</w:t>
      </w:r>
      <w:r w:rsidRPr="00F51EC7">
        <w:rPr>
          <w:rFonts w:ascii="Simplified Arabic" w:hAnsi="Simplified Arabic" w:cs="Simplified Arabic"/>
          <w:sz w:val="28"/>
          <w:szCs w:val="28"/>
          <w:vertAlign w:val="superscript"/>
          <w:rtl/>
          <w:lang w:bidi="ar-EG"/>
        </w:rPr>
        <w:footnoteReference w:id="88"/>
      </w:r>
      <w:r w:rsidRPr="00F51EC7">
        <w:rPr>
          <w:rFonts w:ascii="Simplified Arabic" w:hAnsi="Simplified Arabic" w:cs="Simplified Arabic"/>
          <w:sz w:val="28"/>
          <w:szCs w:val="28"/>
          <w:vertAlign w:val="superscript"/>
          <w:rtl/>
          <w:lang w:bidi="ar-EG"/>
        </w:rPr>
        <w:t>)</w:t>
      </w:r>
      <w:r w:rsidRPr="00F51EC7">
        <w:rPr>
          <w:rFonts w:ascii="Simplified Arabic" w:hAnsi="Simplified Arabic" w:cs="Simplified Arabic"/>
          <w:sz w:val="28"/>
          <w:szCs w:val="28"/>
          <w:rtl/>
          <w:lang w:bidi="ar-EG"/>
        </w:rPr>
        <w:t>.</w:t>
      </w:r>
    </w:p>
    <w:p w14:paraId="2A9260C2" w14:textId="77777777" w:rsidR="002959BC" w:rsidRPr="00F51EC7" w:rsidRDefault="002959BC" w:rsidP="002959BC">
      <w:pPr>
        <w:ind w:firstLine="453"/>
        <w:jc w:val="both"/>
        <w:rPr>
          <w:rFonts w:ascii="Simplified Arabic" w:hAnsi="Simplified Arabic" w:cs="Simplified Arabic"/>
          <w:sz w:val="28"/>
          <w:szCs w:val="28"/>
          <w:rtl/>
          <w:lang w:bidi="ar-EG"/>
        </w:rPr>
      </w:pPr>
    </w:p>
    <w:p w14:paraId="4C96CB6A" w14:textId="77777777" w:rsidR="002959BC" w:rsidRPr="00702F61" w:rsidRDefault="002959BC" w:rsidP="002959BC">
      <w:pPr>
        <w:ind w:left="542" w:hanging="514"/>
        <w:jc w:val="both"/>
        <w:rPr>
          <w:rFonts w:ascii="Simplified Arabic" w:hAnsi="Simplified Arabic" w:cs="Simplified Arabic"/>
          <w:b/>
          <w:bCs/>
          <w:sz w:val="28"/>
          <w:szCs w:val="28"/>
          <w:u w:val="single"/>
          <w:lang w:bidi="ar-EG"/>
        </w:rPr>
      </w:pPr>
      <w:r w:rsidRPr="00702F61">
        <w:rPr>
          <w:rFonts w:ascii="Simplified Arabic" w:hAnsi="Simplified Arabic" w:cs="Simplified Arabic"/>
          <w:b/>
          <w:bCs/>
          <w:sz w:val="28"/>
          <w:szCs w:val="28"/>
          <w:u w:val="single"/>
          <w:rtl/>
          <w:lang w:bidi="ar-EG"/>
        </w:rPr>
        <w:t>1-2-</w:t>
      </w:r>
      <w:r w:rsidRPr="00702F61">
        <w:rPr>
          <w:rFonts w:ascii="Simplified Arabic" w:hAnsi="Simplified Arabic" w:cs="Simplified Arabic"/>
          <w:b/>
          <w:bCs/>
          <w:sz w:val="28"/>
          <w:szCs w:val="28"/>
          <w:rtl/>
          <w:lang w:bidi="ar-EG"/>
        </w:rPr>
        <w:t xml:space="preserve"> </w:t>
      </w:r>
      <w:r w:rsidRPr="00702F61">
        <w:rPr>
          <w:rFonts w:ascii="Simplified Arabic" w:hAnsi="Simplified Arabic" w:cs="Simplified Arabic"/>
          <w:b/>
          <w:bCs/>
          <w:sz w:val="28"/>
          <w:szCs w:val="28"/>
          <w:u w:val="single"/>
          <w:rtl/>
          <w:lang w:bidi="ar-EG"/>
        </w:rPr>
        <w:t>عجز الموازنة العامة للدولة خلال الفترة من 2005/2006 حتى 2010/2011:</w:t>
      </w:r>
    </w:p>
    <w:p w14:paraId="500692A6" w14:textId="77777777" w:rsidR="002959BC" w:rsidRDefault="002959BC" w:rsidP="002959BC">
      <w:pPr>
        <w:ind w:firstLine="453"/>
        <w:jc w:val="both"/>
        <w:rPr>
          <w:rFonts w:ascii="Simplified Arabic" w:hAnsi="Simplified Arabic" w:cs="Simplified Arabic"/>
          <w:sz w:val="28"/>
          <w:szCs w:val="28"/>
          <w:vertAlign w:val="superscript"/>
          <w:rtl/>
          <w:lang w:bidi="ar-EG"/>
        </w:rPr>
      </w:pPr>
      <w:r w:rsidRPr="00F51EC7">
        <w:rPr>
          <w:rFonts w:ascii="Simplified Arabic" w:hAnsi="Simplified Arabic" w:cs="Simplified Arabic"/>
          <w:sz w:val="28"/>
          <w:szCs w:val="28"/>
          <w:rtl/>
          <w:lang w:bidi="ar-EG"/>
        </w:rPr>
        <w:t xml:space="preserve">خلال العام المالي 2005/2006 نفذت الحكومة المصرية عدداً من الإصلاحات المرتبطة بالمالية العامة </w:t>
      </w:r>
      <w:r w:rsidRPr="00F51EC7">
        <w:rPr>
          <w:rFonts w:ascii="Simplified Arabic" w:hAnsi="Simplified Arabic" w:cs="Simplified Arabic"/>
          <w:sz w:val="28"/>
          <w:szCs w:val="28"/>
          <w:vertAlign w:val="superscript"/>
          <w:rtl/>
          <w:lang w:bidi="ar-EG"/>
        </w:rPr>
        <w:t>(</w:t>
      </w:r>
      <w:r w:rsidRPr="00F51EC7">
        <w:rPr>
          <w:rFonts w:ascii="Simplified Arabic" w:hAnsi="Simplified Arabic" w:cs="Simplified Arabic"/>
          <w:sz w:val="28"/>
          <w:szCs w:val="28"/>
          <w:vertAlign w:val="superscript"/>
          <w:rtl/>
          <w:lang w:bidi="ar-EG"/>
        </w:rPr>
        <w:footnoteReference w:id="89"/>
      </w:r>
      <w:r w:rsidRPr="00F51EC7">
        <w:rPr>
          <w:rFonts w:ascii="Simplified Arabic" w:hAnsi="Simplified Arabic" w:cs="Simplified Arabic"/>
          <w:sz w:val="28"/>
          <w:szCs w:val="28"/>
          <w:vertAlign w:val="superscript"/>
          <w:rtl/>
          <w:lang w:bidi="ar-EG"/>
        </w:rPr>
        <w:t>)</w:t>
      </w:r>
      <w:r w:rsidRPr="00F51EC7">
        <w:rPr>
          <w:rFonts w:ascii="Simplified Arabic" w:hAnsi="Simplified Arabic" w:cs="Simplified Arabic"/>
          <w:sz w:val="28"/>
          <w:szCs w:val="28"/>
          <w:rtl/>
          <w:lang w:bidi="ar-EG"/>
        </w:rPr>
        <w:t xml:space="preserve"> كان من أبرزها تطوير إعداد الموازنة العامة للدولة حيث تقرر تحديث التصنيف والتبويب المعمول به وفقاً للقانون رقم 53 لسنة 1973 بهدف إضفاء مزيد من الشفافية والوضوح على الموازنة العامة للدولة، وفقاً لمفاهيم مطبقة ومتفق عليها دولياً والمتمثل في دليل إحصاءات مالية الحكومة لعام 2001 الصادر عن صندوق النقد الدولي، حيث تم تعديل تقسيم الموازنة العامة للدولة لتتماشى مع التبويب الدولي من حيث التقسيم الاقتصادي والوظيفي والإداري، مع زيادة التفاصيل لزيادة الدقة في تقدير اعتمادات الموازنة وإضفاء مزيداً من الشفافية عند إعداد وتنفيذ الموازنة، مع إدراج اعتمادات إجمالية لبعض الجهات واحتياطيات عامة لمواجهة الالتزامات الحتمية والقومية أو الطارئة أو الالتزامات التي لم تتم مراعاتها عند إعداد مشروع الموازنة، كذلك فإن إعداد الموازنة العامة للدولة أصبح يتم وفقاً للنظام النقدي وليس نظام الاستحقاق بما في ذلك العمليات المتعلقة بشراء الأصول غير المالية (الاستثمارات)</w:t>
      </w:r>
      <w:r w:rsidRPr="00F51EC7">
        <w:rPr>
          <w:rFonts w:ascii="Simplified Arabic" w:hAnsi="Simplified Arabic" w:cs="Simplified Arabic"/>
          <w:sz w:val="28"/>
          <w:szCs w:val="28"/>
          <w:vertAlign w:val="superscript"/>
          <w:rtl/>
          <w:lang w:bidi="ar-EG"/>
        </w:rPr>
        <w:t>.(</w:t>
      </w:r>
      <w:r w:rsidRPr="00F51EC7">
        <w:rPr>
          <w:rFonts w:ascii="Simplified Arabic" w:hAnsi="Simplified Arabic" w:cs="Simplified Arabic"/>
          <w:sz w:val="28"/>
          <w:szCs w:val="28"/>
          <w:vertAlign w:val="superscript"/>
          <w:rtl/>
          <w:lang w:bidi="ar-EG"/>
        </w:rPr>
        <w:footnoteReference w:id="90"/>
      </w:r>
      <w:r w:rsidRPr="00F51EC7">
        <w:rPr>
          <w:rFonts w:ascii="Simplified Arabic" w:hAnsi="Simplified Arabic" w:cs="Simplified Arabic"/>
          <w:sz w:val="28"/>
          <w:szCs w:val="28"/>
          <w:vertAlign w:val="superscript"/>
          <w:rtl/>
          <w:lang w:bidi="ar-EG"/>
        </w:rPr>
        <w:t>)</w:t>
      </w:r>
    </w:p>
    <w:p w14:paraId="2734CEC9" w14:textId="77777777" w:rsidR="002959BC" w:rsidRPr="00F51EC7" w:rsidRDefault="002959BC" w:rsidP="002959BC">
      <w:pPr>
        <w:ind w:firstLine="453"/>
        <w:jc w:val="both"/>
        <w:rPr>
          <w:rFonts w:ascii="Simplified Arabic" w:hAnsi="Simplified Arabic" w:cs="Simplified Arabic"/>
          <w:sz w:val="28"/>
          <w:szCs w:val="28"/>
          <w:vertAlign w:val="superscript"/>
          <w:rtl/>
          <w:lang w:bidi="ar-EG"/>
        </w:rPr>
      </w:pPr>
    </w:p>
    <w:p w14:paraId="2FEDBEC0" w14:textId="77777777" w:rsidR="002959BC"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p>
    <w:p w14:paraId="7F682073" w14:textId="77777777" w:rsidR="00131C6C" w:rsidRDefault="00131C6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p>
    <w:p w14:paraId="38BBB03E" w14:textId="77777777" w:rsidR="00131C6C" w:rsidRDefault="00131C6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p>
    <w:p w14:paraId="24E846B2" w14:textId="77777777" w:rsidR="00131C6C" w:rsidRDefault="00131C6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p>
    <w:p w14:paraId="0419C54F" w14:textId="77777777" w:rsidR="00131C6C" w:rsidRDefault="00131C6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p>
    <w:p w14:paraId="5273D004" w14:textId="77777777" w:rsidR="00131C6C" w:rsidRDefault="00131C6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p>
    <w:p w14:paraId="5E9902BD" w14:textId="77777777" w:rsidR="00131C6C" w:rsidRDefault="00131C6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p>
    <w:p w14:paraId="54A61B37" w14:textId="77777777" w:rsidR="00131C6C" w:rsidRDefault="00131C6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p>
    <w:p w14:paraId="546B2BFD" w14:textId="77777777" w:rsidR="00131C6C" w:rsidRDefault="00131C6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p>
    <w:p w14:paraId="4EBB9B66" w14:textId="036F004D"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lastRenderedPageBreak/>
        <w:t>شكل رقم (2-12)</w:t>
      </w:r>
    </w:p>
    <w:p w14:paraId="0E45751E"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Pr>
      </w:pPr>
      <w:r w:rsidRPr="00D9474F">
        <w:rPr>
          <w:rFonts w:ascii="Simplified Arabic" w:eastAsia="Times New Roman" w:hAnsi="Simplified Arabic" w:cs="Simplified Arabic"/>
          <w:b/>
          <w:bCs/>
          <w:sz w:val="24"/>
          <w:szCs w:val="24"/>
          <w:rtl/>
        </w:rPr>
        <w:t>تطور الإيرادات والمصروفات والعجز الكلي للموازنة العامة</w:t>
      </w:r>
    </w:p>
    <w:p w14:paraId="19AACA4E"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t>خلال الفترة (2005/2006 إلى 2010/2011)</w:t>
      </w:r>
    </w:p>
    <w:p w14:paraId="481FD3F9"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Pr>
        <w:drawing>
          <wp:anchor distT="0" distB="0" distL="114300" distR="114300" simplePos="0" relativeHeight="251696128" behindDoc="1" locked="0" layoutInCell="1" allowOverlap="1" wp14:anchorId="646A6784" wp14:editId="61123195">
            <wp:simplePos x="0" y="0"/>
            <wp:positionH relativeFrom="column">
              <wp:posOffset>-20320</wp:posOffset>
            </wp:positionH>
            <wp:positionV relativeFrom="paragraph">
              <wp:posOffset>165100</wp:posOffset>
            </wp:positionV>
            <wp:extent cx="5508625" cy="3239770"/>
            <wp:effectExtent l="0" t="0" r="15875" b="17780"/>
            <wp:wrapTight wrapText="bothSides">
              <wp:wrapPolygon edited="0">
                <wp:start x="0" y="0"/>
                <wp:lineTo x="0" y="21592"/>
                <wp:lineTo x="21588" y="21592"/>
                <wp:lineTo x="21588" y="0"/>
                <wp:lineTo x="0" y="0"/>
              </wp:wrapPolygon>
            </wp:wrapTight>
            <wp:docPr id="119" name="Chart 119">
              <a:extLst xmlns:a="http://schemas.openxmlformats.org/drawingml/2006/main">
                <a:ext uri="{FF2B5EF4-FFF2-40B4-BE49-F238E27FC236}">
                  <a16:creationId xmlns:a16="http://schemas.microsoft.com/office/drawing/2014/main" id="{31E80802-483B-4A08-A26E-63BDCBECE0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V relativeFrom="margin">
              <wp14:pctHeight>0</wp14:pctHeight>
            </wp14:sizeRelV>
          </wp:anchor>
        </w:drawing>
      </w:r>
    </w:p>
    <w:p w14:paraId="0813D5CC" w14:textId="77777777" w:rsidR="002959BC" w:rsidRPr="00F51EC7" w:rsidRDefault="002959BC" w:rsidP="002959BC">
      <w:pPr>
        <w:ind w:firstLine="28"/>
        <w:jc w:val="both"/>
        <w:rPr>
          <w:rFonts w:ascii="Simplified Arabic" w:hAnsi="Simplified Arabic" w:cs="Simplified Arabic"/>
          <w:color w:val="000000"/>
          <w:sz w:val="24"/>
          <w:szCs w:val="24"/>
          <w:rtl/>
        </w:rPr>
      </w:pPr>
      <w:r w:rsidRPr="00F51EC7">
        <w:rPr>
          <w:rFonts w:ascii="Simplified Arabic" w:hAnsi="Simplified Arabic" w:cs="Simplified Arabic"/>
          <w:sz w:val="24"/>
          <w:szCs w:val="24"/>
          <w:rtl/>
        </w:rPr>
        <w:t xml:space="preserve"> المصدر: من إعداد الباحث بالاعتماد على بيانات الجدول رقم (4-1) بالملحق.</w:t>
      </w:r>
    </w:p>
    <w:p w14:paraId="7BFD9A85" w14:textId="77777777" w:rsidR="002959BC" w:rsidRDefault="002959BC" w:rsidP="002959BC">
      <w:pPr>
        <w:ind w:firstLine="453"/>
        <w:jc w:val="both"/>
        <w:rPr>
          <w:rFonts w:ascii="Simplified Arabic" w:hAnsi="Simplified Arabic" w:cs="Simplified Arabic"/>
          <w:sz w:val="28"/>
          <w:szCs w:val="28"/>
          <w:rtl/>
          <w:lang w:bidi="ar-EG"/>
        </w:rPr>
      </w:pPr>
    </w:p>
    <w:p w14:paraId="4B1DCEFC" w14:textId="77777777" w:rsidR="002959BC" w:rsidRPr="00F51EC7" w:rsidRDefault="002959BC" w:rsidP="002959BC">
      <w:pPr>
        <w:ind w:firstLine="453"/>
        <w:jc w:val="both"/>
        <w:rPr>
          <w:rFonts w:ascii="Simplified Arabic" w:hAnsi="Simplified Arabic" w:cs="Simplified Arabic"/>
          <w:sz w:val="28"/>
          <w:szCs w:val="28"/>
          <w:rtl/>
          <w:lang w:bidi="ar-EG"/>
        </w:rPr>
      </w:pPr>
      <w:r w:rsidRPr="00F51EC7">
        <w:rPr>
          <w:rFonts w:ascii="Simplified Arabic" w:hAnsi="Simplified Arabic" w:cs="Simplified Arabic"/>
          <w:sz w:val="28"/>
          <w:szCs w:val="28"/>
          <w:rtl/>
          <w:lang w:bidi="ar-EG"/>
        </w:rPr>
        <w:t xml:space="preserve">ويتضح من الشكل رقم (2-12) استمرار انتهاج سياسة مالية توسعية خلال الفترة من العام المالي 2005/2006 وحتى العام المالي 2010/2011 ما أدى إلى زيادة العجز الكلي للموازنة العامة كرقم مطلق وكنسبة إلى الناتج المحلي الإجمالي، حيث سجل العجز الكلي خلال العام المالي 2005/2006 مبلغ </w:t>
      </w:r>
      <w:r w:rsidRPr="00F51EC7">
        <w:rPr>
          <w:rFonts w:ascii="Simplified Arabic" w:hAnsi="Simplified Arabic" w:cs="Simplified Arabic"/>
          <w:sz w:val="28"/>
          <w:szCs w:val="28"/>
          <w:rtl/>
        </w:rPr>
        <w:t xml:space="preserve">50385 </w:t>
      </w:r>
      <w:r w:rsidRPr="00F51EC7">
        <w:rPr>
          <w:rFonts w:ascii="Simplified Arabic" w:hAnsi="Simplified Arabic" w:cs="Simplified Arabic"/>
          <w:sz w:val="28"/>
          <w:szCs w:val="28"/>
          <w:rtl/>
          <w:lang w:bidi="ar-EG"/>
        </w:rPr>
        <w:t>مليون جنيه (8.2% من الناتج المحلي الإجمالي) وارتفع ليصل خلال العام المالي 2010/2011 مبلغ 134460 مليون جنيه (9.8% كنسبة إلى الناتج المحلي الإجمالي).</w:t>
      </w:r>
    </w:p>
    <w:p w14:paraId="519A7E53" w14:textId="77777777" w:rsidR="002959BC" w:rsidRPr="00F51EC7" w:rsidRDefault="002959BC" w:rsidP="002959BC">
      <w:pPr>
        <w:ind w:firstLine="709"/>
        <w:jc w:val="both"/>
        <w:rPr>
          <w:rFonts w:ascii="Simplified Arabic" w:hAnsi="Simplified Arabic" w:cs="Simplified Arabic"/>
          <w:sz w:val="28"/>
          <w:szCs w:val="28"/>
          <w:rtl/>
          <w:lang w:bidi="ar-EG"/>
        </w:rPr>
      </w:pPr>
    </w:p>
    <w:p w14:paraId="2EED1BC2" w14:textId="77777777" w:rsidR="002959BC" w:rsidRPr="00F51EC7" w:rsidRDefault="002959BC" w:rsidP="002959BC">
      <w:pPr>
        <w:ind w:firstLine="453"/>
        <w:jc w:val="both"/>
        <w:rPr>
          <w:rFonts w:ascii="Simplified Arabic" w:hAnsi="Simplified Arabic" w:cs="Simplified Arabic"/>
          <w:sz w:val="28"/>
          <w:szCs w:val="28"/>
          <w:rtl/>
        </w:rPr>
      </w:pPr>
      <w:r w:rsidRPr="00F51EC7">
        <w:rPr>
          <w:rFonts w:ascii="Simplified Arabic" w:hAnsi="Simplified Arabic" w:cs="Simplified Arabic"/>
          <w:sz w:val="28"/>
          <w:szCs w:val="28"/>
          <w:rtl/>
          <w:lang w:bidi="ar-EG"/>
        </w:rPr>
        <w:t xml:space="preserve">وعلى الرغم من انخفاض المصروفات العامة كنسبة من الناتج المحلي الإجمالي من 33.6% نسبة إلى الناتج المحلي الإجمالي في العام المالي 2005/2006 لتصل إلى 29.3% نسبة إلى الناتج المحلي الإجمالي في العام المالي 2010/2011، إلا أن الإيرادات العامة نسبة إلى الناتج المحلي الإجمالي انخفضت بشكل أكبر من </w:t>
      </w:r>
      <w:r w:rsidRPr="00F51EC7">
        <w:rPr>
          <w:rFonts w:ascii="Simplified Arabic" w:hAnsi="Simplified Arabic" w:cs="Simplified Arabic"/>
          <w:sz w:val="28"/>
          <w:szCs w:val="28"/>
          <w:rtl/>
        </w:rPr>
        <w:t>24.5%</w:t>
      </w:r>
      <w:r w:rsidRPr="00F51EC7">
        <w:rPr>
          <w:rFonts w:ascii="Simplified Arabic" w:hAnsi="Simplified Arabic" w:cs="Simplified Arabic"/>
          <w:sz w:val="28"/>
          <w:szCs w:val="28"/>
          <w:rtl/>
          <w:lang w:bidi="ar-EG"/>
        </w:rPr>
        <w:t xml:space="preserve"> نسبة إلى الناتج المحلي الإجمالي عام 2005/2006 لتصل إلى 19.3% من الناتج المحلي الإجمالي عام 2010/2011. </w:t>
      </w:r>
    </w:p>
    <w:p w14:paraId="594EA0A4" w14:textId="77777777" w:rsidR="002959BC" w:rsidRPr="00F51EC7" w:rsidRDefault="002959BC" w:rsidP="002959BC">
      <w:pPr>
        <w:ind w:firstLine="709"/>
        <w:jc w:val="both"/>
        <w:rPr>
          <w:rFonts w:ascii="Simplified Arabic" w:hAnsi="Simplified Arabic" w:cs="Simplified Arabic"/>
          <w:sz w:val="28"/>
          <w:szCs w:val="28"/>
          <w:rtl/>
          <w:lang w:bidi="ar-EG"/>
        </w:rPr>
      </w:pPr>
    </w:p>
    <w:p w14:paraId="38759223" w14:textId="77777777" w:rsidR="002959BC"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sz w:val="28"/>
          <w:szCs w:val="28"/>
          <w:rtl/>
        </w:rPr>
      </w:pPr>
    </w:p>
    <w:p w14:paraId="11742B66" w14:textId="77777777" w:rsidR="002959BC"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sz w:val="28"/>
          <w:szCs w:val="28"/>
          <w:rtl/>
        </w:rPr>
      </w:pPr>
    </w:p>
    <w:p w14:paraId="30B1A400" w14:textId="77777777" w:rsidR="002959BC"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p>
    <w:p w14:paraId="29ED5377"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t>شكل رقم (2-13)</w:t>
      </w:r>
    </w:p>
    <w:p w14:paraId="10A7D04E"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t>التغير النسبي في الإيرادات والمصروفات</w:t>
      </w:r>
    </w:p>
    <w:p w14:paraId="10EEEC2C"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Pr>
        <w:drawing>
          <wp:anchor distT="0" distB="0" distL="114300" distR="114300" simplePos="0" relativeHeight="251689984" behindDoc="1" locked="0" layoutInCell="1" allowOverlap="1" wp14:anchorId="1205084F" wp14:editId="661C76BE">
            <wp:simplePos x="0" y="0"/>
            <wp:positionH relativeFrom="column">
              <wp:posOffset>1731</wp:posOffset>
            </wp:positionH>
            <wp:positionV relativeFrom="paragraph">
              <wp:posOffset>287951</wp:posOffset>
            </wp:positionV>
            <wp:extent cx="5508625" cy="2799715"/>
            <wp:effectExtent l="0" t="0" r="15875" b="635"/>
            <wp:wrapTight wrapText="bothSides">
              <wp:wrapPolygon edited="0">
                <wp:start x="0" y="0"/>
                <wp:lineTo x="0" y="21458"/>
                <wp:lineTo x="21588" y="21458"/>
                <wp:lineTo x="21588" y="0"/>
                <wp:lineTo x="0" y="0"/>
              </wp:wrapPolygon>
            </wp:wrapTight>
            <wp:docPr id="120" name="Chart 120">
              <a:extLst xmlns:a="http://schemas.openxmlformats.org/drawingml/2006/main">
                <a:ext uri="{FF2B5EF4-FFF2-40B4-BE49-F238E27FC236}">
                  <a16:creationId xmlns:a16="http://schemas.microsoft.com/office/drawing/2014/main" id="{13C0B364-6478-463D-8CCB-5B2987F5DF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sidRPr="00D9474F">
        <w:rPr>
          <w:rFonts w:ascii="Simplified Arabic" w:eastAsia="Times New Roman" w:hAnsi="Simplified Arabic" w:cs="Simplified Arabic"/>
          <w:b/>
          <w:bCs/>
          <w:sz w:val="24"/>
          <w:szCs w:val="24"/>
          <w:rtl/>
        </w:rPr>
        <w:t>خلال الفترة (2005/2006 إلى 2010/2011)</w:t>
      </w:r>
    </w:p>
    <w:p w14:paraId="13945A57" w14:textId="77777777" w:rsidR="002959BC" w:rsidRPr="00F51EC7" w:rsidRDefault="002959BC" w:rsidP="002959BC">
      <w:pPr>
        <w:ind w:firstLine="28"/>
        <w:jc w:val="both"/>
        <w:rPr>
          <w:rFonts w:ascii="Simplified Arabic" w:hAnsi="Simplified Arabic" w:cs="Simplified Arabic"/>
          <w:color w:val="000000"/>
          <w:sz w:val="24"/>
          <w:szCs w:val="24"/>
          <w:rtl/>
        </w:rPr>
      </w:pPr>
      <w:r w:rsidRPr="00F51EC7">
        <w:rPr>
          <w:rFonts w:ascii="Simplified Arabic" w:hAnsi="Simplified Arabic" w:cs="Simplified Arabic"/>
          <w:sz w:val="24"/>
          <w:szCs w:val="24"/>
          <w:rtl/>
        </w:rPr>
        <w:t>المصدر: من إعداد الباحث بالاعتماد على بيانات الجدول رقم (4-1) بالملحق.</w:t>
      </w:r>
    </w:p>
    <w:p w14:paraId="3D5A89FB" w14:textId="77777777" w:rsidR="002959BC" w:rsidRPr="00F85A0F" w:rsidRDefault="002959BC" w:rsidP="002959BC">
      <w:pPr>
        <w:ind w:firstLine="453"/>
        <w:jc w:val="both"/>
        <w:rPr>
          <w:rFonts w:ascii="Simplified Arabic" w:hAnsi="Simplified Arabic" w:cs="Simplified Arabic"/>
          <w:sz w:val="2"/>
          <w:szCs w:val="2"/>
          <w:rtl/>
          <w:lang w:bidi="ar-EG"/>
        </w:rPr>
      </w:pPr>
    </w:p>
    <w:p w14:paraId="556C3BDF" w14:textId="77777777" w:rsidR="002959BC" w:rsidRDefault="002959BC" w:rsidP="002959BC">
      <w:pPr>
        <w:ind w:firstLine="453"/>
        <w:jc w:val="both"/>
        <w:rPr>
          <w:rFonts w:ascii="Simplified Arabic" w:hAnsi="Simplified Arabic" w:cs="Simplified Arabic"/>
          <w:sz w:val="28"/>
          <w:szCs w:val="28"/>
          <w:rtl/>
          <w:lang w:bidi="ar-EG"/>
        </w:rPr>
      </w:pPr>
    </w:p>
    <w:p w14:paraId="3441C41C" w14:textId="77777777" w:rsidR="002959BC" w:rsidRDefault="002959BC" w:rsidP="002959BC">
      <w:pPr>
        <w:ind w:firstLine="453"/>
        <w:jc w:val="both"/>
        <w:rPr>
          <w:rFonts w:ascii="Simplified Arabic" w:hAnsi="Simplified Arabic" w:cs="Simplified Arabic"/>
          <w:sz w:val="28"/>
          <w:szCs w:val="28"/>
          <w:rtl/>
          <w:lang w:bidi="ar-EG"/>
        </w:rPr>
      </w:pPr>
      <w:r w:rsidRPr="00F51EC7">
        <w:rPr>
          <w:rFonts w:ascii="Simplified Arabic" w:hAnsi="Simplified Arabic" w:cs="Simplified Arabic"/>
          <w:sz w:val="28"/>
          <w:szCs w:val="28"/>
          <w:rtl/>
          <w:lang w:bidi="ar-EG"/>
        </w:rPr>
        <w:t>ويوضح الشكل رقم (2-13) التغير النسبي للإيرادات والنفقات العامة من عام إلى آخر خلال الفترة من العام المالي 2005/2006 إلى العام المالي 2010/2011، حيث زادت الإيرادات العامة بنسب أكبر من الزيادة في المصروفات العامة خلال الأعوام المالية 2005/2006 و2006/2007 و2008/2009 لتسجل 14.1% و36.4% و19.1% و27.6% بينما سجلت المصروفات خلال تلك السنوات 10.2% و28.6% و6.8% و24.5% على التوالي.</w:t>
      </w:r>
    </w:p>
    <w:p w14:paraId="5A0D47CD" w14:textId="77777777" w:rsidR="002959BC" w:rsidRPr="00F85A0F" w:rsidRDefault="002959BC" w:rsidP="002959BC">
      <w:pPr>
        <w:ind w:firstLine="453"/>
        <w:jc w:val="both"/>
        <w:rPr>
          <w:rFonts w:ascii="Simplified Arabic" w:hAnsi="Simplified Arabic" w:cs="Simplified Arabic"/>
          <w:sz w:val="18"/>
          <w:szCs w:val="18"/>
          <w:rtl/>
          <w:lang w:bidi="ar-EG"/>
        </w:rPr>
      </w:pPr>
    </w:p>
    <w:p w14:paraId="4A887750" w14:textId="77777777" w:rsidR="002959BC" w:rsidRPr="00F51EC7" w:rsidRDefault="002959BC" w:rsidP="002959BC">
      <w:pPr>
        <w:ind w:firstLine="453"/>
        <w:jc w:val="both"/>
        <w:rPr>
          <w:rFonts w:ascii="Simplified Arabic" w:hAnsi="Simplified Arabic" w:cs="Simplified Arabic"/>
          <w:sz w:val="28"/>
          <w:szCs w:val="28"/>
          <w:rtl/>
          <w:lang w:bidi="ar-EG"/>
        </w:rPr>
      </w:pPr>
      <w:r w:rsidRPr="00F51EC7">
        <w:rPr>
          <w:rFonts w:ascii="Simplified Arabic" w:hAnsi="Simplified Arabic" w:cs="Simplified Arabic"/>
          <w:sz w:val="28"/>
          <w:szCs w:val="28"/>
          <w:rtl/>
          <w:lang w:bidi="ar-EG"/>
        </w:rPr>
        <w:t>بينما زادت المصروفات العامة خلال العام المالي 2007/2008 بنسبة 27.1% مقارنة بزيادة قدرها 22.9% للإيرادات العامة في ذات العام، كما زادت المصروفات بنسب تفوق الزيادة في الإيرادات خلال العامين الماليين 2009/2010 و2010/2011 حيث زادت المصروفات خلال هذين العامين بنسب 4.1% و9.8% بينما تراجعت الإيرادات العامة لتشهد نمواً سالباً قدره</w:t>
      </w:r>
      <w:r>
        <w:rPr>
          <w:rFonts w:ascii="Simplified Arabic" w:hAnsi="Simplified Arabic" w:cs="Simplified Arabic"/>
          <w:sz w:val="28"/>
          <w:szCs w:val="28"/>
          <w:lang w:bidi="ar-EG"/>
        </w:rPr>
        <w:t xml:space="preserve"> </w:t>
      </w:r>
      <w:r w:rsidRPr="00F51EC7">
        <w:rPr>
          <w:rFonts w:ascii="Simplified Arabic" w:hAnsi="Simplified Arabic" w:cs="Simplified Arabic"/>
          <w:sz w:val="28"/>
          <w:szCs w:val="28"/>
          <w:rtl/>
          <w:lang w:bidi="ar-EG"/>
        </w:rPr>
        <w:t xml:space="preserve">-5.1% و-1.1% على التوالي نتيجة التأثر بالأزمة المالية العالمية </w:t>
      </w:r>
      <w:r w:rsidRPr="00F51EC7">
        <w:rPr>
          <w:rFonts w:ascii="Simplified Arabic" w:hAnsi="Simplified Arabic" w:cs="Simplified Arabic"/>
          <w:sz w:val="28"/>
          <w:szCs w:val="28"/>
          <w:vertAlign w:val="superscript"/>
          <w:rtl/>
          <w:lang w:bidi="ar-EG"/>
        </w:rPr>
        <w:t>(</w:t>
      </w:r>
      <w:r w:rsidRPr="00F51EC7">
        <w:rPr>
          <w:rFonts w:ascii="Simplified Arabic" w:hAnsi="Simplified Arabic" w:cs="Simplified Arabic"/>
          <w:sz w:val="28"/>
          <w:szCs w:val="28"/>
          <w:vertAlign w:val="superscript"/>
          <w:rtl/>
          <w:lang w:bidi="ar-EG"/>
        </w:rPr>
        <w:footnoteReference w:id="91"/>
      </w:r>
      <w:r w:rsidRPr="00F51EC7">
        <w:rPr>
          <w:rFonts w:ascii="Simplified Arabic" w:hAnsi="Simplified Arabic" w:cs="Simplified Arabic"/>
          <w:sz w:val="28"/>
          <w:szCs w:val="28"/>
          <w:vertAlign w:val="superscript"/>
          <w:rtl/>
          <w:lang w:bidi="ar-EG"/>
        </w:rPr>
        <w:t>)</w:t>
      </w:r>
      <w:r w:rsidRPr="00F51EC7">
        <w:rPr>
          <w:rFonts w:ascii="Simplified Arabic" w:hAnsi="Simplified Arabic" w:cs="Simplified Arabic"/>
          <w:sz w:val="28"/>
          <w:szCs w:val="28"/>
          <w:rtl/>
          <w:lang w:bidi="ar-EG"/>
        </w:rPr>
        <w:t xml:space="preserve"> وكذا التأثر بالأحداث بالمنطقة العربية على الصعيدين السياسي والاقتصادي، وهو ما أدى إلى ارتفاع قيمة عجز الموازنة العامة للدولة مرة أخرى خلال هذين العامين ليصل إلى 8.1% و9.8% من الناتج المحلي الإجمالي على التوالي. </w:t>
      </w:r>
    </w:p>
    <w:p w14:paraId="70560ADB"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lastRenderedPageBreak/>
        <w:t>شكل رقم (2-14)</w:t>
      </w:r>
    </w:p>
    <w:p w14:paraId="2FEB68BF"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t>تطور نسب الإيرادات والمصروفات والعجز الكلي للموازنة العامة</w:t>
      </w:r>
    </w:p>
    <w:p w14:paraId="751E4485"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t>إلى الناتج المحلي الإجمالي</w:t>
      </w:r>
    </w:p>
    <w:p w14:paraId="25379A0E"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t>خلال الفترة (2005/2006 إلى 2010/2011)</w:t>
      </w:r>
    </w:p>
    <w:p w14:paraId="611DC8C0" w14:textId="77777777" w:rsidR="002959BC" w:rsidRPr="00F51EC7" w:rsidRDefault="002959BC" w:rsidP="002959BC">
      <w:pPr>
        <w:ind w:firstLine="28"/>
        <w:jc w:val="both"/>
        <w:rPr>
          <w:rFonts w:ascii="Simplified Arabic" w:hAnsi="Simplified Arabic" w:cs="Simplified Arabic"/>
          <w:sz w:val="28"/>
          <w:szCs w:val="28"/>
          <w:rtl/>
        </w:rPr>
      </w:pPr>
      <w:r w:rsidRPr="00F51EC7">
        <w:rPr>
          <w:rFonts w:ascii="Simplified Arabic" w:hAnsi="Simplified Arabic" w:cs="Simplified Arabic"/>
          <w:sz w:val="28"/>
          <w:szCs w:val="28"/>
        </w:rPr>
        <w:drawing>
          <wp:inline distT="0" distB="0" distL="0" distR="0" wp14:anchorId="6D045221" wp14:editId="59CFA689">
            <wp:extent cx="5508625" cy="2660015"/>
            <wp:effectExtent l="0" t="0" r="15875" b="6985"/>
            <wp:docPr id="121" name="Chart 121">
              <a:extLst xmlns:a="http://schemas.openxmlformats.org/drawingml/2006/main">
                <a:ext uri="{FF2B5EF4-FFF2-40B4-BE49-F238E27FC236}">
                  <a16:creationId xmlns:a16="http://schemas.microsoft.com/office/drawing/2014/main" id="{3BECCECD-05DC-4AEC-8E6A-89CCB56B5B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EAB5A65" w14:textId="77777777" w:rsidR="002959BC" w:rsidRPr="00F51EC7" w:rsidRDefault="002959BC" w:rsidP="002959BC">
      <w:pPr>
        <w:ind w:firstLine="28"/>
        <w:jc w:val="both"/>
        <w:rPr>
          <w:rFonts w:ascii="Simplified Arabic" w:hAnsi="Simplified Arabic" w:cs="Simplified Arabic"/>
          <w:color w:val="000000"/>
          <w:sz w:val="24"/>
          <w:szCs w:val="24"/>
          <w:rtl/>
        </w:rPr>
      </w:pPr>
      <w:r w:rsidRPr="00F51EC7">
        <w:rPr>
          <w:rFonts w:ascii="Simplified Arabic" w:hAnsi="Simplified Arabic" w:cs="Simplified Arabic"/>
          <w:sz w:val="24"/>
          <w:szCs w:val="24"/>
          <w:rtl/>
        </w:rPr>
        <w:t>المصدر: من إعداد الباحث بالاعتماد على بيانات الجدول رقم (4-1) بالملحق.</w:t>
      </w:r>
    </w:p>
    <w:p w14:paraId="1EB7BD12" w14:textId="77777777" w:rsidR="002959BC" w:rsidRPr="00F51EC7" w:rsidRDefault="002959BC" w:rsidP="002959BC">
      <w:pPr>
        <w:jc w:val="both"/>
        <w:rPr>
          <w:rFonts w:ascii="Simplified Arabic" w:hAnsi="Simplified Arabic" w:cs="Simplified Arabic"/>
          <w:color w:val="000000"/>
          <w:sz w:val="28"/>
          <w:szCs w:val="28"/>
          <w:rtl/>
        </w:rPr>
      </w:pPr>
    </w:p>
    <w:p w14:paraId="09DD0FFE" w14:textId="77777777" w:rsidR="002959BC" w:rsidRDefault="002959BC" w:rsidP="002959BC">
      <w:pPr>
        <w:ind w:firstLine="453"/>
        <w:jc w:val="both"/>
        <w:rPr>
          <w:rFonts w:ascii="Simplified Arabic" w:hAnsi="Simplified Arabic" w:cs="Simplified Arabic"/>
          <w:sz w:val="28"/>
          <w:szCs w:val="28"/>
          <w:rtl/>
          <w:lang w:bidi="ar-EG"/>
        </w:rPr>
      </w:pPr>
      <w:r w:rsidRPr="00F51EC7">
        <w:rPr>
          <w:rFonts w:ascii="Simplified Arabic" w:hAnsi="Simplified Arabic" w:cs="Simplified Arabic"/>
          <w:sz w:val="28"/>
          <w:szCs w:val="28"/>
          <w:rtl/>
          <w:lang w:bidi="ar-EG"/>
        </w:rPr>
        <w:t xml:space="preserve">ويلاحظ من الشكل رقم (2-14) الانخفاض المستمر في نسب الإيرادات والمصروفات إلى الناتج المحلي الإجمالي حيث تراجعت الإيرادات من 24.5% نسبة إلى الناتج المحلي الإجمالي خلال العام المالي 2005/2006 حتى بلغت 19.3% نسبة إلى الناتج المحلي الإجمالي خلال العام المالي 2010/2011 وبالمثل كان هناك انخفاض نسب المصروفات العامة إلى الناتج المحلي الإجمالي حيث سجلت خلال العام المالي 2005/2006 نسبة 33.6% من الناتج المحلي الإجمالي ثم انخفضت إلى 29.3% من الناتج المحلي الإجمالي خلال العام المالي 2010/2011. </w:t>
      </w:r>
    </w:p>
    <w:p w14:paraId="00BB3C73" w14:textId="77777777" w:rsidR="002959BC" w:rsidRDefault="002959BC" w:rsidP="002959BC">
      <w:pPr>
        <w:ind w:firstLine="453"/>
        <w:jc w:val="both"/>
        <w:rPr>
          <w:rFonts w:ascii="Simplified Arabic" w:hAnsi="Simplified Arabic" w:cs="Simplified Arabic"/>
          <w:sz w:val="28"/>
          <w:szCs w:val="28"/>
          <w:rtl/>
          <w:lang w:bidi="ar-EG"/>
        </w:rPr>
      </w:pPr>
    </w:p>
    <w:p w14:paraId="2A0AAB98" w14:textId="77777777" w:rsidR="002959BC" w:rsidRDefault="002959BC" w:rsidP="002959BC">
      <w:pPr>
        <w:ind w:firstLine="453"/>
        <w:jc w:val="both"/>
        <w:rPr>
          <w:rFonts w:ascii="Simplified Arabic" w:hAnsi="Simplified Arabic" w:cs="Simplified Arabic"/>
          <w:sz w:val="28"/>
          <w:szCs w:val="28"/>
          <w:rtl/>
          <w:lang w:bidi="ar-EG"/>
        </w:rPr>
      </w:pPr>
    </w:p>
    <w:p w14:paraId="7665B950" w14:textId="77777777" w:rsidR="002959BC" w:rsidRDefault="002959BC" w:rsidP="002959BC">
      <w:pPr>
        <w:ind w:firstLine="453"/>
        <w:jc w:val="both"/>
        <w:rPr>
          <w:rFonts w:ascii="Simplified Arabic" w:hAnsi="Simplified Arabic" w:cs="Simplified Arabic"/>
          <w:sz w:val="28"/>
          <w:szCs w:val="28"/>
          <w:rtl/>
          <w:lang w:bidi="ar-EG"/>
        </w:rPr>
      </w:pPr>
    </w:p>
    <w:p w14:paraId="37832843" w14:textId="77777777" w:rsidR="002959BC" w:rsidRDefault="002959BC" w:rsidP="002959BC">
      <w:pPr>
        <w:ind w:firstLine="453"/>
        <w:jc w:val="both"/>
        <w:rPr>
          <w:rFonts w:ascii="Simplified Arabic" w:hAnsi="Simplified Arabic" w:cs="Simplified Arabic"/>
          <w:sz w:val="28"/>
          <w:szCs w:val="28"/>
          <w:rtl/>
          <w:lang w:bidi="ar-EG"/>
        </w:rPr>
      </w:pPr>
    </w:p>
    <w:p w14:paraId="3DAC6DAE" w14:textId="77777777" w:rsidR="002959BC" w:rsidRDefault="002959BC" w:rsidP="002959BC">
      <w:pPr>
        <w:ind w:firstLine="453"/>
        <w:jc w:val="both"/>
        <w:rPr>
          <w:rFonts w:ascii="Simplified Arabic" w:hAnsi="Simplified Arabic" w:cs="Simplified Arabic"/>
          <w:sz w:val="28"/>
          <w:szCs w:val="28"/>
          <w:rtl/>
          <w:lang w:bidi="ar-EG"/>
        </w:rPr>
      </w:pPr>
    </w:p>
    <w:p w14:paraId="1AF86FCD" w14:textId="77777777" w:rsidR="002959BC" w:rsidRDefault="002959BC" w:rsidP="002959BC">
      <w:pPr>
        <w:ind w:firstLine="453"/>
        <w:jc w:val="both"/>
        <w:rPr>
          <w:rFonts w:ascii="Simplified Arabic" w:hAnsi="Simplified Arabic" w:cs="Simplified Arabic"/>
          <w:sz w:val="28"/>
          <w:szCs w:val="28"/>
          <w:rtl/>
          <w:lang w:bidi="ar-EG"/>
        </w:rPr>
      </w:pPr>
    </w:p>
    <w:p w14:paraId="47E5B8CE" w14:textId="77777777" w:rsidR="002959BC" w:rsidRDefault="002959BC" w:rsidP="002959BC">
      <w:pPr>
        <w:ind w:firstLine="453"/>
        <w:jc w:val="both"/>
        <w:rPr>
          <w:rFonts w:ascii="Simplified Arabic" w:hAnsi="Simplified Arabic" w:cs="Simplified Arabic"/>
          <w:sz w:val="28"/>
          <w:szCs w:val="28"/>
          <w:rtl/>
          <w:lang w:bidi="ar-EG"/>
        </w:rPr>
      </w:pPr>
    </w:p>
    <w:p w14:paraId="52EF8C8E" w14:textId="77777777" w:rsidR="002959BC" w:rsidRDefault="002959BC" w:rsidP="002959BC">
      <w:pPr>
        <w:ind w:firstLine="453"/>
        <w:jc w:val="both"/>
        <w:rPr>
          <w:rFonts w:ascii="Simplified Arabic" w:hAnsi="Simplified Arabic" w:cs="Simplified Arabic"/>
          <w:sz w:val="28"/>
          <w:szCs w:val="28"/>
          <w:rtl/>
          <w:lang w:bidi="ar-EG"/>
        </w:rPr>
      </w:pPr>
    </w:p>
    <w:p w14:paraId="4AEFF5A2" w14:textId="77777777" w:rsidR="002959BC" w:rsidRDefault="002959BC" w:rsidP="002959BC">
      <w:pPr>
        <w:ind w:firstLine="453"/>
        <w:jc w:val="both"/>
        <w:rPr>
          <w:rFonts w:ascii="Simplified Arabic" w:hAnsi="Simplified Arabic" w:cs="Simplified Arabic"/>
          <w:sz w:val="28"/>
          <w:szCs w:val="28"/>
          <w:rtl/>
          <w:lang w:bidi="ar-EG"/>
        </w:rPr>
      </w:pPr>
    </w:p>
    <w:p w14:paraId="72AF1DB7" w14:textId="77777777" w:rsidR="002959BC" w:rsidRDefault="002959BC" w:rsidP="002959BC">
      <w:pPr>
        <w:ind w:firstLine="453"/>
        <w:jc w:val="both"/>
        <w:rPr>
          <w:rFonts w:ascii="Simplified Arabic" w:hAnsi="Simplified Arabic" w:cs="Simplified Arabic"/>
          <w:sz w:val="28"/>
          <w:szCs w:val="28"/>
          <w:rtl/>
          <w:lang w:bidi="ar-EG"/>
        </w:rPr>
      </w:pPr>
    </w:p>
    <w:p w14:paraId="4313FBD4" w14:textId="77777777" w:rsidR="002959BC" w:rsidRPr="00F51EC7" w:rsidRDefault="002959BC" w:rsidP="002959BC">
      <w:pPr>
        <w:ind w:left="542" w:hanging="514"/>
        <w:jc w:val="both"/>
        <w:rPr>
          <w:rFonts w:ascii="Simplified Arabic" w:hAnsi="Simplified Arabic" w:cs="Simplified Arabic"/>
          <w:b/>
          <w:bCs/>
          <w:sz w:val="28"/>
          <w:szCs w:val="28"/>
          <w:u w:val="single"/>
          <w:lang w:bidi="ar-EG"/>
        </w:rPr>
      </w:pPr>
      <w:r w:rsidRPr="00F51EC7">
        <w:rPr>
          <w:rFonts w:ascii="Simplified Arabic" w:hAnsi="Simplified Arabic" w:cs="Simplified Arabic"/>
          <w:b/>
          <w:bCs/>
          <w:sz w:val="28"/>
          <w:szCs w:val="28"/>
          <w:u w:val="single"/>
          <w:rtl/>
          <w:lang w:bidi="ar-EG"/>
        </w:rPr>
        <w:lastRenderedPageBreak/>
        <w:t>2-</w:t>
      </w:r>
      <w:r w:rsidRPr="00F51EC7">
        <w:rPr>
          <w:rFonts w:ascii="Simplified Arabic" w:hAnsi="Simplified Arabic" w:cs="Simplified Arabic"/>
          <w:b/>
          <w:bCs/>
          <w:sz w:val="28"/>
          <w:szCs w:val="28"/>
          <w:rtl/>
          <w:lang w:bidi="ar-EG"/>
        </w:rPr>
        <w:t xml:space="preserve"> </w:t>
      </w:r>
      <w:r w:rsidRPr="00F51EC7">
        <w:rPr>
          <w:rFonts w:ascii="Simplified Arabic" w:hAnsi="Simplified Arabic" w:cs="Simplified Arabic"/>
          <w:b/>
          <w:bCs/>
          <w:sz w:val="28"/>
          <w:szCs w:val="28"/>
          <w:u w:val="single"/>
          <w:rtl/>
          <w:lang w:bidi="ar-EG"/>
        </w:rPr>
        <w:t>تحليل آليات تمويل عجز الموازنة العامة للدولة خلال الفترة من العام المالي 1998/1999 إلى العام المالي 2010/2011:</w:t>
      </w:r>
    </w:p>
    <w:p w14:paraId="70B0C1B7"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t>شكل رقم (2-15)</w:t>
      </w:r>
    </w:p>
    <w:p w14:paraId="4804712E"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Pr>
      </w:pPr>
      <w:r w:rsidRPr="00D9474F">
        <w:rPr>
          <w:rFonts w:ascii="Simplified Arabic" w:eastAsia="Times New Roman" w:hAnsi="Simplified Arabic" w:cs="Simplified Arabic"/>
          <w:b/>
          <w:bCs/>
          <w:sz w:val="24"/>
          <w:szCs w:val="24"/>
          <w:rtl/>
        </w:rPr>
        <w:t>تطور التمويل الخارجي لعجز الموازنة العامة للدولة</w:t>
      </w:r>
    </w:p>
    <w:p w14:paraId="6D76DA88"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t>خلال الفترة (1998/1999 إلى 2010/2011)</w:t>
      </w:r>
    </w:p>
    <w:p w14:paraId="03AA9809" w14:textId="77777777" w:rsidR="002959BC" w:rsidRPr="00D9474F" w:rsidRDefault="002959BC" w:rsidP="002959BC">
      <w:pPr>
        <w:pStyle w:val="ListParagraph"/>
        <w:spacing w:after="0" w:line="240" w:lineRule="auto"/>
        <w:ind w:left="1083" w:hanging="1174"/>
        <w:contextualSpacing w:val="0"/>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t>(بالمليون جنيه)</w:t>
      </w:r>
    </w:p>
    <w:p w14:paraId="429731DD" w14:textId="77777777" w:rsidR="002959BC" w:rsidRPr="008F184A" w:rsidRDefault="002959BC" w:rsidP="002959BC">
      <w:pPr>
        <w:jc w:val="both"/>
        <w:rPr>
          <w:rFonts w:ascii="Simplified Arabic" w:hAnsi="Simplified Arabic" w:cs="Simplified Arabic"/>
          <w:color w:val="000000"/>
          <w:sz w:val="14"/>
          <w:szCs w:val="14"/>
          <w:rtl/>
        </w:rPr>
      </w:pPr>
    </w:p>
    <w:p w14:paraId="3D60C5A6" w14:textId="77777777" w:rsidR="002959BC" w:rsidRPr="00F51EC7" w:rsidRDefault="002959BC" w:rsidP="002959BC">
      <w:pPr>
        <w:jc w:val="both"/>
        <w:rPr>
          <w:rFonts w:ascii="Simplified Arabic" w:hAnsi="Simplified Arabic" w:cs="Simplified Arabic"/>
          <w:color w:val="000000"/>
          <w:sz w:val="24"/>
          <w:szCs w:val="24"/>
          <w:rtl/>
        </w:rPr>
      </w:pPr>
      <w:r w:rsidRPr="00F51EC7">
        <w:rPr>
          <w:rFonts w:ascii="Simplified Arabic" w:hAnsi="Simplified Arabic" w:cs="Simplified Arabic"/>
          <w:sz w:val="24"/>
          <w:szCs w:val="24"/>
        </w:rPr>
        <w:drawing>
          <wp:anchor distT="0" distB="0" distL="114300" distR="114300" simplePos="0" relativeHeight="251688960" behindDoc="1" locked="0" layoutInCell="1" allowOverlap="1" wp14:anchorId="0E34BB00" wp14:editId="17F6B1B0">
            <wp:simplePos x="0" y="0"/>
            <wp:positionH relativeFrom="margin">
              <wp:align>center</wp:align>
            </wp:positionH>
            <wp:positionV relativeFrom="paragraph">
              <wp:posOffset>-5715</wp:posOffset>
            </wp:positionV>
            <wp:extent cx="5507990" cy="3239770"/>
            <wp:effectExtent l="0" t="0" r="16510" b="17780"/>
            <wp:wrapTight wrapText="bothSides">
              <wp:wrapPolygon edited="0">
                <wp:start x="0" y="0"/>
                <wp:lineTo x="0" y="21592"/>
                <wp:lineTo x="21590" y="21592"/>
                <wp:lineTo x="21590" y="0"/>
                <wp:lineTo x="0" y="0"/>
              </wp:wrapPolygon>
            </wp:wrapTight>
            <wp:docPr id="122" name="Chart 122">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Pr="00F51EC7">
        <w:rPr>
          <w:rFonts w:ascii="Simplified Arabic" w:hAnsi="Simplified Arabic" w:cs="Simplified Arabic"/>
          <w:sz w:val="24"/>
          <w:szCs w:val="24"/>
          <w:rtl/>
        </w:rPr>
        <w:t>المصدر: من إعداد الباحث بالاعتماد على بيانات الجدول رقم (4-2) بالملحق.</w:t>
      </w:r>
    </w:p>
    <w:p w14:paraId="448B4D64" w14:textId="77777777" w:rsidR="002959BC" w:rsidRPr="00F51EC7" w:rsidRDefault="002959BC" w:rsidP="002959BC">
      <w:pPr>
        <w:ind w:firstLine="453"/>
        <w:jc w:val="both"/>
        <w:rPr>
          <w:rFonts w:ascii="Simplified Arabic" w:hAnsi="Simplified Arabic" w:cs="Simplified Arabic"/>
          <w:sz w:val="28"/>
          <w:szCs w:val="28"/>
          <w:rtl/>
          <w:lang w:bidi="ar-EG"/>
        </w:rPr>
      </w:pPr>
    </w:p>
    <w:p w14:paraId="2F24D83C" w14:textId="77777777" w:rsidR="002959BC" w:rsidRDefault="002959BC" w:rsidP="002959BC">
      <w:pPr>
        <w:ind w:firstLine="453"/>
        <w:jc w:val="both"/>
        <w:rPr>
          <w:rFonts w:ascii="Simplified Arabic" w:hAnsi="Simplified Arabic" w:cs="Simplified Arabic"/>
          <w:sz w:val="28"/>
          <w:szCs w:val="28"/>
          <w:rtl/>
          <w:lang w:bidi="ar-EG"/>
        </w:rPr>
      </w:pPr>
      <w:r w:rsidRPr="00F51EC7">
        <w:rPr>
          <w:rFonts w:ascii="Simplified Arabic" w:hAnsi="Simplified Arabic" w:cs="Simplified Arabic"/>
          <w:sz w:val="28"/>
          <w:szCs w:val="28"/>
          <w:rtl/>
          <w:lang w:bidi="ar-EG"/>
        </w:rPr>
        <w:t>ويوضح الشكل رقم (2-15) التمويل الخارجي لعجز الموازنة العامة للدولة خلال الفترة من العام المالي 1998/1999 وحتى العام المالي 201</w:t>
      </w:r>
      <w:r>
        <w:rPr>
          <w:rFonts w:ascii="Simplified Arabic" w:hAnsi="Simplified Arabic" w:cs="Simplified Arabic"/>
          <w:sz w:val="28"/>
          <w:szCs w:val="28"/>
          <w:rtl/>
          <w:lang w:bidi="ar-EG"/>
        </w:rPr>
        <w:t>0/2011 ونسبته إلى إجمالي التموي</w:t>
      </w:r>
      <w:r>
        <w:rPr>
          <w:rFonts w:ascii="Simplified Arabic" w:hAnsi="Simplified Arabic" w:cs="Simplified Arabic" w:hint="cs"/>
          <w:sz w:val="28"/>
          <w:szCs w:val="28"/>
          <w:rtl/>
          <w:lang w:bidi="ar-EG"/>
        </w:rPr>
        <w:t>ل،</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حيث ظل </w:t>
      </w:r>
      <w:r w:rsidRPr="00F51EC7">
        <w:rPr>
          <w:rFonts w:ascii="Simplified Arabic" w:hAnsi="Simplified Arabic" w:cs="Simplified Arabic"/>
          <w:sz w:val="28"/>
          <w:szCs w:val="28"/>
          <w:rtl/>
          <w:lang w:bidi="ar-EG"/>
        </w:rPr>
        <w:t>التمويل الخارجي في مستوى متقارب خلال الثلاث سنوات الأولى من العام المالي 1998/1999 وحتى العام المالي 2000/2001 حيث ظل يتراوح بين</w:t>
      </w:r>
      <w:r>
        <w:rPr>
          <w:rFonts w:ascii="Simplified Arabic" w:hAnsi="Simplified Arabic" w:cs="Simplified Arabic" w:hint="cs"/>
          <w:sz w:val="28"/>
          <w:szCs w:val="28"/>
          <w:rtl/>
          <w:lang w:bidi="ar-EG"/>
        </w:rPr>
        <w:t xml:space="preserve"> </w:t>
      </w:r>
      <w:r w:rsidRPr="00F51EC7">
        <w:rPr>
          <w:rFonts w:ascii="Simplified Arabic" w:hAnsi="Simplified Arabic" w:cs="Simplified Arabic"/>
          <w:sz w:val="28"/>
          <w:szCs w:val="28"/>
          <w:rtl/>
          <w:lang w:bidi="ar-EG"/>
        </w:rPr>
        <w:t xml:space="preserve">-2001 مليون جنيه و-1487 مليون جنيه و-1946 مليون جنيه على التوالي بنسب -24% و-10% و-7% من إجمالي التمويل على التوالي. </w:t>
      </w:r>
    </w:p>
    <w:p w14:paraId="338846A5" w14:textId="77777777" w:rsidR="002959BC" w:rsidRPr="00F51EC7" w:rsidRDefault="002959BC" w:rsidP="002959BC">
      <w:pPr>
        <w:ind w:firstLine="453"/>
        <w:jc w:val="both"/>
        <w:rPr>
          <w:rFonts w:ascii="Simplified Arabic" w:hAnsi="Simplified Arabic" w:cs="Simplified Arabic"/>
          <w:sz w:val="28"/>
          <w:szCs w:val="28"/>
          <w:rtl/>
          <w:lang w:bidi="ar-EG"/>
        </w:rPr>
      </w:pPr>
    </w:p>
    <w:p w14:paraId="0E0B0169" w14:textId="77777777" w:rsidR="002959BC" w:rsidRDefault="002959BC" w:rsidP="002959BC">
      <w:pPr>
        <w:ind w:firstLine="453"/>
        <w:jc w:val="both"/>
        <w:rPr>
          <w:rFonts w:ascii="Simplified Arabic" w:hAnsi="Simplified Arabic" w:cs="Simplified Arabic"/>
          <w:sz w:val="28"/>
          <w:szCs w:val="28"/>
          <w:rtl/>
        </w:rPr>
      </w:pPr>
      <w:r w:rsidRPr="00F51EC7">
        <w:rPr>
          <w:rFonts w:ascii="Simplified Arabic" w:hAnsi="Simplified Arabic" w:cs="Simplified Arabic"/>
          <w:sz w:val="28"/>
          <w:szCs w:val="28"/>
          <w:rtl/>
          <w:lang w:bidi="ar-EG"/>
        </w:rPr>
        <w:t xml:space="preserve">إلا أن التمويل الخارجي شهد ارتفاعاً للمرة الأولى خلال العام المالي 2001/2002 ليسجل مبلغ </w:t>
      </w:r>
      <w:r w:rsidRPr="00F51EC7">
        <w:rPr>
          <w:rFonts w:ascii="Simplified Arabic" w:hAnsi="Simplified Arabic" w:cs="Simplified Arabic"/>
          <w:sz w:val="28"/>
          <w:szCs w:val="28"/>
          <w:rtl/>
        </w:rPr>
        <w:t>6527</w:t>
      </w:r>
      <w:r w:rsidRPr="00F51EC7">
        <w:rPr>
          <w:rFonts w:ascii="Simplified Arabic" w:hAnsi="Simplified Arabic" w:cs="Simplified Arabic"/>
          <w:sz w:val="28"/>
          <w:szCs w:val="28"/>
          <w:rtl/>
          <w:lang w:bidi="ar-EG"/>
        </w:rPr>
        <w:t xml:space="preserve"> مليون جنيه (18% من إجمالي التمويل) ثم اتجه إلى الانخفاض بشكل كبير حتى وصل في العام المالي 2005/2006 لمبلغ -4243 (-7% من إجمالي التمويل) ثم عاود الاتجاه للارتفاع بشكل متواصل حتى وصل في العام المالي 2007/2008 </w:t>
      </w:r>
      <w:r w:rsidRPr="00F51EC7">
        <w:rPr>
          <w:rFonts w:ascii="Simplified Arabic" w:hAnsi="Simplified Arabic" w:cs="Simplified Arabic"/>
          <w:sz w:val="28"/>
          <w:szCs w:val="28"/>
          <w:rtl/>
        </w:rPr>
        <w:t>لمبلغ 11439 مليون جنيه (96% من إجمالي التمويل) ثم انخفض بشكل كبير خلال العام المالي التالي 2008/2009 ليسجل مبلغ</w:t>
      </w:r>
      <w:r w:rsidRPr="00F51EC7">
        <w:rPr>
          <w:rFonts w:ascii="Simplified Arabic" w:hAnsi="Simplified Arabic" w:cs="Simplified Arabic"/>
          <w:sz w:val="28"/>
          <w:szCs w:val="28"/>
          <w:rtl/>
        </w:rPr>
        <w:br/>
        <w:t xml:space="preserve">-1812 مليون جنيه (-2% من إجمالي التمويل) ولكنه عاود الارتفاع خلال العاميين الماليين التاليين حتى </w:t>
      </w:r>
      <w:r w:rsidRPr="00F51EC7">
        <w:rPr>
          <w:rFonts w:ascii="Simplified Arabic" w:hAnsi="Simplified Arabic" w:cs="Simplified Arabic"/>
          <w:sz w:val="28"/>
          <w:szCs w:val="28"/>
          <w:rtl/>
        </w:rPr>
        <w:lastRenderedPageBreak/>
        <w:t>وصل في نهاية الفترة خلال العام المالي 2010/2011 لمبلغ 5022 مليون جنيه (3% من إجمالي التمويل)</w:t>
      </w:r>
      <w:r>
        <w:rPr>
          <w:rFonts w:ascii="Simplified Arabic" w:hAnsi="Simplified Arabic" w:cs="Simplified Arabic" w:hint="cs"/>
          <w:sz w:val="28"/>
          <w:szCs w:val="28"/>
          <w:rtl/>
        </w:rPr>
        <w:t xml:space="preserve"> </w:t>
      </w:r>
      <w:r w:rsidRPr="00F51EC7">
        <w:rPr>
          <w:rFonts w:ascii="Simplified Arabic" w:hAnsi="Simplified Arabic" w:cs="Simplified Arabic"/>
          <w:sz w:val="28"/>
          <w:szCs w:val="28"/>
          <w:rtl/>
        </w:rPr>
        <w:t>وهو ما أدى إلى زيادة طفيفة في الدين الخارجي ليصل في يونيو 2011 لمبلغ 34.9 مليار دولار (15.2% نسبة إلى الناتج المحلي الإجمالي)</w:t>
      </w:r>
      <w:r w:rsidRPr="00F51EC7">
        <w:rPr>
          <w:rFonts w:ascii="Simplified Arabic" w:hAnsi="Simplified Arabic" w:cs="Simplified Arabic"/>
          <w:sz w:val="28"/>
          <w:szCs w:val="28"/>
          <w:vertAlign w:val="superscript"/>
          <w:rtl/>
          <w:lang w:bidi="ar-EG"/>
        </w:rPr>
        <w:t xml:space="preserve"> (</w:t>
      </w:r>
      <w:r w:rsidRPr="00F51EC7">
        <w:rPr>
          <w:rFonts w:ascii="Simplified Arabic" w:hAnsi="Simplified Arabic" w:cs="Simplified Arabic"/>
          <w:sz w:val="28"/>
          <w:szCs w:val="28"/>
          <w:vertAlign w:val="superscript"/>
          <w:rtl/>
          <w:lang w:bidi="ar-EG"/>
        </w:rPr>
        <w:footnoteReference w:id="92"/>
      </w:r>
      <w:r w:rsidRPr="00F51EC7">
        <w:rPr>
          <w:rFonts w:ascii="Simplified Arabic" w:hAnsi="Simplified Arabic" w:cs="Simplified Arabic"/>
          <w:sz w:val="28"/>
          <w:szCs w:val="28"/>
          <w:vertAlign w:val="superscript"/>
          <w:rtl/>
          <w:lang w:bidi="ar-EG"/>
        </w:rPr>
        <w:t>)</w:t>
      </w:r>
      <w:r w:rsidRPr="00F51EC7">
        <w:rPr>
          <w:rFonts w:ascii="Simplified Arabic" w:hAnsi="Simplified Arabic" w:cs="Simplified Arabic"/>
          <w:sz w:val="28"/>
          <w:szCs w:val="28"/>
          <w:rtl/>
        </w:rPr>
        <w:t>.</w:t>
      </w:r>
    </w:p>
    <w:p w14:paraId="5741C7F9" w14:textId="77777777" w:rsidR="002959BC" w:rsidRPr="00F51EC7" w:rsidRDefault="002959BC" w:rsidP="002959BC">
      <w:pPr>
        <w:ind w:firstLine="453"/>
        <w:jc w:val="both"/>
        <w:rPr>
          <w:rFonts w:ascii="Simplified Arabic" w:hAnsi="Simplified Arabic" w:cs="Simplified Arabic"/>
          <w:sz w:val="28"/>
          <w:szCs w:val="28"/>
          <w:rtl/>
        </w:rPr>
      </w:pPr>
    </w:p>
    <w:p w14:paraId="11A18974"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t>شكل رقم (2-16)</w:t>
      </w:r>
    </w:p>
    <w:p w14:paraId="7D22F37D"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Pr>
      </w:pPr>
      <w:r w:rsidRPr="00D9474F">
        <w:rPr>
          <w:rFonts w:ascii="Simplified Arabic" w:eastAsia="Times New Roman" w:hAnsi="Simplified Arabic" w:cs="Simplified Arabic"/>
          <w:b/>
          <w:bCs/>
          <w:sz w:val="24"/>
          <w:szCs w:val="24"/>
          <w:rtl/>
        </w:rPr>
        <w:t>تطور التمويل المحلي (المصرفي وغير المصرفي) لعجز الموازنة العامة للدولة</w:t>
      </w:r>
    </w:p>
    <w:p w14:paraId="40E40622" w14:textId="77777777" w:rsidR="002959BC"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t>خلال الفترة (1998/1999 إلى 2010/2011)</w:t>
      </w:r>
    </w:p>
    <w:p w14:paraId="06CC2CC8" w14:textId="77777777" w:rsidR="002959BC" w:rsidRPr="00D9474F" w:rsidRDefault="002959BC" w:rsidP="002959BC">
      <w:pPr>
        <w:pStyle w:val="ListParagraph"/>
        <w:spacing w:after="0" w:line="240" w:lineRule="auto"/>
        <w:ind w:left="1083" w:hanging="1174"/>
        <w:contextualSpacing w:val="0"/>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t>(بالمليون جنيه)</w:t>
      </w:r>
    </w:p>
    <w:p w14:paraId="61DEB3BE" w14:textId="77777777" w:rsidR="002959BC" w:rsidRPr="008F184A" w:rsidRDefault="002959BC" w:rsidP="002959BC">
      <w:pPr>
        <w:jc w:val="both"/>
        <w:rPr>
          <w:rFonts w:ascii="Simplified Arabic" w:hAnsi="Simplified Arabic" w:cs="Simplified Arabic"/>
          <w:color w:val="000000"/>
          <w:sz w:val="10"/>
          <w:szCs w:val="10"/>
          <w:rtl/>
        </w:rPr>
      </w:pPr>
    </w:p>
    <w:p w14:paraId="37A27DFB" w14:textId="77777777" w:rsidR="002959BC" w:rsidRPr="00F51EC7" w:rsidRDefault="002959BC" w:rsidP="002959BC">
      <w:pPr>
        <w:ind w:firstLine="28"/>
        <w:jc w:val="both"/>
        <w:rPr>
          <w:rFonts w:ascii="Simplified Arabic" w:hAnsi="Simplified Arabic" w:cs="Simplified Arabic"/>
          <w:color w:val="000000"/>
          <w:sz w:val="24"/>
          <w:szCs w:val="24"/>
          <w:rtl/>
        </w:rPr>
      </w:pPr>
      <w:r w:rsidRPr="00F51EC7">
        <w:rPr>
          <w:rFonts w:ascii="Simplified Arabic" w:hAnsi="Simplified Arabic" w:cs="Simplified Arabic"/>
          <w:sz w:val="24"/>
          <w:szCs w:val="24"/>
        </w:rPr>
        <w:drawing>
          <wp:anchor distT="0" distB="0" distL="114300" distR="114300" simplePos="0" relativeHeight="251691008" behindDoc="1" locked="0" layoutInCell="1" allowOverlap="1" wp14:anchorId="6E0B79BD" wp14:editId="494A2878">
            <wp:simplePos x="0" y="0"/>
            <wp:positionH relativeFrom="margin">
              <wp:align>center</wp:align>
            </wp:positionH>
            <wp:positionV relativeFrom="paragraph">
              <wp:posOffset>-1270</wp:posOffset>
            </wp:positionV>
            <wp:extent cx="5507990" cy="3239770"/>
            <wp:effectExtent l="0" t="0" r="16510" b="17780"/>
            <wp:wrapTight wrapText="bothSides">
              <wp:wrapPolygon edited="0">
                <wp:start x="0" y="0"/>
                <wp:lineTo x="0" y="21592"/>
                <wp:lineTo x="21590" y="21592"/>
                <wp:lineTo x="21590" y="0"/>
                <wp:lineTo x="0" y="0"/>
              </wp:wrapPolygon>
            </wp:wrapTight>
            <wp:docPr id="123" name="Chart 123">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r w:rsidRPr="00F51EC7">
        <w:rPr>
          <w:rFonts w:ascii="Simplified Arabic" w:hAnsi="Simplified Arabic" w:cs="Simplified Arabic"/>
          <w:sz w:val="24"/>
          <w:szCs w:val="24"/>
          <w:rtl/>
        </w:rPr>
        <w:t>المصدر: من إعداد الباحث بالاعتماد على بيانات الجدول رقم (4-3) بالملحق.</w:t>
      </w:r>
    </w:p>
    <w:p w14:paraId="6FC7C69F" w14:textId="77777777" w:rsidR="002959BC" w:rsidRDefault="002959BC" w:rsidP="002959BC">
      <w:pPr>
        <w:ind w:firstLine="454"/>
        <w:jc w:val="both"/>
        <w:rPr>
          <w:rFonts w:ascii="Simplified Arabic" w:hAnsi="Simplified Arabic" w:cs="Simplified Arabic"/>
          <w:sz w:val="28"/>
          <w:szCs w:val="28"/>
          <w:rtl/>
          <w:lang w:bidi="ar-EG"/>
        </w:rPr>
      </w:pPr>
    </w:p>
    <w:p w14:paraId="5E1BA3B1" w14:textId="77777777" w:rsidR="002959BC" w:rsidRDefault="002959BC" w:rsidP="002959BC">
      <w:pPr>
        <w:ind w:firstLine="454"/>
        <w:jc w:val="both"/>
        <w:rPr>
          <w:rFonts w:ascii="Simplified Arabic" w:hAnsi="Simplified Arabic" w:cs="Simplified Arabic"/>
          <w:sz w:val="28"/>
          <w:szCs w:val="28"/>
          <w:rtl/>
        </w:rPr>
      </w:pPr>
      <w:r w:rsidRPr="00F51EC7">
        <w:rPr>
          <w:rFonts w:ascii="Simplified Arabic" w:hAnsi="Simplified Arabic" w:cs="Simplified Arabic"/>
          <w:sz w:val="28"/>
          <w:szCs w:val="28"/>
          <w:rtl/>
          <w:lang w:bidi="ar-EG"/>
        </w:rPr>
        <w:t xml:space="preserve">ويتضح من الشكل رقم (2-16) ارتفاع كل من التمويل المحلي المصرفي والتمويل المحلي غير المصرفي خلال الفترة من العام المالي 1998/1999 وحتى العام المالي 2010/2011 ولكن بمعدلات مختلفة من عام إلى آخر، حيث نجد أنه في بعض السنوات يتم الاعتماد على التمويل المحلي المصرفي بينما في سنوات أخرى يتم اللجوء إلى التمويل المحلي غير المصرفي فخلال العامين الماليين 1998/1999 و1999/2000 كان التمويل المحلي (المصرفي وغير المصرفي) في أدنى مستوياته خلال تلك الفترة حيث سجل مبلغ </w:t>
      </w:r>
      <w:r w:rsidRPr="00F51EC7">
        <w:rPr>
          <w:rFonts w:ascii="Simplified Arabic" w:hAnsi="Simplified Arabic" w:cs="Simplified Arabic"/>
          <w:sz w:val="28"/>
          <w:szCs w:val="28"/>
          <w:rtl/>
        </w:rPr>
        <w:t>10356</w:t>
      </w:r>
      <w:r w:rsidRPr="00F51EC7">
        <w:rPr>
          <w:rFonts w:ascii="Simplified Arabic" w:hAnsi="Simplified Arabic" w:cs="Simplified Arabic"/>
          <w:sz w:val="28"/>
          <w:szCs w:val="28"/>
          <w:rtl/>
          <w:lang w:bidi="ar-EG"/>
        </w:rPr>
        <w:t xml:space="preserve"> مليون جنيه و</w:t>
      </w:r>
      <w:r w:rsidRPr="00F51EC7">
        <w:rPr>
          <w:rFonts w:ascii="Simplified Arabic" w:hAnsi="Simplified Arabic" w:cs="Simplified Arabic"/>
          <w:sz w:val="28"/>
          <w:szCs w:val="28"/>
          <w:rtl/>
        </w:rPr>
        <w:t>16835 مليون جنيه على التوالي.</w:t>
      </w:r>
    </w:p>
    <w:p w14:paraId="6563A6B9" w14:textId="77777777" w:rsidR="002959BC" w:rsidRPr="00F51EC7" w:rsidRDefault="002959BC" w:rsidP="002959BC">
      <w:pPr>
        <w:ind w:firstLine="454"/>
        <w:jc w:val="both"/>
        <w:rPr>
          <w:rFonts w:ascii="Simplified Arabic" w:hAnsi="Simplified Arabic" w:cs="Simplified Arabic"/>
          <w:sz w:val="28"/>
          <w:szCs w:val="28"/>
          <w:rtl/>
        </w:rPr>
      </w:pPr>
    </w:p>
    <w:p w14:paraId="3AFFF6DA" w14:textId="77777777" w:rsidR="002959BC" w:rsidRDefault="002959BC" w:rsidP="002959BC">
      <w:pPr>
        <w:ind w:firstLine="454"/>
        <w:jc w:val="both"/>
        <w:rPr>
          <w:rFonts w:ascii="Simplified Arabic" w:hAnsi="Simplified Arabic" w:cs="Simplified Arabic"/>
          <w:sz w:val="28"/>
          <w:szCs w:val="28"/>
          <w:rtl/>
        </w:rPr>
      </w:pPr>
      <w:r w:rsidRPr="00F51EC7">
        <w:rPr>
          <w:rFonts w:ascii="Simplified Arabic" w:hAnsi="Simplified Arabic" w:cs="Simplified Arabic"/>
          <w:sz w:val="28"/>
          <w:szCs w:val="28"/>
          <w:rtl/>
        </w:rPr>
        <w:t xml:space="preserve">أما خلال السنوات المالية الثلاث التالية فقد ارتفع كل من التمويل المحلي المصرفي والتمويل المحلي غير المصرفي حتى وصلا في العام المالي 2004/2005 لمبلغ 29819 مليون جنيه و33750 مليون </w:t>
      </w:r>
      <w:r w:rsidRPr="00F51EC7">
        <w:rPr>
          <w:rFonts w:ascii="Simplified Arabic" w:hAnsi="Simplified Arabic" w:cs="Simplified Arabic"/>
          <w:sz w:val="28"/>
          <w:szCs w:val="28"/>
          <w:rtl/>
        </w:rPr>
        <w:lastRenderedPageBreak/>
        <w:t xml:space="preserve">جنيه على التوالي ليشكلا معاً ما نسبته 107% من إجمالي التمويل، لتشهد </w:t>
      </w:r>
      <w:r w:rsidRPr="00F51EC7">
        <w:rPr>
          <w:rFonts w:ascii="Simplified Arabic" w:hAnsi="Simplified Arabic" w:cs="Simplified Arabic"/>
          <w:sz w:val="28"/>
          <w:szCs w:val="28"/>
          <w:rtl/>
          <w:lang w:bidi="ar-EG"/>
        </w:rPr>
        <w:t>الفترة</w:t>
      </w:r>
      <w:r w:rsidRPr="00F51EC7">
        <w:rPr>
          <w:rFonts w:ascii="Simplified Arabic" w:hAnsi="Simplified Arabic" w:cs="Simplified Arabic"/>
          <w:sz w:val="28"/>
          <w:szCs w:val="28"/>
          <w:rtl/>
        </w:rPr>
        <w:t xml:space="preserve"> التالية الاعتماد المتزايد على التمويل غير المصرفي حتى وصل في العام المالي 2006/2007 مبلغ 54212 مليون جنيه (163% من إجمالي التمويل المحلي) بينما وصل التمويل المصرفي إلى</w:t>
      </w:r>
      <w:r>
        <w:rPr>
          <w:rFonts w:ascii="Simplified Arabic" w:hAnsi="Simplified Arabic" w:cs="Simplified Arabic" w:hint="cs"/>
          <w:sz w:val="28"/>
          <w:szCs w:val="28"/>
          <w:rtl/>
        </w:rPr>
        <w:t xml:space="preserve"> </w:t>
      </w:r>
      <w:r w:rsidRPr="00F51EC7">
        <w:rPr>
          <w:rFonts w:ascii="Simplified Arabic" w:hAnsi="Simplified Arabic" w:cs="Simplified Arabic"/>
          <w:sz w:val="28"/>
          <w:szCs w:val="28"/>
          <w:rtl/>
        </w:rPr>
        <w:t>-20926 مليون جني</w:t>
      </w:r>
      <w:r>
        <w:rPr>
          <w:rFonts w:ascii="Simplified Arabic" w:hAnsi="Simplified Arabic" w:cs="Simplified Arabic" w:hint="cs"/>
          <w:sz w:val="28"/>
          <w:szCs w:val="28"/>
          <w:rtl/>
        </w:rPr>
        <w:t>ـ</w:t>
      </w:r>
      <w:r>
        <w:rPr>
          <w:rFonts w:ascii="Simplified Arabic" w:hAnsi="Simplified Arabic" w:cs="Simplified Arabic"/>
          <w:sz w:val="28"/>
          <w:szCs w:val="28"/>
          <w:rtl/>
        </w:rPr>
        <w:t>ه</w:t>
      </w:r>
      <w:r w:rsidRPr="00F51EC7">
        <w:rPr>
          <w:rFonts w:ascii="Simplified Arabic" w:hAnsi="Simplified Arabic" w:cs="Simplified Arabic"/>
          <w:sz w:val="28"/>
          <w:szCs w:val="28"/>
          <w:rtl/>
        </w:rPr>
        <w:t>.</w:t>
      </w:r>
    </w:p>
    <w:p w14:paraId="08ADD567" w14:textId="77777777" w:rsidR="002959BC" w:rsidRPr="00F85A0F" w:rsidRDefault="002959BC" w:rsidP="002959BC">
      <w:pPr>
        <w:ind w:firstLine="454"/>
        <w:jc w:val="both"/>
        <w:rPr>
          <w:rFonts w:ascii="Simplified Arabic" w:hAnsi="Simplified Arabic" w:cs="Simplified Arabic"/>
          <w:rtl/>
        </w:rPr>
      </w:pPr>
    </w:p>
    <w:p w14:paraId="0FE0797B" w14:textId="77777777" w:rsidR="002959BC" w:rsidRDefault="002959BC" w:rsidP="002959BC">
      <w:pPr>
        <w:ind w:firstLine="454"/>
        <w:jc w:val="both"/>
        <w:rPr>
          <w:rFonts w:ascii="Simplified Arabic" w:hAnsi="Simplified Arabic" w:cs="Simplified Arabic"/>
          <w:sz w:val="28"/>
          <w:szCs w:val="28"/>
          <w:rtl/>
        </w:rPr>
      </w:pPr>
      <w:r w:rsidRPr="00F51EC7">
        <w:rPr>
          <w:rFonts w:ascii="Simplified Arabic" w:hAnsi="Simplified Arabic" w:cs="Simplified Arabic"/>
          <w:sz w:val="28"/>
          <w:szCs w:val="28"/>
          <w:rtl/>
        </w:rPr>
        <w:t xml:space="preserve">ويلاحظ أنه في العام المالي 2007/2008 قد انخفض التمويل المحلي بشكل كبير ليسجل 527 مليون جنيه وبنسبة (4% من فقط إجمالي التمويل) ويرجع ذلك إلى تمويل العجز في تلك السنة المالية باستخدام مبلغ 38970 مليون جنيه من "الحساب المجمد في إهلاك جزء من سندات البنك المركزي" بالإضافة إلى استخدام مبلغ 14791 مليون جنيه من مصادر تمويل "أخرى" </w:t>
      </w:r>
      <w:r w:rsidRPr="00F51EC7">
        <w:rPr>
          <w:rFonts w:ascii="Simplified Arabic" w:hAnsi="Simplified Arabic" w:cs="Simplified Arabic"/>
          <w:sz w:val="28"/>
          <w:szCs w:val="28"/>
          <w:vertAlign w:val="superscript"/>
          <w:rtl/>
          <w:lang w:bidi="ar-EG"/>
        </w:rPr>
        <w:t>(</w:t>
      </w:r>
      <w:r w:rsidRPr="00F51EC7">
        <w:rPr>
          <w:rFonts w:ascii="Simplified Arabic" w:hAnsi="Simplified Arabic" w:cs="Simplified Arabic"/>
          <w:sz w:val="28"/>
          <w:szCs w:val="28"/>
          <w:vertAlign w:val="superscript"/>
          <w:rtl/>
          <w:lang w:bidi="ar-EG"/>
        </w:rPr>
        <w:footnoteReference w:id="93"/>
      </w:r>
      <w:r w:rsidRPr="00F51EC7">
        <w:rPr>
          <w:rFonts w:ascii="Simplified Arabic" w:hAnsi="Simplified Arabic" w:cs="Simplified Arabic"/>
          <w:sz w:val="28"/>
          <w:szCs w:val="28"/>
          <w:vertAlign w:val="superscript"/>
          <w:rtl/>
          <w:lang w:bidi="ar-EG"/>
        </w:rPr>
        <w:t>)</w:t>
      </w:r>
      <w:r w:rsidRPr="00F51EC7">
        <w:rPr>
          <w:rFonts w:ascii="Simplified Arabic" w:hAnsi="Simplified Arabic" w:cs="Simplified Arabic"/>
          <w:sz w:val="28"/>
          <w:szCs w:val="28"/>
          <w:rtl/>
        </w:rPr>
        <w:t xml:space="preserve">. </w:t>
      </w:r>
    </w:p>
    <w:p w14:paraId="31A12BD7" w14:textId="77777777" w:rsidR="002959BC" w:rsidRPr="00F85A0F" w:rsidRDefault="002959BC" w:rsidP="002959BC">
      <w:pPr>
        <w:ind w:firstLine="454"/>
        <w:jc w:val="both"/>
        <w:rPr>
          <w:rFonts w:ascii="Simplified Arabic" w:hAnsi="Simplified Arabic" w:cs="Simplified Arabic"/>
          <w:sz w:val="18"/>
          <w:szCs w:val="18"/>
          <w:rtl/>
        </w:rPr>
      </w:pPr>
    </w:p>
    <w:p w14:paraId="0F1BADE0" w14:textId="77777777" w:rsidR="002959BC" w:rsidRDefault="002959BC" w:rsidP="002959BC">
      <w:pPr>
        <w:ind w:firstLine="453"/>
        <w:jc w:val="both"/>
        <w:rPr>
          <w:rFonts w:ascii="Simplified Arabic" w:hAnsi="Simplified Arabic" w:cs="Simplified Arabic"/>
          <w:sz w:val="28"/>
          <w:szCs w:val="28"/>
          <w:rtl/>
        </w:rPr>
      </w:pPr>
      <w:r w:rsidRPr="00F51EC7">
        <w:rPr>
          <w:rFonts w:ascii="Simplified Arabic" w:hAnsi="Simplified Arabic" w:cs="Simplified Arabic"/>
          <w:sz w:val="28"/>
          <w:szCs w:val="28"/>
          <w:rtl/>
        </w:rPr>
        <w:t xml:space="preserve">وظلت </w:t>
      </w:r>
      <w:r w:rsidRPr="00F51EC7">
        <w:rPr>
          <w:rFonts w:ascii="Simplified Arabic" w:hAnsi="Simplified Arabic" w:cs="Simplified Arabic"/>
          <w:sz w:val="28"/>
          <w:szCs w:val="28"/>
          <w:rtl/>
          <w:lang w:bidi="ar-EG"/>
        </w:rPr>
        <w:t>السنوات</w:t>
      </w:r>
      <w:r w:rsidRPr="00F51EC7">
        <w:rPr>
          <w:rFonts w:ascii="Simplified Arabic" w:hAnsi="Simplified Arabic" w:cs="Simplified Arabic"/>
          <w:sz w:val="28"/>
          <w:szCs w:val="28"/>
          <w:rtl/>
        </w:rPr>
        <w:t xml:space="preserve"> المالية التالية تشهد تذبذباً بين الاعتماد على التمويل المحلي المصرفي والتمويل المحلي غير المصرفي حتى وصل التمويل غير المصرفي خلال العام المالي 2010/2011 مبلغ 34712 مليون جنيه (24% من إجمالي التمويل المحلي) بينما كان التمويل المصرفي مبلغ 109583 مليون جنيه (76% من إجمالي التمويل المحلي). </w:t>
      </w:r>
    </w:p>
    <w:p w14:paraId="33EA2AE4"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t>شكل رقم (2-17)</w:t>
      </w:r>
    </w:p>
    <w:p w14:paraId="397C2F5D"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Pr>
      </w:pPr>
      <w:r w:rsidRPr="00D9474F">
        <w:rPr>
          <w:rFonts w:ascii="Simplified Arabic" w:eastAsia="Times New Roman" w:hAnsi="Simplified Arabic" w:cs="Simplified Arabic"/>
          <w:b/>
          <w:bCs/>
          <w:sz w:val="24"/>
          <w:szCs w:val="24"/>
          <w:rtl/>
        </w:rPr>
        <w:t>تطور التمويل الخارجي والتمويل المحلي لعجز الموازنة العامة للدولة</w:t>
      </w:r>
    </w:p>
    <w:p w14:paraId="6C31E803"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t>خلال الفترة (1998/1999 إلى 2010/2011)</w:t>
      </w:r>
    </w:p>
    <w:p w14:paraId="519EA423" w14:textId="77777777" w:rsidR="002959BC" w:rsidRPr="00F51EC7" w:rsidRDefault="002959BC" w:rsidP="002959BC">
      <w:pPr>
        <w:ind w:firstLine="28"/>
        <w:jc w:val="both"/>
        <w:rPr>
          <w:rFonts w:ascii="Simplified Arabic" w:hAnsi="Simplified Arabic" w:cs="Simplified Arabic"/>
          <w:color w:val="000000"/>
          <w:sz w:val="24"/>
          <w:szCs w:val="24"/>
          <w:rtl/>
        </w:rPr>
      </w:pPr>
      <w:r w:rsidRPr="00F51EC7">
        <w:rPr>
          <w:rFonts w:ascii="Simplified Arabic" w:hAnsi="Simplified Arabic" w:cs="Simplified Arabic"/>
          <w:sz w:val="24"/>
          <w:szCs w:val="24"/>
        </w:rPr>
        <w:drawing>
          <wp:anchor distT="0" distB="0" distL="114300" distR="114300" simplePos="0" relativeHeight="251693056" behindDoc="1" locked="0" layoutInCell="1" allowOverlap="1" wp14:anchorId="3CFF5125" wp14:editId="29D8D235">
            <wp:simplePos x="0" y="0"/>
            <wp:positionH relativeFrom="margin">
              <wp:posOffset>299265</wp:posOffset>
            </wp:positionH>
            <wp:positionV relativeFrom="paragraph">
              <wp:posOffset>7884</wp:posOffset>
            </wp:positionV>
            <wp:extent cx="5507990" cy="3239770"/>
            <wp:effectExtent l="0" t="0" r="16510" b="17780"/>
            <wp:wrapTight wrapText="bothSides">
              <wp:wrapPolygon edited="0">
                <wp:start x="0" y="0"/>
                <wp:lineTo x="0" y="21592"/>
                <wp:lineTo x="21590" y="21592"/>
                <wp:lineTo x="21590" y="0"/>
                <wp:lineTo x="0" y="0"/>
              </wp:wrapPolygon>
            </wp:wrapTight>
            <wp:docPr id="124" name="Chart 124">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r w:rsidRPr="00F51EC7">
        <w:rPr>
          <w:rFonts w:ascii="Simplified Arabic" w:hAnsi="Simplified Arabic" w:cs="Simplified Arabic"/>
          <w:sz w:val="24"/>
          <w:szCs w:val="24"/>
          <w:rtl/>
        </w:rPr>
        <w:t xml:space="preserve"> المصدر: من إعداد الباحث بالاعتماد على بيانات الجدولين رقمي (4-2)، (4-3) بالملحق.</w:t>
      </w:r>
    </w:p>
    <w:p w14:paraId="4E0BC607" w14:textId="77777777" w:rsidR="002959BC" w:rsidRPr="00F51EC7" w:rsidRDefault="002959BC" w:rsidP="002959BC">
      <w:pPr>
        <w:ind w:firstLine="45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Pr="00F51EC7">
        <w:rPr>
          <w:rFonts w:ascii="Simplified Arabic" w:hAnsi="Simplified Arabic" w:cs="Simplified Arabic"/>
          <w:sz w:val="28"/>
          <w:szCs w:val="28"/>
          <w:rtl/>
          <w:lang w:bidi="ar-EG"/>
        </w:rPr>
        <w:t xml:space="preserve">يتضح من الشكل رقم (2-17) أن التمويل الخارجي يتخذ مساراً مستقراً إلى حد كبير خلال الفترة من العام المالي 1998/1999 وحتى العام المالي 2010/2011 ولم يطرأ عليه تغيرات كبيرة سوى انخفاضاً في العام المالـي 2002/2003 و2004/2005 حيث سـجل -4316 مليون جنيـه و-4243 </w:t>
      </w:r>
      <w:r w:rsidRPr="00F51EC7">
        <w:rPr>
          <w:rFonts w:ascii="Simplified Arabic" w:hAnsi="Simplified Arabic" w:cs="Simplified Arabic"/>
          <w:sz w:val="28"/>
          <w:szCs w:val="28"/>
          <w:rtl/>
          <w:lang w:bidi="ar-EG"/>
        </w:rPr>
        <w:lastRenderedPageBreak/>
        <w:t>مليون جنيه على التوالي، بينما شهد ارتفاعاً في العام المالي 2007/2008 بلغ 11439 مليون جنيه (1.3% من الناتج المحلي الإجمالي) ثم انخفض في الأعوام التالية حتى سجل في العام المالي 2010/2011 مبلغ 5022 مليون جنيه (0.4% من الناتج المحلي الإجمالي).</w:t>
      </w:r>
    </w:p>
    <w:p w14:paraId="34B8E94A" w14:textId="77777777" w:rsidR="002959BC" w:rsidRPr="00F51EC7" w:rsidRDefault="002959BC" w:rsidP="002959BC">
      <w:pPr>
        <w:ind w:firstLine="709"/>
        <w:jc w:val="both"/>
        <w:rPr>
          <w:rFonts w:ascii="Simplified Arabic" w:hAnsi="Simplified Arabic" w:cs="Simplified Arabic"/>
          <w:sz w:val="28"/>
          <w:szCs w:val="28"/>
          <w:rtl/>
          <w:lang w:bidi="ar-EG"/>
        </w:rPr>
      </w:pPr>
    </w:p>
    <w:p w14:paraId="34DA8131" w14:textId="77777777" w:rsidR="002959BC" w:rsidRPr="00F51EC7" w:rsidRDefault="002959BC" w:rsidP="002959BC">
      <w:pPr>
        <w:ind w:firstLine="453"/>
        <w:jc w:val="both"/>
        <w:rPr>
          <w:rFonts w:ascii="Simplified Arabic" w:hAnsi="Simplified Arabic" w:cs="Simplified Arabic"/>
          <w:sz w:val="28"/>
          <w:szCs w:val="28"/>
          <w:rtl/>
          <w:lang w:bidi="ar-EG"/>
        </w:rPr>
      </w:pPr>
      <w:r w:rsidRPr="00F51EC7">
        <w:rPr>
          <w:rFonts w:ascii="Simplified Arabic" w:hAnsi="Simplified Arabic" w:cs="Simplified Arabic"/>
          <w:sz w:val="28"/>
          <w:szCs w:val="28"/>
          <w:rtl/>
          <w:lang w:bidi="ar-EG"/>
        </w:rPr>
        <w:t>بينما نجد أن التمويل المحلي فقد شهداً ارتفاعاً مستمرا خلال تلك الفترة حيث سجل خلال العام المالي 1998/1999 مبلغ 10356 مليون جنيه (3.4% من الناتج المحلي الإجمالي) حتى وصل في العام المالي 2004/2005 مبلغ 63569 مليون جنيه (11.8% من الناتج المحلي الإجمالي) ولم ينخفض إلا في العام الماليين التاليين حتى وصل في العام المالي 2007/2008 مبلغ 527 مليون جنيه (0.1% من الناتج المحلي الإجمالي) ثم عاود الارتفاع الكبير حتى وصل في العام المالي 2010/2011 ليسجل مبلغ 144295 مليون جنيه (10.5% من الناتج المحلي الإجمالي).</w:t>
      </w:r>
    </w:p>
    <w:p w14:paraId="3D9B0F51" w14:textId="77777777" w:rsidR="002959BC" w:rsidRPr="00F51EC7" w:rsidRDefault="002959BC" w:rsidP="002959BC">
      <w:pPr>
        <w:ind w:firstLine="453"/>
        <w:jc w:val="both"/>
        <w:rPr>
          <w:rFonts w:ascii="Simplified Arabic" w:hAnsi="Simplified Arabic" w:cs="Simplified Arabic"/>
          <w:sz w:val="28"/>
          <w:szCs w:val="28"/>
          <w:rtl/>
          <w:lang w:bidi="ar-EG"/>
        </w:rPr>
      </w:pPr>
    </w:p>
    <w:p w14:paraId="00A75A17" w14:textId="77777777" w:rsidR="002959BC" w:rsidRPr="00F51EC7" w:rsidRDefault="002959BC" w:rsidP="002959BC">
      <w:pPr>
        <w:ind w:firstLine="453"/>
        <w:jc w:val="both"/>
        <w:rPr>
          <w:rFonts w:ascii="Simplified Arabic" w:hAnsi="Simplified Arabic" w:cs="Simplified Arabic"/>
          <w:sz w:val="28"/>
          <w:szCs w:val="28"/>
          <w:rtl/>
          <w:lang w:bidi="ar-EG"/>
        </w:rPr>
      </w:pPr>
      <w:r w:rsidRPr="00F51EC7">
        <w:rPr>
          <w:rFonts w:ascii="Simplified Arabic" w:hAnsi="Simplified Arabic" w:cs="Simplified Arabic"/>
          <w:sz w:val="28"/>
          <w:szCs w:val="28"/>
          <w:rtl/>
          <w:lang w:bidi="ar-EG"/>
        </w:rPr>
        <w:t>ومن الملاحظ أنه خلال تلك الفترة كانت الحاجة إلى التمويل تتزايد بصورة كبيرة ومستمرة نظراً للسياسة المالية التوسعية التي انتهجتها الحكومة خلال تلك الفترة، ويلاحظ أيضاً أنه تم الاعتماد بشكل كبير على مصادر التمويل المحلي.</w:t>
      </w:r>
    </w:p>
    <w:p w14:paraId="2F37D8A8" w14:textId="77777777" w:rsidR="002959BC" w:rsidRPr="00F51EC7" w:rsidRDefault="002959BC" w:rsidP="002959BC">
      <w:pPr>
        <w:ind w:firstLine="453"/>
        <w:jc w:val="both"/>
        <w:rPr>
          <w:rFonts w:ascii="Simplified Arabic" w:hAnsi="Simplified Arabic" w:cs="Simplified Arabic"/>
          <w:sz w:val="28"/>
          <w:szCs w:val="28"/>
          <w:rtl/>
          <w:lang w:bidi="ar-EG"/>
        </w:rPr>
      </w:pPr>
    </w:p>
    <w:p w14:paraId="0C7F76A2" w14:textId="77777777" w:rsidR="002959BC" w:rsidRPr="00F51EC7" w:rsidRDefault="002959BC" w:rsidP="002959BC">
      <w:pPr>
        <w:ind w:left="542" w:hanging="514"/>
        <w:jc w:val="both"/>
        <w:rPr>
          <w:rFonts w:ascii="Simplified Arabic" w:hAnsi="Simplified Arabic" w:cs="Simplified Arabic"/>
          <w:b/>
          <w:bCs/>
          <w:sz w:val="28"/>
          <w:szCs w:val="28"/>
          <w:u w:val="single"/>
          <w:lang w:bidi="ar-EG"/>
        </w:rPr>
      </w:pPr>
      <w:r w:rsidRPr="00F51EC7">
        <w:rPr>
          <w:rFonts w:ascii="Simplified Arabic" w:hAnsi="Simplified Arabic" w:cs="Simplified Arabic"/>
          <w:b/>
          <w:bCs/>
          <w:sz w:val="28"/>
          <w:szCs w:val="28"/>
          <w:u w:val="single"/>
          <w:rtl/>
          <w:lang w:bidi="ar-EG"/>
        </w:rPr>
        <w:t>3-</w:t>
      </w:r>
      <w:r w:rsidRPr="00F51EC7">
        <w:rPr>
          <w:rFonts w:ascii="Simplified Arabic" w:hAnsi="Simplified Arabic" w:cs="Simplified Arabic"/>
          <w:b/>
          <w:bCs/>
          <w:sz w:val="28"/>
          <w:szCs w:val="28"/>
          <w:rtl/>
          <w:lang w:bidi="ar-EG"/>
        </w:rPr>
        <w:t xml:space="preserve"> </w:t>
      </w:r>
      <w:r w:rsidRPr="00F51EC7">
        <w:rPr>
          <w:rFonts w:ascii="Simplified Arabic" w:hAnsi="Simplified Arabic" w:cs="Simplified Arabic"/>
          <w:b/>
          <w:bCs/>
          <w:sz w:val="28"/>
          <w:szCs w:val="28"/>
          <w:u w:val="single"/>
          <w:rtl/>
          <w:lang w:bidi="ar-EG"/>
        </w:rPr>
        <w:t>تحليل العلاقة بين التضخم وآليات تمويل عجز الموازنة خلال الفترة من العام المالي 1998/1999 إلى العام المالي 2010/2011:</w:t>
      </w:r>
    </w:p>
    <w:p w14:paraId="10F6DC6A" w14:textId="77777777" w:rsidR="002959BC" w:rsidRPr="00F51EC7" w:rsidRDefault="002959BC" w:rsidP="002959BC">
      <w:pPr>
        <w:jc w:val="both"/>
        <w:rPr>
          <w:rFonts w:ascii="Simplified Arabic" w:hAnsi="Simplified Arabic" w:cs="Simplified Arabic"/>
          <w:sz w:val="28"/>
          <w:szCs w:val="28"/>
          <w:rtl/>
          <w:lang w:bidi="ar-EG"/>
        </w:rPr>
      </w:pPr>
    </w:p>
    <w:p w14:paraId="69728923" w14:textId="77777777" w:rsidR="002959BC" w:rsidRPr="00F51EC7" w:rsidRDefault="002959BC" w:rsidP="002959BC">
      <w:pPr>
        <w:ind w:firstLine="453"/>
        <w:jc w:val="both"/>
        <w:rPr>
          <w:rFonts w:ascii="Simplified Arabic" w:hAnsi="Simplified Arabic" w:cs="Simplified Arabic"/>
          <w:sz w:val="28"/>
          <w:szCs w:val="28"/>
          <w:rtl/>
          <w:lang w:bidi="ar-EG"/>
        </w:rPr>
      </w:pPr>
      <w:r w:rsidRPr="00F51EC7">
        <w:rPr>
          <w:rFonts w:ascii="Simplified Arabic" w:hAnsi="Simplified Arabic" w:cs="Simplified Arabic"/>
          <w:sz w:val="28"/>
          <w:szCs w:val="28"/>
          <w:rtl/>
          <w:lang w:bidi="ar-EG"/>
        </w:rPr>
        <w:t xml:space="preserve">لقد تحولت السياسة المالية الانكماشية التي طبقت حتى العام المالي 1997/1998 إلى سياسة توسعية بعد تلك السنة مما أدى إلى زيادة نسبة العجز الكلي في الموازنة العامة للدولة من 1% في 1997/1998 إلى 10.5% في العام المالي 2002/2003 ثم إلى 9.8% في العام المالي 2010/2011 وفي الوقت ذاته ظل توجه السياسة النقدية انكماشياً مع ضخ جرعات كبيرة من السيولة لأجل قصير وكان من أبرز نتائج هاتين السياستين تعميق الركود الاقتصادي وعدم استقرار سعر الصرف وانخفاض حاد في الاحتياطيات الدولية، مع ارتفاع معدل التضخم </w:t>
      </w:r>
      <w:r w:rsidRPr="00F51EC7">
        <w:rPr>
          <w:rFonts w:ascii="Simplified Arabic" w:hAnsi="Simplified Arabic" w:cs="Simplified Arabic"/>
          <w:sz w:val="28"/>
          <w:szCs w:val="28"/>
          <w:vertAlign w:val="superscript"/>
          <w:rtl/>
          <w:lang w:bidi="ar-EG"/>
        </w:rPr>
        <w:t>(</w:t>
      </w:r>
      <w:r w:rsidRPr="00F51EC7">
        <w:rPr>
          <w:rFonts w:ascii="Simplified Arabic" w:hAnsi="Simplified Arabic" w:cs="Simplified Arabic"/>
          <w:sz w:val="28"/>
          <w:szCs w:val="28"/>
          <w:vertAlign w:val="superscript"/>
          <w:rtl/>
          <w:lang w:bidi="ar-EG"/>
        </w:rPr>
        <w:footnoteReference w:id="94"/>
      </w:r>
      <w:r w:rsidRPr="00F51EC7">
        <w:rPr>
          <w:rFonts w:ascii="Simplified Arabic" w:hAnsi="Simplified Arabic" w:cs="Simplified Arabic"/>
          <w:sz w:val="28"/>
          <w:szCs w:val="28"/>
          <w:vertAlign w:val="superscript"/>
          <w:rtl/>
          <w:lang w:bidi="ar-EG"/>
        </w:rPr>
        <w:t>)</w:t>
      </w:r>
      <w:r w:rsidRPr="00F51EC7">
        <w:rPr>
          <w:rFonts w:ascii="Simplified Arabic" w:hAnsi="Simplified Arabic" w:cs="Simplified Arabic"/>
          <w:sz w:val="28"/>
          <w:szCs w:val="28"/>
          <w:rtl/>
          <w:lang w:bidi="ar-EG"/>
        </w:rPr>
        <w:t>.</w:t>
      </w:r>
    </w:p>
    <w:p w14:paraId="6A03F5DE" w14:textId="77777777" w:rsidR="002959BC" w:rsidRPr="00F51EC7" w:rsidRDefault="002959BC" w:rsidP="002959BC">
      <w:pPr>
        <w:jc w:val="both"/>
        <w:rPr>
          <w:rFonts w:ascii="Simplified Arabic" w:hAnsi="Simplified Arabic" w:cs="Simplified Arabic"/>
          <w:sz w:val="28"/>
          <w:szCs w:val="28"/>
          <w:rtl/>
          <w:lang w:bidi="ar-EG"/>
        </w:rPr>
      </w:pPr>
    </w:p>
    <w:p w14:paraId="34FC2841" w14:textId="77777777" w:rsidR="002959BC" w:rsidRDefault="002959BC" w:rsidP="002959BC">
      <w:pPr>
        <w:ind w:firstLine="453"/>
        <w:jc w:val="both"/>
        <w:rPr>
          <w:rFonts w:ascii="Simplified Arabic" w:hAnsi="Simplified Arabic" w:cs="Simplified Arabic"/>
          <w:sz w:val="28"/>
          <w:szCs w:val="28"/>
          <w:rtl/>
          <w:lang w:bidi="ar-EG"/>
        </w:rPr>
      </w:pPr>
      <w:r w:rsidRPr="00F51EC7">
        <w:rPr>
          <w:rFonts w:ascii="Simplified Arabic" w:hAnsi="Simplified Arabic" w:cs="Simplified Arabic"/>
          <w:sz w:val="28"/>
          <w:szCs w:val="28"/>
          <w:rtl/>
          <w:lang w:bidi="ar-EG"/>
        </w:rPr>
        <w:t xml:space="preserve">ولا شك أن السياسة المالية التوسعية قد ألقت بظلالها على الضغوط التضخمية الناتجة عن استخدام الآليات المالية المختلفة لتمويل عجز الموازنة العامة للدولة خلال الفترة من العام المالي 1998/1999 وحتى العام المالي 2010/2011، ويوضح الشكل التالي التضخم في الاقتصاد المصري خلال تلك الفترة معبراً عنه بالرقم القياسي لأسعار المستهلكين: </w:t>
      </w:r>
      <w:r>
        <w:rPr>
          <w:rFonts w:ascii="Simplified Arabic" w:hAnsi="Simplified Arabic" w:cs="Simplified Arabic" w:hint="cs"/>
          <w:sz w:val="28"/>
          <w:szCs w:val="28"/>
          <w:rtl/>
          <w:lang w:bidi="ar-EG"/>
        </w:rPr>
        <w:t xml:space="preserve"> </w:t>
      </w:r>
    </w:p>
    <w:p w14:paraId="48A120F3" w14:textId="77777777" w:rsidR="002959BC" w:rsidRPr="00F51EC7" w:rsidRDefault="002959BC" w:rsidP="002959BC">
      <w:pPr>
        <w:ind w:firstLine="453"/>
        <w:jc w:val="both"/>
        <w:rPr>
          <w:rFonts w:ascii="Simplified Arabic" w:hAnsi="Simplified Arabic" w:cs="Simplified Arabic"/>
          <w:sz w:val="28"/>
          <w:szCs w:val="28"/>
          <w:rtl/>
          <w:lang w:bidi="ar-EG"/>
        </w:rPr>
      </w:pPr>
    </w:p>
    <w:p w14:paraId="6879F439"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t>شكل رقم (2-18)</w:t>
      </w:r>
    </w:p>
    <w:p w14:paraId="299B28C4"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t>تطور الرقم القياسي لأسعار المستهلكين والعجز الكلي للموازنة العامة</w:t>
      </w:r>
    </w:p>
    <w:p w14:paraId="4077BCEC"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t>خلال الفترة (1998/1999 إلى 2010/2011)</w:t>
      </w:r>
    </w:p>
    <w:p w14:paraId="4C977BC8"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mc:AlternateContent>
          <mc:Choice Requires="wpg">
            <w:drawing>
              <wp:anchor distT="0" distB="0" distL="114300" distR="114300" simplePos="0" relativeHeight="251697152" behindDoc="0" locked="0" layoutInCell="1" allowOverlap="1" wp14:anchorId="7E0505F4" wp14:editId="21C26584">
                <wp:simplePos x="0" y="0"/>
                <wp:positionH relativeFrom="column">
                  <wp:posOffset>165735</wp:posOffset>
                </wp:positionH>
                <wp:positionV relativeFrom="paragraph">
                  <wp:posOffset>2540</wp:posOffset>
                </wp:positionV>
                <wp:extent cx="5399405" cy="3390900"/>
                <wp:effectExtent l="0" t="0" r="10795" b="19050"/>
                <wp:wrapNone/>
                <wp:docPr id="110" name="مجموعة 12"/>
                <wp:cNvGraphicFramePr/>
                <a:graphic xmlns:a="http://schemas.openxmlformats.org/drawingml/2006/main">
                  <a:graphicData uri="http://schemas.microsoft.com/office/word/2010/wordprocessingGroup">
                    <wpg:wgp>
                      <wpg:cNvGrpSpPr/>
                      <wpg:grpSpPr>
                        <a:xfrm>
                          <a:off x="0" y="0"/>
                          <a:ext cx="5399405" cy="3390900"/>
                          <a:chOff x="586596" y="-1837427"/>
                          <a:chExt cx="5399405" cy="3239770"/>
                        </a:xfrm>
                      </wpg:grpSpPr>
                      <wpg:graphicFrame>
                        <wpg:cNvPr id="111" name="Chart 111"/>
                        <wpg:cNvFrPr/>
                        <wpg:xfrm>
                          <a:off x="586596" y="-1837427"/>
                          <a:ext cx="5399405" cy="3239770"/>
                        </wpg:xfrm>
                        <a:graphic>
                          <a:graphicData uri="http://schemas.openxmlformats.org/drawingml/2006/chart">
                            <c:chart xmlns:c="http://schemas.openxmlformats.org/drawingml/2006/chart" xmlns:r="http://schemas.openxmlformats.org/officeDocument/2006/relationships" r:id="rId28"/>
                          </a:graphicData>
                        </a:graphic>
                      </wpg:graphicFrame>
                      <wps:wsp>
                        <wps:cNvPr id="112" name="مربع نص 11"/>
                        <wps:cNvSpPr txBox="1"/>
                        <wps:spPr>
                          <a:xfrm>
                            <a:off x="2926990" y="1096136"/>
                            <a:ext cx="2146300" cy="2159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EFDBF8" w14:textId="77777777" w:rsidR="00270E6A" w:rsidRPr="004D597A" w:rsidRDefault="00270E6A" w:rsidP="002959BC">
                              <w:pPr>
                                <w:jc w:val="center"/>
                                <w:rPr>
                                  <w:rFonts w:asciiTheme="minorBidi" w:hAnsiTheme="minorBidi"/>
                                  <w:sz w:val="18"/>
                                  <w:szCs w:val="18"/>
                                  <w:rtl/>
                                  <w:lang w:bidi="ar-EG"/>
                                </w:rPr>
                              </w:pPr>
                              <w:r w:rsidRPr="004D597A">
                                <w:rPr>
                                  <w:rFonts w:asciiTheme="minorBidi" w:hAnsiTheme="minorBidi"/>
                                  <w:sz w:val="18"/>
                                  <w:szCs w:val="18"/>
                                  <w:rtl/>
                                  <w:lang w:bidi="ar-EG"/>
                                </w:rPr>
                                <w:t>الرقم القياسي لأسعار المستهلكين (2010=100)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E0505F4" id="مجموعة 12" o:spid="_x0000_s1122" style="position:absolute;left:0;text-align:left;margin-left:13.05pt;margin-top:.2pt;width:425.15pt;height:267pt;z-index:251697152;mso-height-relative:margin" coordorigin="5865,-18374" coordsize="53994,32397" o:gfxdata="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">
                <v:shape id="Chart 111" o:spid="_x0000_s1123" type="#_x0000_t75" style="position:absolute;left:5744;top:-18490;width:54254;height:326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">
                  <v:imagedata r:id="rId29" o:title=""/>
                  <o:lock v:ext="edit" aspectratio="f"/>
                </v:shape>
                <v:shape id="_x0000_s1124" type="#_x0000_t202" style="position:absolute;left:29269;top:10961;width:21463;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" fillcolor="white [3212]" stroked="f" strokeweight=".5pt">
                  <v:textbox>
                    <w:txbxContent>
                      <w:p w14:paraId="5DEFDBF8" w14:textId="77777777" w:rsidR="00270E6A" w:rsidRPr="004D597A" w:rsidRDefault="00270E6A" w:rsidP="002959BC">
                        <w:pPr>
                          <w:jc w:val="center"/>
                          <w:rPr>
                            <w:rFonts w:asciiTheme="minorBidi" w:hAnsiTheme="minorBidi"/>
                            <w:sz w:val="18"/>
                            <w:szCs w:val="18"/>
                            <w:rtl/>
                            <w:lang w:bidi="ar-EG"/>
                          </w:rPr>
                        </w:pPr>
                        <w:r w:rsidRPr="004D597A">
                          <w:rPr>
                            <w:rFonts w:asciiTheme="minorBidi" w:hAnsiTheme="minorBidi"/>
                            <w:sz w:val="18"/>
                            <w:szCs w:val="18"/>
                            <w:rtl/>
                            <w:lang w:bidi="ar-EG"/>
                          </w:rPr>
                          <w:t>الرقم القياسي لأسعار المستهلكين (2010=100)</w:t>
                        </w:r>
                      </w:p>
                    </w:txbxContent>
                  </v:textbox>
                </v:shape>
              </v:group>
            </w:pict>
          </mc:Fallback>
        </mc:AlternateContent>
      </w:r>
    </w:p>
    <w:p w14:paraId="6A747D86" w14:textId="77777777" w:rsidR="002959BC" w:rsidRPr="00F51EC7" w:rsidRDefault="002959BC" w:rsidP="002959BC">
      <w:pPr>
        <w:jc w:val="both"/>
        <w:rPr>
          <w:rFonts w:ascii="Simplified Arabic" w:hAnsi="Simplified Arabic" w:cs="Simplified Arabic"/>
          <w:color w:val="000000" w:themeColor="text1"/>
          <w:sz w:val="28"/>
          <w:szCs w:val="28"/>
          <w:rtl/>
        </w:rPr>
      </w:pPr>
    </w:p>
    <w:p w14:paraId="12005DAA" w14:textId="77777777" w:rsidR="002959BC" w:rsidRPr="00F51EC7" w:rsidRDefault="002959BC" w:rsidP="002959BC">
      <w:pPr>
        <w:jc w:val="both"/>
        <w:rPr>
          <w:rFonts w:ascii="Simplified Arabic" w:hAnsi="Simplified Arabic" w:cs="Simplified Arabic"/>
          <w:color w:val="000000" w:themeColor="text1"/>
          <w:sz w:val="28"/>
          <w:szCs w:val="28"/>
          <w:rtl/>
        </w:rPr>
      </w:pPr>
    </w:p>
    <w:p w14:paraId="33161062" w14:textId="77777777" w:rsidR="002959BC" w:rsidRPr="00F51EC7" w:rsidRDefault="002959BC" w:rsidP="002959BC">
      <w:pPr>
        <w:jc w:val="both"/>
        <w:rPr>
          <w:rFonts w:ascii="Simplified Arabic" w:hAnsi="Simplified Arabic" w:cs="Simplified Arabic"/>
          <w:color w:val="000000" w:themeColor="text1"/>
          <w:sz w:val="28"/>
          <w:szCs w:val="28"/>
          <w:rtl/>
        </w:rPr>
      </w:pPr>
    </w:p>
    <w:p w14:paraId="707F6055" w14:textId="77777777" w:rsidR="002959BC" w:rsidRPr="00F51EC7" w:rsidRDefault="002959BC" w:rsidP="002959BC">
      <w:pPr>
        <w:jc w:val="both"/>
        <w:rPr>
          <w:rFonts w:ascii="Simplified Arabic" w:hAnsi="Simplified Arabic" w:cs="Simplified Arabic"/>
          <w:color w:val="000000" w:themeColor="text1"/>
          <w:sz w:val="28"/>
          <w:szCs w:val="28"/>
          <w:rtl/>
        </w:rPr>
      </w:pPr>
    </w:p>
    <w:p w14:paraId="619F89D3" w14:textId="77777777" w:rsidR="002959BC" w:rsidRPr="00F51EC7" w:rsidRDefault="002959BC" w:rsidP="002959BC">
      <w:pPr>
        <w:jc w:val="both"/>
        <w:rPr>
          <w:rFonts w:ascii="Simplified Arabic" w:hAnsi="Simplified Arabic" w:cs="Simplified Arabic"/>
          <w:color w:val="000000" w:themeColor="text1"/>
          <w:sz w:val="28"/>
          <w:szCs w:val="28"/>
          <w:rtl/>
        </w:rPr>
      </w:pPr>
    </w:p>
    <w:p w14:paraId="407741B0" w14:textId="77777777" w:rsidR="002959BC" w:rsidRPr="00F51EC7" w:rsidRDefault="002959BC" w:rsidP="002959BC">
      <w:pPr>
        <w:jc w:val="both"/>
        <w:rPr>
          <w:rFonts w:ascii="Simplified Arabic" w:hAnsi="Simplified Arabic" w:cs="Simplified Arabic"/>
          <w:color w:val="000000" w:themeColor="text1"/>
          <w:sz w:val="28"/>
          <w:szCs w:val="28"/>
          <w:rtl/>
        </w:rPr>
      </w:pPr>
    </w:p>
    <w:p w14:paraId="3A1FD534" w14:textId="77777777" w:rsidR="002959BC" w:rsidRPr="00F51EC7" w:rsidRDefault="002959BC" w:rsidP="002959BC">
      <w:pPr>
        <w:jc w:val="both"/>
        <w:rPr>
          <w:rFonts w:ascii="Simplified Arabic" w:hAnsi="Simplified Arabic" w:cs="Simplified Arabic"/>
          <w:color w:val="000000" w:themeColor="text1"/>
          <w:sz w:val="28"/>
          <w:szCs w:val="28"/>
          <w:rtl/>
        </w:rPr>
      </w:pPr>
    </w:p>
    <w:p w14:paraId="724304AE" w14:textId="77777777" w:rsidR="002959BC" w:rsidRPr="00F51EC7" w:rsidRDefault="002959BC" w:rsidP="002959BC">
      <w:pPr>
        <w:jc w:val="both"/>
        <w:rPr>
          <w:rFonts w:ascii="Simplified Arabic" w:hAnsi="Simplified Arabic" w:cs="Simplified Arabic"/>
          <w:color w:val="000000" w:themeColor="text1"/>
          <w:sz w:val="28"/>
          <w:szCs w:val="28"/>
          <w:rtl/>
        </w:rPr>
      </w:pPr>
    </w:p>
    <w:p w14:paraId="10176A6B" w14:textId="77777777" w:rsidR="002959BC" w:rsidRPr="00F51EC7" w:rsidRDefault="002959BC" w:rsidP="002959BC">
      <w:pPr>
        <w:jc w:val="both"/>
        <w:rPr>
          <w:rFonts w:ascii="Simplified Arabic" w:hAnsi="Simplified Arabic" w:cs="Simplified Arabic"/>
          <w:color w:val="000000" w:themeColor="text1"/>
          <w:sz w:val="28"/>
          <w:szCs w:val="28"/>
          <w:rtl/>
        </w:rPr>
      </w:pPr>
    </w:p>
    <w:p w14:paraId="6D5A513A" w14:textId="77777777" w:rsidR="002959BC" w:rsidRDefault="002959BC" w:rsidP="002959BC">
      <w:pPr>
        <w:jc w:val="both"/>
        <w:rPr>
          <w:rFonts w:ascii="Simplified Arabic" w:hAnsi="Simplified Arabic" w:cs="Simplified Arabic"/>
          <w:color w:val="000000" w:themeColor="text1"/>
          <w:sz w:val="28"/>
          <w:szCs w:val="28"/>
          <w:rtl/>
        </w:rPr>
      </w:pPr>
    </w:p>
    <w:p w14:paraId="3CEB0D6A" w14:textId="77777777" w:rsidR="002959BC" w:rsidRPr="00F51EC7" w:rsidRDefault="002959BC" w:rsidP="002959BC">
      <w:pPr>
        <w:jc w:val="both"/>
        <w:rPr>
          <w:rFonts w:ascii="Simplified Arabic" w:hAnsi="Simplified Arabic" w:cs="Simplified Arabic"/>
          <w:color w:val="000000" w:themeColor="text1"/>
          <w:sz w:val="28"/>
          <w:szCs w:val="28"/>
          <w:rtl/>
        </w:rPr>
      </w:pPr>
    </w:p>
    <w:p w14:paraId="206E725A" w14:textId="77777777" w:rsidR="002959BC" w:rsidRPr="00F51EC7" w:rsidRDefault="002959BC" w:rsidP="002959BC">
      <w:pPr>
        <w:ind w:firstLine="28"/>
        <w:jc w:val="both"/>
        <w:rPr>
          <w:rFonts w:ascii="Simplified Arabic" w:hAnsi="Simplified Arabic" w:cs="Simplified Arabic"/>
          <w:color w:val="000000"/>
          <w:sz w:val="24"/>
          <w:szCs w:val="24"/>
          <w:rtl/>
          <w:lang w:bidi="ar-EG"/>
        </w:rPr>
      </w:pPr>
      <w:r w:rsidRPr="00F51EC7">
        <w:rPr>
          <w:rFonts w:ascii="Simplified Arabic" w:hAnsi="Simplified Arabic" w:cs="Simplified Arabic"/>
          <w:sz w:val="24"/>
          <w:szCs w:val="24"/>
          <w:rtl/>
        </w:rPr>
        <w:t>المصدر: من إعداد الباحث بالاعتماد على بيانات الجدولين رقمي (4-1)، (4-4) بالملحق.</w:t>
      </w:r>
    </w:p>
    <w:p w14:paraId="4825AE2D" w14:textId="77777777" w:rsidR="002959BC" w:rsidRDefault="002959BC" w:rsidP="002959BC">
      <w:pPr>
        <w:ind w:firstLine="454"/>
        <w:jc w:val="both"/>
        <w:rPr>
          <w:rFonts w:ascii="Simplified Arabic" w:hAnsi="Simplified Arabic" w:cs="Simplified Arabic"/>
          <w:sz w:val="28"/>
          <w:szCs w:val="28"/>
          <w:rtl/>
          <w:lang w:bidi="ar-EG"/>
        </w:rPr>
      </w:pPr>
    </w:p>
    <w:p w14:paraId="6897D920" w14:textId="77777777" w:rsidR="002959BC" w:rsidRPr="00F51EC7" w:rsidRDefault="002959BC" w:rsidP="002959BC">
      <w:pPr>
        <w:ind w:firstLine="454"/>
        <w:jc w:val="both"/>
        <w:rPr>
          <w:rFonts w:ascii="Simplified Arabic" w:hAnsi="Simplified Arabic" w:cs="Simplified Arabic"/>
          <w:sz w:val="28"/>
          <w:szCs w:val="28"/>
          <w:rtl/>
          <w:lang w:bidi="ar-EG"/>
        </w:rPr>
      </w:pPr>
      <w:r w:rsidRPr="00F51EC7">
        <w:rPr>
          <w:rFonts w:ascii="Simplified Arabic" w:hAnsi="Simplified Arabic" w:cs="Simplified Arabic"/>
          <w:sz w:val="28"/>
          <w:szCs w:val="28"/>
          <w:rtl/>
          <w:lang w:bidi="ar-EG"/>
        </w:rPr>
        <w:t>ويتضح من الشكل رقم (2-18) أن الرقم القياسي لأسعار المستهلكين بدأ منخفضاً خلال العام المالي 1998/1999 مسجلاً 3.9% وانخفض في الأعوام المالية التالية ليصل</w:t>
      </w:r>
      <w:r>
        <w:rPr>
          <w:rFonts w:ascii="Simplified Arabic" w:hAnsi="Simplified Arabic" w:cs="Simplified Arabic" w:hint="cs"/>
          <w:sz w:val="28"/>
          <w:szCs w:val="28"/>
          <w:rtl/>
          <w:lang w:bidi="ar-EG"/>
        </w:rPr>
        <w:t xml:space="preserve"> </w:t>
      </w:r>
      <w:r w:rsidRPr="00F51EC7">
        <w:rPr>
          <w:rFonts w:ascii="Simplified Arabic" w:hAnsi="Simplified Arabic" w:cs="Simplified Arabic"/>
          <w:sz w:val="28"/>
          <w:szCs w:val="28"/>
          <w:rtl/>
          <w:lang w:bidi="ar-EG"/>
        </w:rPr>
        <w:t xml:space="preserve">إلى نسبة 2.3% في العام المالي 2001/2002 إلا أنه بعد ذلك العام بدأ رحلة الصعود بشكل كبير حيث سجل في العام المالي 2004/2005 نسبة 11.3% ثم انخفض في العام المالي التالي ليسجل 4.9% ليعاود الارتفاع مرة أخرى ليصل إلى 18.3% في العام الماي 2008/2009 ثم ينخفض في العامين 2009/2010 و2010/2011 ليسجل نسبة 11.8% ونسبة 11.3% على التوالي. </w:t>
      </w:r>
    </w:p>
    <w:p w14:paraId="2471863B" w14:textId="77777777" w:rsidR="002959BC" w:rsidRPr="00F51EC7" w:rsidRDefault="002959BC" w:rsidP="002959BC">
      <w:pPr>
        <w:ind w:firstLine="454"/>
        <w:jc w:val="both"/>
        <w:rPr>
          <w:rFonts w:ascii="Simplified Arabic" w:hAnsi="Simplified Arabic" w:cs="Simplified Arabic"/>
          <w:sz w:val="28"/>
          <w:szCs w:val="28"/>
          <w:rtl/>
          <w:lang w:bidi="ar-EG"/>
        </w:rPr>
      </w:pPr>
    </w:p>
    <w:p w14:paraId="32374499" w14:textId="77777777" w:rsidR="002959BC" w:rsidRDefault="002959BC" w:rsidP="002959BC">
      <w:pPr>
        <w:ind w:firstLine="454"/>
        <w:jc w:val="both"/>
        <w:rPr>
          <w:rFonts w:ascii="Simplified Arabic" w:hAnsi="Simplified Arabic" w:cs="Simplified Arabic"/>
          <w:sz w:val="28"/>
          <w:szCs w:val="28"/>
          <w:rtl/>
          <w:lang w:bidi="ar-EG"/>
        </w:rPr>
      </w:pPr>
    </w:p>
    <w:p w14:paraId="0D4F8025" w14:textId="77777777" w:rsidR="002959BC" w:rsidRDefault="002959BC" w:rsidP="002959BC">
      <w:pPr>
        <w:ind w:firstLine="454"/>
        <w:jc w:val="both"/>
        <w:rPr>
          <w:rFonts w:ascii="Simplified Arabic" w:hAnsi="Simplified Arabic" w:cs="Simplified Arabic"/>
          <w:sz w:val="28"/>
          <w:szCs w:val="28"/>
          <w:rtl/>
          <w:lang w:bidi="ar-EG"/>
        </w:rPr>
      </w:pPr>
    </w:p>
    <w:p w14:paraId="3DF3C7C2" w14:textId="77777777" w:rsidR="002959BC" w:rsidRDefault="002959BC" w:rsidP="002959BC">
      <w:pPr>
        <w:ind w:firstLine="454"/>
        <w:jc w:val="both"/>
        <w:rPr>
          <w:rFonts w:ascii="Simplified Arabic" w:hAnsi="Simplified Arabic" w:cs="Simplified Arabic"/>
          <w:sz w:val="28"/>
          <w:szCs w:val="28"/>
          <w:rtl/>
          <w:lang w:bidi="ar-EG"/>
        </w:rPr>
      </w:pPr>
    </w:p>
    <w:p w14:paraId="4C433FC8" w14:textId="77777777" w:rsidR="002959BC" w:rsidRPr="00F51EC7" w:rsidRDefault="002959BC" w:rsidP="002959BC">
      <w:pPr>
        <w:ind w:firstLine="454"/>
        <w:jc w:val="both"/>
        <w:rPr>
          <w:rFonts w:ascii="Simplified Arabic" w:hAnsi="Simplified Arabic" w:cs="Simplified Arabic"/>
          <w:sz w:val="28"/>
          <w:szCs w:val="28"/>
          <w:rtl/>
          <w:lang w:bidi="ar-EG"/>
        </w:rPr>
      </w:pPr>
      <w:r w:rsidRPr="00F51EC7">
        <w:rPr>
          <w:rFonts w:ascii="Simplified Arabic" w:hAnsi="Simplified Arabic" w:cs="Simplified Arabic"/>
          <w:sz w:val="28"/>
          <w:szCs w:val="28"/>
          <w:rtl/>
          <w:lang w:bidi="ar-EG"/>
        </w:rPr>
        <w:t xml:space="preserve">كما يتضح من الشكل رقم (2-18) أن الاتجاه العام لكل من التضخم والعجز الكلي للموازنة العامة هو الارتفاع خلال تلك الفترة، حيث نجد أن العجز قد ارتفع من 8923 مليون جنيه في العام المالي 1998/1999 ليصل إلى </w:t>
      </w:r>
      <w:r w:rsidRPr="00F51EC7">
        <w:rPr>
          <w:rFonts w:ascii="Simplified Arabic" w:hAnsi="Simplified Arabic" w:cs="Simplified Arabic"/>
          <w:sz w:val="28"/>
          <w:szCs w:val="28"/>
          <w:rtl/>
        </w:rPr>
        <w:t>134460</w:t>
      </w:r>
      <w:r w:rsidRPr="00F51EC7">
        <w:rPr>
          <w:rFonts w:ascii="Simplified Arabic" w:hAnsi="Simplified Arabic" w:cs="Simplified Arabic"/>
          <w:sz w:val="28"/>
          <w:szCs w:val="28"/>
          <w:rtl/>
          <w:lang w:bidi="ar-EG"/>
        </w:rPr>
        <w:t xml:space="preserve"> مليون جنيه في العام المالي 2010/2011، وكذا كان الحال بالنسبة </w:t>
      </w:r>
      <w:r w:rsidRPr="00F51EC7">
        <w:rPr>
          <w:rFonts w:ascii="Simplified Arabic" w:hAnsi="Simplified Arabic" w:cs="Simplified Arabic"/>
          <w:sz w:val="28"/>
          <w:szCs w:val="28"/>
          <w:rtl/>
          <w:lang w:bidi="ar-EG"/>
        </w:rPr>
        <w:lastRenderedPageBreak/>
        <w:t>للتضخم حيث ارتفع الرقم القياسي لأسعار المستهلكين من نسبة 41 في العام المالي 1998/1999 ليصل إلى نسبة 100 في العام المالي 2010/2011.</w:t>
      </w:r>
    </w:p>
    <w:p w14:paraId="4AF2C17C" w14:textId="77777777" w:rsidR="002959BC" w:rsidRPr="00F51EC7" w:rsidRDefault="002959BC" w:rsidP="002959BC">
      <w:pPr>
        <w:ind w:firstLine="454"/>
        <w:jc w:val="both"/>
        <w:rPr>
          <w:rFonts w:ascii="Simplified Arabic" w:hAnsi="Simplified Arabic" w:cs="Simplified Arabic"/>
          <w:sz w:val="28"/>
          <w:szCs w:val="28"/>
          <w:rtl/>
          <w:lang w:bidi="ar-EG"/>
        </w:rPr>
      </w:pPr>
    </w:p>
    <w:p w14:paraId="5DF5861D" w14:textId="77777777" w:rsidR="002959BC" w:rsidRDefault="002959BC" w:rsidP="002959BC">
      <w:pPr>
        <w:ind w:firstLine="454"/>
        <w:jc w:val="both"/>
        <w:rPr>
          <w:rFonts w:ascii="Simplified Arabic" w:hAnsi="Simplified Arabic" w:cs="Simplified Arabic"/>
          <w:sz w:val="28"/>
          <w:szCs w:val="28"/>
          <w:rtl/>
          <w:lang w:bidi="ar-EG"/>
        </w:rPr>
      </w:pPr>
      <w:r w:rsidRPr="00F51EC7">
        <w:rPr>
          <w:rFonts w:ascii="Simplified Arabic" w:hAnsi="Simplified Arabic" w:cs="Simplified Arabic"/>
          <w:sz w:val="28"/>
          <w:szCs w:val="28"/>
          <w:rtl/>
          <w:lang w:bidi="ar-EG"/>
        </w:rPr>
        <w:t xml:space="preserve">لقد بلغ متوسط معدل التضخم خلال الفترة من العام المالي 1998/1999 وحتى العام المالي 2010/2011 نسبة 7.2% وهو ما يقل قليلاً عن متوسط العجز الكلي للموازنة العامة خلال تلك الفترة حيث سجل متوسط العجز الكلي للموازنة العامة للدولة خلال ذات الفترة 7.6%، ولما كان هناك اقتران في ارتفاع نسب كل من عجز الموازنة العامة للدولة والتضخم خلال تلك الفترة، مما يدل على وجود ارتباط بين كل من العجز الكلي للموازنة العامة للدولة والتضخم خلال تلك الفترة.  </w:t>
      </w:r>
    </w:p>
    <w:p w14:paraId="2F26FF19" w14:textId="77777777" w:rsidR="002959BC" w:rsidRPr="00F51EC7" w:rsidRDefault="002959BC" w:rsidP="002959BC">
      <w:pPr>
        <w:ind w:firstLine="454"/>
        <w:jc w:val="both"/>
        <w:rPr>
          <w:rFonts w:ascii="Simplified Arabic" w:hAnsi="Simplified Arabic" w:cs="Simplified Arabic"/>
          <w:sz w:val="28"/>
          <w:szCs w:val="28"/>
          <w:rtl/>
          <w:lang w:bidi="ar-EG"/>
        </w:rPr>
      </w:pPr>
    </w:p>
    <w:p w14:paraId="06151F87"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t>شكل رقم (2-19)</w:t>
      </w:r>
    </w:p>
    <w:p w14:paraId="73672F6B"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t>تطور الرقم القياسي لأسعار المستهلكين</w:t>
      </w:r>
    </w:p>
    <w:p w14:paraId="5893109C"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t>والتمويل الخارجي والمحلي المصرفي والمحلي غير المصرفي</w:t>
      </w:r>
    </w:p>
    <w:p w14:paraId="1CF10A83" w14:textId="77777777" w:rsidR="002959BC" w:rsidRPr="00D9474F"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D9474F">
        <w:rPr>
          <w:rFonts w:ascii="Simplified Arabic" w:eastAsia="Times New Roman" w:hAnsi="Simplified Arabic" w:cs="Simplified Arabic"/>
          <w:b/>
          <w:bCs/>
          <w:sz w:val="24"/>
          <w:szCs w:val="24"/>
          <w:rtl/>
        </w:rPr>
        <w:t>خلال الفترة (1998/1999 إلى 2010/2011)</w:t>
      </w:r>
    </w:p>
    <w:p w14:paraId="662D1542" w14:textId="77777777" w:rsidR="002959BC" w:rsidRPr="00F51EC7" w:rsidRDefault="002959BC" w:rsidP="002959BC">
      <w:pPr>
        <w:jc w:val="both"/>
        <w:rPr>
          <w:rFonts w:ascii="Simplified Arabic" w:hAnsi="Simplified Arabic" w:cs="Simplified Arabic"/>
          <w:color w:val="000000" w:themeColor="text1"/>
          <w:sz w:val="28"/>
          <w:szCs w:val="28"/>
          <w:rtl/>
        </w:rPr>
      </w:pPr>
      <w:r w:rsidRPr="00F51EC7">
        <w:rPr>
          <w:rFonts w:ascii="Simplified Arabic" w:hAnsi="Simplified Arabic" w:cs="Simplified Arabic"/>
          <w:color w:val="000000" w:themeColor="text1"/>
          <w:sz w:val="28"/>
          <w:szCs w:val="28"/>
          <w:rtl/>
        </w:rPr>
        <mc:AlternateContent>
          <mc:Choice Requires="wpg">
            <w:drawing>
              <wp:anchor distT="0" distB="0" distL="114300" distR="114300" simplePos="0" relativeHeight="251695104" behindDoc="0" locked="0" layoutInCell="1" allowOverlap="1" wp14:anchorId="39BD46CE" wp14:editId="2D521C1D">
                <wp:simplePos x="0" y="0"/>
                <wp:positionH relativeFrom="column">
                  <wp:posOffset>108585</wp:posOffset>
                </wp:positionH>
                <wp:positionV relativeFrom="paragraph">
                  <wp:posOffset>93980</wp:posOffset>
                </wp:positionV>
                <wp:extent cx="5507990" cy="3239770"/>
                <wp:effectExtent l="0" t="0" r="16510" b="17780"/>
                <wp:wrapNone/>
                <wp:docPr id="113" name="مجموعة 13"/>
                <wp:cNvGraphicFramePr/>
                <a:graphic xmlns:a="http://schemas.openxmlformats.org/drawingml/2006/main">
                  <a:graphicData uri="http://schemas.microsoft.com/office/word/2010/wordprocessingGroup">
                    <wpg:wgp>
                      <wpg:cNvGrpSpPr/>
                      <wpg:grpSpPr>
                        <a:xfrm>
                          <a:off x="0" y="0"/>
                          <a:ext cx="5507990" cy="3239770"/>
                          <a:chOff x="142875" y="0"/>
                          <a:chExt cx="5507990" cy="3239770"/>
                        </a:xfrm>
                      </wpg:grpSpPr>
                      <wpg:graphicFrame>
                        <wpg:cNvPr id="114" name="Chart 114"/>
                        <wpg:cNvFrPr/>
                        <wpg:xfrm>
                          <a:off x="142875" y="0"/>
                          <a:ext cx="5507990" cy="3239770"/>
                        </wpg:xfrm>
                        <a:graphic>
                          <a:graphicData uri="http://schemas.openxmlformats.org/drawingml/2006/chart">
                            <c:chart xmlns:c="http://schemas.openxmlformats.org/drawingml/2006/chart" xmlns:r="http://schemas.openxmlformats.org/officeDocument/2006/relationships" r:id="rId30"/>
                          </a:graphicData>
                        </a:graphic>
                      </wpg:graphicFrame>
                      <wps:wsp>
                        <wps:cNvPr id="115" name="مربع نص 8"/>
                        <wps:cNvSpPr txBox="1"/>
                        <wps:spPr>
                          <a:xfrm>
                            <a:off x="3248025" y="2981325"/>
                            <a:ext cx="2133600" cy="2159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6477BC" w14:textId="77777777" w:rsidR="00270E6A" w:rsidRPr="004D597A" w:rsidRDefault="00270E6A" w:rsidP="002959BC">
                              <w:pPr>
                                <w:jc w:val="center"/>
                                <w:rPr>
                                  <w:rFonts w:asciiTheme="minorBidi" w:hAnsiTheme="minorBidi"/>
                                  <w:sz w:val="18"/>
                                  <w:szCs w:val="18"/>
                                  <w:rtl/>
                                  <w:lang w:bidi="ar-EG"/>
                                </w:rPr>
                              </w:pPr>
                              <w:r w:rsidRPr="004D597A">
                                <w:rPr>
                                  <w:rFonts w:asciiTheme="minorBidi" w:hAnsiTheme="minorBidi"/>
                                  <w:sz w:val="18"/>
                                  <w:szCs w:val="18"/>
                                  <w:rtl/>
                                  <w:lang w:bidi="ar-EG"/>
                                </w:rPr>
                                <w:t>الرقم القياسي لأسعار المستهلكين (2010=100)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9BD46CE" id="مجموعة 13" o:spid="_x0000_s1125" style="position:absolute;left:0;text-align:left;margin-left:8.55pt;margin-top:7.4pt;width:433.7pt;height:255.1pt;z-index:251695104" coordorigin="1428" coordsize="55079,32397" o:gfxdata="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">
                <v:shape id="Chart 114" o:spid="_x0000_s1126" type="#_x0000_t75" style="position:absolute;left:1306;top:-121;width:55352;height:326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">
                  <v:imagedata r:id="rId31" o:title=""/>
                  <o:lock v:ext="edit" aspectratio="f"/>
                </v:shape>
                <v:shape id="مربع نص 8" o:spid="_x0000_s1127" type="#_x0000_t202" style="position:absolute;left:32480;top:29813;width:21336;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" fillcolor="white [3212]" stroked="f" strokeweight=".5pt">
                  <v:textbox>
                    <w:txbxContent>
                      <w:p w14:paraId="286477BC" w14:textId="77777777" w:rsidR="00270E6A" w:rsidRPr="004D597A" w:rsidRDefault="00270E6A" w:rsidP="002959BC">
                        <w:pPr>
                          <w:jc w:val="center"/>
                          <w:rPr>
                            <w:rFonts w:asciiTheme="minorBidi" w:hAnsiTheme="minorBidi"/>
                            <w:sz w:val="18"/>
                            <w:szCs w:val="18"/>
                            <w:rtl/>
                            <w:lang w:bidi="ar-EG"/>
                          </w:rPr>
                        </w:pPr>
                        <w:r w:rsidRPr="004D597A">
                          <w:rPr>
                            <w:rFonts w:asciiTheme="minorBidi" w:hAnsiTheme="minorBidi"/>
                            <w:sz w:val="18"/>
                            <w:szCs w:val="18"/>
                            <w:rtl/>
                            <w:lang w:bidi="ar-EG"/>
                          </w:rPr>
                          <w:t>الرقم القياسي لأسعار المستهلكين (2010=100)</w:t>
                        </w:r>
                      </w:p>
                    </w:txbxContent>
                  </v:textbox>
                </v:shape>
              </v:group>
            </w:pict>
          </mc:Fallback>
        </mc:AlternateContent>
      </w:r>
    </w:p>
    <w:p w14:paraId="6A9584BA" w14:textId="77777777" w:rsidR="002959BC" w:rsidRPr="00F51EC7" w:rsidRDefault="002959BC" w:rsidP="002959BC">
      <w:pPr>
        <w:jc w:val="both"/>
        <w:rPr>
          <w:rFonts w:ascii="Simplified Arabic" w:hAnsi="Simplified Arabic" w:cs="Simplified Arabic"/>
          <w:color w:val="000000" w:themeColor="text1"/>
          <w:sz w:val="28"/>
          <w:szCs w:val="28"/>
          <w:rtl/>
        </w:rPr>
      </w:pPr>
    </w:p>
    <w:p w14:paraId="0511C82A" w14:textId="77777777" w:rsidR="002959BC" w:rsidRPr="00F51EC7" w:rsidRDefault="002959BC" w:rsidP="002959BC">
      <w:pPr>
        <w:jc w:val="both"/>
        <w:rPr>
          <w:rFonts w:ascii="Simplified Arabic" w:hAnsi="Simplified Arabic" w:cs="Simplified Arabic"/>
          <w:color w:val="000000" w:themeColor="text1"/>
          <w:sz w:val="28"/>
          <w:szCs w:val="28"/>
          <w:rtl/>
        </w:rPr>
      </w:pPr>
    </w:p>
    <w:p w14:paraId="163898A6" w14:textId="77777777" w:rsidR="002959BC" w:rsidRPr="00F51EC7" w:rsidRDefault="002959BC" w:rsidP="002959BC">
      <w:pPr>
        <w:jc w:val="both"/>
        <w:rPr>
          <w:rFonts w:ascii="Simplified Arabic" w:hAnsi="Simplified Arabic" w:cs="Simplified Arabic"/>
          <w:color w:val="000000" w:themeColor="text1"/>
          <w:sz w:val="28"/>
          <w:szCs w:val="28"/>
          <w:rtl/>
        </w:rPr>
      </w:pPr>
    </w:p>
    <w:p w14:paraId="1444E449" w14:textId="77777777" w:rsidR="002959BC" w:rsidRPr="00F51EC7" w:rsidRDefault="002959BC" w:rsidP="002959BC">
      <w:pPr>
        <w:jc w:val="both"/>
        <w:rPr>
          <w:rFonts w:ascii="Simplified Arabic" w:hAnsi="Simplified Arabic" w:cs="Simplified Arabic"/>
          <w:color w:val="000000" w:themeColor="text1"/>
          <w:sz w:val="28"/>
          <w:szCs w:val="28"/>
          <w:rtl/>
        </w:rPr>
      </w:pPr>
    </w:p>
    <w:p w14:paraId="31F67F0A" w14:textId="77777777" w:rsidR="002959BC" w:rsidRPr="00F51EC7" w:rsidRDefault="002959BC" w:rsidP="002959BC">
      <w:pPr>
        <w:jc w:val="both"/>
        <w:rPr>
          <w:rFonts w:ascii="Simplified Arabic" w:hAnsi="Simplified Arabic" w:cs="Simplified Arabic"/>
          <w:color w:val="000000" w:themeColor="text1"/>
          <w:sz w:val="28"/>
          <w:szCs w:val="28"/>
          <w:rtl/>
        </w:rPr>
      </w:pPr>
    </w:p>
    <w:p w14:paraId="58747727" w14:textId="77777777" w:rsidR="002959BC" w:rsidRPr="00F51EC7" w:rsidRDefault="002959BC" w:rsidP="002959BC">
      <w:pPr>
        <w:jc w:val="both"/>
        <w:rPr>
          <w:rFonts w:ascii="Simplified Arabic" w:hAnsi="Simplified Arabic" w:cs="Simplified Arabic"/>
          <w:color w:val="000000" w:themeColor="text1"/>
          <w:sz w:val="28"/>
          <w:szCs w:val="28"/>
          <w:rtl/>
        </w:rPr>
      </w:pPr>
    </w:p>
    <w:p w14:paraId="070BE8D1" w14:textId="77777777" w:rsidR="002959BC" w:rsidRPr="00F51EC7" w:rsidRDefault="002959BC" w:rsidP="002959BC">
      <w:pPr>
        <w:jc w:val="both"/>
        <w:rPr>
          <w:rFonts w:ascii="Simplified Arabic" w:hAnsi="Simplified Arabic" w:cs="Simplified Arabic"/>
          <w:color w:val="000000" w:themeColor="text1"/>
          <w:sz w:val="28"/>
          <w:szCs w:val="28"/>
          <w:rtl/>
        </w:rPr>
      </w:pPr>
    </w:p>
    <w:p w14:paraId="6EEF3EA3" w14:textId="77777777" w:rsidR="002959BC" w:rsidRPr="00F51EC7" w:rsidRDefault="002959BC" w:rsidP="002959BC">
      <w:pPr>
        <w:jc w:val="both"/>
        <w:rPr>
          <w:rFonts w:ascii="Simplified Arabic" w:hAnsi="Simplified Arabic" w:cs="Simplified Arabic"/>
          <w:color w:val="000000" w:themeColor="text1"/>
          <w:sz w:val="28"/>
          <w:szCs w:val="28"/>
          <w:rtl/>
        </w:rPr>
      </w:pPr>
    </w:p>
    <w:p w14:paraId="6B42F391" w14:textId="77777777" w:rsidR="002959BC" w:rsidRPr="00F51EC7" w:rsidRDefault="002959BC" w:rsidP="002959BC">
      <w:pPr>
        <w:jc w:val="both"/>
        <w:rPr>
          <w:rFonts w:ascii="Simplified Arabic" w:hAnsi="Simplified Arabic" w:cs="Simplified Arabic"/>
          <w:color w:val="000000" w:themeColor="text1"/>
          <w:sz w:val="28"/>
          <w:szCs w:val="28"/>
          <w:rtl/>
        </w:rPr>
      </w:pPr>
    </w:p>
    <w:p w14:paraId="0286E15D" w14:textId="77777777" w:rsidR="002959BC" w:rsidRPr="00F51EC7" w:rsidRDefault="002959BC" w:rsidP="002959BC">
      <w:pPr>
        <w:jc w:val="both"/>
        <w:rPr>
          <w:rFonts w:ascii="Simplified Arabic" w:hAnsi="Simplified Arabic" w:cs="Simplified Arabic"/>
          <w:color w:val="000000" w:themeColor="text1"/>
          <w:sz w:val="28"/>
          <w:szCs w:val="28"/>
          <w:rtl/>
        </w:rPr>
      </w:pPr>
    </w:p>
    <w:p w14:paraId="0B805E9E" w14:textId="77777777" w:rsidR="002959BC" w:rsidRPr="00F51EC7" w:rsidRDefault="002959BC" w:rsidP="002959BC">
      <w:pPr>
        <w:jc w:val="both"/>
        <w:rPr>
          <w:rFonts w:ascii="Simplified Arabic" w:hAnsi="Simplified Arabic" w:cs="Simplified Arabic"/>
          <w:color w:val="000000" w:themeColor="text1"/>
          <w:sz w:val="28"/>
          <w:szCs w:val="28"/>
          <w:rtl/>
        </w:rPr>
      </w:pPr>
    </w:p>
    <w:p w14:paraId="56BA7EDC" w14:textId="77777777" w:rsidR="002959BC" w:rsidRPr="00F51EC7" w:rsidRDefault="002959BC" w:rsidP="002959BC">
      <w:pPr>
        <w:ind w:firstLine="28"/>
        <w:jc w:val="both"/>
        <w:rPr>
          <w:rFonts w:ascii="Simplified Arabic" w:hAnsi="Simplified Arabic" w:cs="Simplified Arabic"/>
          <w:color w:val="000000"/>
          <w:sz w:val="24"/>
          <w:szCs w:val="24"/>
          <w:rtl/>
        </w:rPr>
      </w:pPr>
      <w:r w:rsidRPr="00F51EC7">
        <w:rPr>
          <w:rFonts w:ascii="Simplified Arabic" w:hAnsi="Simplified Arabic" w:cs="Simplified Arabic"/>
          <w:sz w:val="24"/>
          <w:szCs w:val="24"/>
          <w:rtl/>
        </w:rPr>
        <w:t>المصدر: من إعداد الباحث بالاعتماد على بيانات الجداول أرقام (4-1)، (4-2)، (4-3)، (4-4) بالملحق.</w:t>
      </w:r>
    </w:p>
    <w:p w14:paraId="4BA195E1" w14:textId="77777777" w:rsidR="002959BC" w:rsidRDefault="002959BC" w:rsidP="002959BC">
      <w:pPr>
        <w:ind w:firstLine="453"/>
        <w:jc w:val="both"/>
        <w:rPr>
          <w:rFonts w:ascii="Simplified Arabic" w:hAnsi="Simplified Arabic" w:cs="Simplified Arabic"/>
          <w:sz w:val="28"/>
          <w:szCs w:val="28"/>
          <w:rtl/>
          <w:lang w:bidi="ar-EG"/>
        </w:rPr>
      </w:pPr>
    </w:p>
    <w:p w14:paraId="10FFACBC" w14:textId="77777777" w:rsidR="002959BC" w:rsidRDefault="002959BC" w:rsidP="002959BC">
      <w:pPr>
        <w:ind w:firstLine="453"/>
        <w:jc w:val="both"/>
        <w:rPr>
          <w:rFonts w:ascii="Simplified Arabic" w:hAnsi="Simplified Arabic" w:cs="Simplified Arabic"/>
          <w:sz w:val="28"/>
          <w:szCs w:val="28"/>
          <w:rtl/>
          <w:lang w:bidi="ar-EG"/>
        </w:rPr>
      </w:pPr>
    </w:p>
    <w:p w14:paraId="3B927387" w14:textId="77777777" w:rsidR="002959BC" w:rsidRPr="00F51EC7" w:rsidRDefault="002959BC" w:rsidP="002959BC">
      <w:pPr>
        <w:ind w:firstLine="453"/>
        <w:jc w:val="both"/>
        <w:rPr>
          <w:rFonts w:ascii="Simplified Arabic" w:hAnsi="Simplified Arabic" w:cs="Simplified Arabic"/>
          <w:sz w:val="28"/>
          <w:szCs w:val="28"/>
          <w:rtl/>
          <w:lang w:bidi="ar-EG"/>
        </w:rPr>
      </w:pPr>
      <w:r w:rsidRPr="00F51EC7">
        <w:rPr>
          <w:rFonts w:ascii="Simplified Arabic" w:hAnsi="Simplified Arabic" w:cs="Simplified Arabic"/>
          <w:sz w:val="28"/>
          <w:szCs w:val="28"/>
          <w:rtl/>
          <w:lang w:bidi="ar-EG"/>
        </w:rPr>
        <w:t xml:space="preserve">ويتضح من الشكل رقم (2-19) أن الرقم القياسي لأسعار المستهلكين ظلت تتخذ مساراً تصاعدياً خلال الفترة من العام المالي 1998/1999 وحتى العام المالي 2010/2011 حيث ارتفعت من 42.6 خلال العام المالي 1998/1999 لتصل إلى 100 في العام المالي 2010/2011 (سنة الأساس)، وإن كان هناك تباطؤ في تلك الزيادة في بعض السنوات المالية (من العام المالي 1999/2000 وحتى العام </w:t>
      </w:r>
      <w:r w:rsidRPr="00F51EC7">
        <w:rPr>
          <w:rFonts w:ascii="Simplified Arabic" w:hAnsi="Simplified Arabic" w:cs="Simplified Arabic"/>
          <w:sz w:val="28"/>
          <w:szCs w:val="28"/>
          <w:rtl/>
          <w:lang w:bidi="ar-EG"/>
        </w:rPr>
        <w:lastRenderedPageBreak/>
        <w:t>المالي 2002/2003) وارتفاعاً كبيراً في سنوات مالية أخرى (2007/2008 وحتى العام المالي 2010/2011).</w:t>
      </w:r>
    </w:p>
    <w:p w14:paraId="7C66C39A" w14:textId="77777777" w:rsidR="002959BC" w:rsidRPr="00F51EC7" w:rsidRDefault="002959BC" w:rsidP="002959BC">
      <w:pPr>
        <w:ind w:firstLine="709"/>
        <w:jc w:val="both"/>
        <w:rPr>
          <w:rFonts w:ascii="Simplified Arabic" w:hAnsi="Simplified Arabic" w:cs="Simplified Arabic"/>
          <w:sz w:val="28"/>
          <w:szCs w:val="28"/>
          <w:rtl/>
          <w:lang w:bidi="ar-EG"/>
        </w:rPr>
      </w:pPr>
    </w:p>
    <w:p w14:paraId="0D6AE8AE" w14:textId="77777777" w:rsidR="002959BC" w:rsidRPr="00F51EC7" w:rsidRDefault="002959BC" w:rsidP="002959BC">
      <w:pPr>
        <w:ind w:firstLine="453"/>
        <w:jc w:val="both"/>
        <w:rPr>
          <w:rFonts w:ascii="Simplified Arabic" w:hAnsi="Simplified Arabic" w:cs="Simplified Arabic"/>
          <w:sz w:val="28"/>
          <w:szCs w:val="28"/>
          <w:lang w:bidi="ar-EG"/>
        </w:rPr>
      </w:pPr>
      <w:r w:rsidRPr="00F51EC7">
        <w:rPr>
          <w:rFonts w:ascii="Simplified Arabic" w:hAnsi="Simplified Arabic" w:cs="Simplified Arabic"/>
          <w:sz w:val="28"/>
          <w:szCs w:val="28"/>
          <w:rtl/>
          <w:lang w:bidi="ar-EG"/>
        </w:rPr>
        <w:t xml:space="preserve">كما يتضح أنه خلال تلك الفترة كان التمويل الخارجي يتزايد بمعدلات منخفضة حيث كان في أول الفترة -2 مليار جنيه ووصل في آخر الفترة إلى 5 مليار جنيه، بينما كان التمويل المحلي يتزايد بشكل كبير خلال ذات الفترة حيث كان يبلغ 10.3 مليار جنيه في العام المالي 1998/1999 بينما وصل في العام المالي 2010/2011 إلى 144.3 مليار جنيه وهي زيادة كبيرة جداً تربو على 14 ضعف خلال تلك الفترة. ونجد أن التمويل المحلي المصرفي كان له النصيب الأكبر في تلك الزيادة حيث زاد من 8.9 مليار جنيه في أول الفترة ليصل إلى 109.6 مليار جنيه في نهاية الفترة، بينما كان التمويل المحلي غير المصرفي في العام المالي 1998/1999 يبلغ 1.4 مليار جنيه ليصل في العام المالي 2010/2011 إلى 34.7 مليار جنيه. </w:t>
      </w:r>
    </w:p>
    <w:p w14:paraId="1C930055" w14:textId="46D399F7" w:rsidR="002959BC" w:rsidRDefault="002959BC">
      <w:pPr>
        <w:bidi w:val="0"/>
        <w:spacing w:after="160" w:line="259" w:lineRule="auto"/>
        <w:rPr>
          <w:rtl/>
          <w:lang w:bidi="ar-EG"/>
        </w:rPr>
      </w:pPr>
      <w:r>
        <w:rPr>
          <w:rtl/>
          <w:lang w:bidi="ar-EG"/>
        </w:rPr>
        <w:br w:type="page"/>
      </w:r>
    </w:p>
    <w:p w14:paraId="3F5C3029" w14:textId="77777777" w:rsidR="002959BC" w:rsidRPr="005D7040" w:rsidRDefault="002959BC" w:rsidP="002959BC">
      <w:pPr>
        <w:ind w:left="542" w:hanging="514"/>
        <w:jc w:val="both"/>
        <w:rPr>
          <w:rFonts w:ascii="Simplified Arabic" w:hAnsi="Simplified Arabic" w:cs="Simplified Arabic"/>
          <w:b/>
          <w:bCs/>
          <w:sz w:val="30"/>
          <w:szCs w:val="30"/>
          <w:u w:val="single"/>
          <w:rtl/>
          <w:lang w:bidi="ar-EG"/>
        </w:rPr>
      </w:pPr>
      <w:r w:rsidRPr="005D7040">
        <w:rPr>
          <w:rFonts w:ascii="Simplified Arabic" w:hAnsi="Simplified Arabic" w:cs="Simplified Arabic"/>
          <w:b/>
          <w:bCs/>
          <w:sz w:val="30"/>
          <w:szCs w:val="30"/>
          <w:u w:val="single"/>
          <w:rtl/>
          <w:lang w:bidi="ar-EG"/>
        </w:rPr>
        <w:lastRenderedPageBreak/>
        <w:t>ثالثاً: تحليل العلاقة بين آليات تمويل عجز الموازنة العامة والتضخم في مصر خلال الفترة من العام المالي 2011/2012 إلى 2018/2019:</w:t>
      </w:r>
    </w:p>
    <w:p w14:paraId="4EB07926" w14:textId="77777777" w:rsidR="002959BC" w:rsidRPr="005D7040" w:rsidRDefault="002959BC" w:rsidP="002959BC">
      <w:pPr>
        <w:ind w:left="542" w:hanging="514"/>
        <w:jc w:val="both"/>
        <w:rPr>
          <w:rFonts w:ascii="Simplified Arabic" w:hAnsi="Simplified Arabic" w:cs="Simplified Arabic"/>
          <w:sz w:val="28"/>
          <w:szCs w:val="28"/>
          <w:u w:val="single"/>
          <w:rtl/>
          <w:lang w:bidi="ar-EG"/>
        </w:rPr>
      </w:pPr>
    </w:p>
    <w:p w14:paraId="632481FE" w14:textId="77777777" w:rsidR="002959BC" w:rsidRPr="005D7040" w:rsidRDefault="002959BC" w:rsidP="002959BC">
      <w:pPr>
        <w:ind w:left="542" w:hanging="514"/>
        <w:jc w:val="both"/>
        <w:rPr>
          <w:rFonts w:ascii="Simplified Arabic" w:hAnsi="Simplified Arabic" w:cs="Simplified Arabic"/>
          <w:b/>
          <w:bCs/>
          <w:sz w:val="30"/>
          <w:szCs w:val="30"/>
          <w:u w:val="single"/>
          <w:lang w:bidi="ar-EG"/>
        </w:rPr>
      </w:pPr>
      <w:r w:rsidRPr="005D7040">
        <w:rPr>
          <w:rFonts w:ascii="Simplified Arabic" w:hAnsi="Simplified Arabic" w:cs="Simplified Arabic"/>
          <w:b/>
          <w:bCs/>
          <w:sz w:val="30"/>
          <w:szCs w:val="30"/>
          <w:u w:val="single"/>
          <w:rtl/>
          <w:lang w:bidi="ar-EG"/>
        </w:rPr>
        <w:t>1-</w:t>
      </w:r>
      <w:r w:rsidRPr="005D7040">
        <w:rPr>
          <w:rFonts w:ascii="Simplified Arabic" w:hAnsi="Simplified Arabic" w:cs="Simplified Arabic"/>
          <w:b/>
          <w:bCs/>
          <w:sz w:val="30"/>
          <w:szCs w:val="30"/>
          <w:rtl/>
          <w:lang w:bidi="ar-EG"/>
        </w:rPr>
        <w:t xml:space="preserve"> </w:t>
      </w:r>
      <w:r w:rsidRPr="005D7040">
        <w:rPr>
          <w:rFonts w:ascii="Simplified Arabic" w:hAnsi="Simplified Arabic" w:cs="Simplified Arabic"/>
          <w:b/>
          <w:bCs/>
          <w:sz w:val="30"/>
          <w:szCs w:val="30"/>
          <w:u w:val="single"/>
          <w:rtl/>
          <w:lang w:bidi="ar-EG"/>
        </w:rPr>
        <w:t>تطور عجز الموازنة العامة للدولة:</w:t>
      </w:r>
    </w:p>
    <w:p w14:paraId="0A9BC94A" w14:textId="77777777" w:rsidR="002959BC" w:rsidRPr="005D7040" w:rsidRDefault="002959BC" w:rsidP="002959BC">
      <w:pPr>
        <w:ind w:left="542" w:hanging="514"/>
        <w:jc w:val="both"/>
        <w:rPr>
          <w:rFonts w:ascii="Simplified Arabic" w:hAnsi="Simplified Arabic" w:cs="Simplified Arabic"/>
          <w:sz w:val="28"/>
          <w:szCs w:val="28"/>
          <w:u w:val="single"/>
          <w:rtl/>
          <w:lang w:bidi="ar-EG"/>
        </w:rPr>
      </w:pPr>
    </w:p>
    <w:p w14:paraId="1585D176" w14:textId="77777777" w:rsidR="002959BC" w:rsidRPr="005D7040" w:rsidRDefault="002959BC" w:rsidP="002959BC">
      <w:pPr>
        <w:ind w:firstLine="453"/>
        <w:jc w:val="both"/>
        <w:rPr>
          <w:rFonts w:ascii="Simplified Arabic" w:hAnsi="Simplified Arabic" w:cs="Simplified Arabic"/>
          <w:sz w:val="28"/>
          <w:szCs w:val="28"/>
          <w:rtl/>
          <w:lang w:bidi="ar-EG"/>
        </w:rPr>
      </w:pPr>
      <w:r w:rsidRPr="005D7040">
        <w:rPr>
          <w:rFonts w:ascii="Simplified Arabic" w:hAnsi="Simplified Arabic" w:cs="Simplified Arabic"/>
          <w:sz w:val="28"/>
          <w:szCs w:val="28"/>
          <w:rtl/>
          <w:lang w:bidi="ar-EG"/>
        </w:rPr>
        <w:t xml:space="preserve">تأثر الاقتصاد المصري بشدة من جراء الأحداث السياسية في المنطقة وثورة يناير 2011 حيث أدى الوضع الاقتصادي والسياسي غير المستقر إلى تباطؤ معدلات النمو وانخفاض في صافي الاستثمارات الأجنبية المباشرة </w:t>
      </w:r>
      <w:r w:rsidRPr="005D7040">
        <w:rPr>
          <w:rFonts w:ascii="Simplified Arabic" w:hAnsi="Simplified Arabic" w:cs="Simplified Arabic"/>
          <w:sz w:val="28"/>
          <w:szCs w:val="28"/>
          <w:vertAlign w:val="superscript"/>
          <w:rtl/>
          <w:lang w:bidi="ar-EG"/>
        </w:rPr>
        <w:t>(</w:t>
      </w:r>
      <w:r w:rsidRPr="005D7040">
        <w:rPr>
          <w:rFonts w:ascii="Simplified Arabic" w:hAnsi="Simplified Arabic" w:cs="Simplified Arabic"/>
          <w:sz w:val="28"/>
          <w:szCs w:val="28"/>
          <w:vertAlign w:val="superscript"/>
          <w:rtl/>
          <w:lang w:bidi="ar-EG"/>
        </w:rPr>
        <w:footnoteReference w:id="95"/>
      </w:r>
      <w:r w:rsidRPr="005D7040">
        <w:rPr>
          <w:rFonts w:ascii="Simplified Arabic" w:hAnsi="Simplified Arabic" w:cs="Simplified Arabic"/>
          <w:sz w:val="28"/>
          <w:szCs w:val="28"/>
          <w:vertAlign w:val="superscript"/>
          <w:rtl/>
          <w:lang w:bidi="ar-EG"/>
        </w:rPr>
        <w:t xml:space="preserve">) </w:t>
      </w:r>
      <w:r w:rsidRPr="005D7040">
        <w:rPr>
          <w:rFonts w:ascii="Simplified Arabic" w:hAnsi="Simplified Arabic" w:cs="Simplified Arabic"/>
          <w:sz w:val="28"/>
          <w:szCs w:val="28"/>
          <w:rtl/>
          <w:lang w:bidi="ar-EG"/>
        </w:rPr>
        <w:t>وهو ما ألقى بظلاله على وضع المالية العامة حيث زادت النفقات العامة بشكل كبير في حين كانت الإيرادات في نفس مستواها نسبة إلى الناتج المحلي الإجمالي وتزايدت معدلات العجز الكلي في الموازنة.</w:t>
      </w:r>
    </w:p>
    <w:p w14:paraId="49C14A79" w14:textId="77777777" w:rsidR="002959BC" w:rsidRPr="005D7040" w:rsidRDefault="002959BC" w:rsidP="002959BC">
      <w:pPr>
        <w:ind w:firstLine="453"/>
        <w:jc w:val="both"/>
        <w:rPr>
          <w:rFonts w:ascii="Simplified Arabic" w:hAnsi="Simplified Arabic" w:cs="Simplified Arabic"/>
          <w:sz w:val="28"/>
          <w:szCs w:val="28"/>
          <w:rtl/>
          <w:lang w:bidi="ar-EG"/>
        </w:rPr>
      </w:pPr>
    </w:p>
    <w:p w14:paraId="1752DD0D" w14:textId="77777777" w:rsidR="002959BC" w:rsidRPr="005D7040" w:rsidRDefault="002959BC" w:rsidP="002959BC">
      <w:pPr>
        <w:ind w:firstLine="453"/>
        <w:jc w:val="both"/>
        <w:rPr>
          <w:rFonts w:ascii="Simplified Arabic" w:hAnsi="Simplified Arabic" w:cs="Simplified Arabic"/>
          <w:sz w:val="28"/>
          <w:szCs w:val="28"/>
          <w:rtl/>
          <w:lang w:bidi="ar-EG"/>
        </w:rPr>
      </w:pPr>
      <w:r w:rsidRPr="005D7040">
        <w:rPr>
          <w:rFonts w:ascii="Simplified Arabic" w:hAnsi="Simplified Arabic" w:cs="Simplified Arabic"/>
          <w:sz w:val="28"/>
          <w:szCs w:val="28"/>
          <w:rtl/>
          <w:lang w:bidi="ar-EG"/>
        </w:rPr>
        <w:t xml:space="preserve">كما صادف ذلك كله تغيرات مستمرة في تشكيل الوزارة وهو ما أدى إلى عدم وضوح السياسة المالية المتبعة حيث كانت في معظمها وزارات تسيير أعمال ولم يكن لأي منها سياسة مالية واضحة يمكن التعويل عليها، فقد كان يتم التعامل مع الأحداث بشكل يومي دون وجود استراتيجية لإدارة الأزمة تتيح التعامل مع هذا الوضع غير المستقر، وهو ما أدى إلى تفاقم أوضاع المالية العامة </w:t>
      </w:r>
      <w:r w:rsidRPr="005D7040">
        <w:rPr>
          <w:rFonts w:ascii="Simplified Arabic" w:hAnsi="Simplified Arabic" w:cs="Simplified Arabic"/>
          <w:sz w:val="28"/>
          <w:szCs w:val="28"/>
          <w:vertAlign w:val="superscript"/>
          <w:rtl/>
          <w:lang w:bidi="ar-EG"/>
        </w:rPr>
        <w:t>(</w:t>
      </w:r>
      <w:r w:rsidRPr="005D7040">
        <w:rPr>
          <w:rFonts w:ascii="Simplified Arabic" w:hAnsi="Simplified Arabic" w:cs="Simplified Arabic"/>
          <w:sz w:val="28"/>
          <w:szCs w:val="28"/>
          <w:vertAlign w:val="superscript"/>
          <w:rtl/>
          <w:lang w:bidi="ar-EG"/>
        </w:rPr>
        <w:footnoteReference w:id="96"/>
      </w:r>
      <w:r w:rsidRPr="005D7040">
        <w:rPr>
          <w:rFonts w:ascii="Simplified Arabic" w:hAnsi="Simplified Arabic" w:cs="Simplified Arabic"/>
          <w:sz w:val="28"/>
          <w:szCs w:val="28"/>
          <w:vertAlign w:val="superscript"/>
          <w:rtl/>
          <w:lang w:bidi="ar-EG"/>
        </w:rPr>
        <w:t>)</w:t>
      </w:r>
      <w:r w:rsidRPr="005D7040">
        <w:rPr>
          <w:rFonts w:ascii="Simplified Arabic" w:hAnsi="Simplified Arabic" w:cs="Simplified Arabic"/>
          <w:sz w:val="28"/>
          <w:szCs w:val="28"/>
          <w:rtl/>
          <w:lang w:bidi="ar-EG"/>
        </w:rPr>
        <w:t>.</w:t>
      </w:r>
    </w:p>
    <w:p w14:paraId="60F6EE13" w14:textId="77777777" w:rsidR="002959BC" w:rsidRPr="005D7040" w:rsidRDefault="002959BC" w:rsidP="002959BC">
      <w:pPr>
        <w:ind w:firstLine="453"/>
        <w:jc w:val="both"/>
        <w:rPr>
          <w:rFonts w:ascii="Simplified Arabic" w:hAnsi="Simplified Arabic" w:cs="Simplified Arabic"/>
          <w:sz w:val="28"/>
          <w:szCs w:val="28"/>
          <w:rtl/>
          <w:lang w:bidi="ar-EG"/>
        </w:rPr>
      </w:pPr>
    </w:p>
    <w:p w14:paraId="7C182B23" w14:textId="77777777" w:rsidR="002959BC" w:rsidRPr="005D7040" w:rsidRDefault="002959BC" w:rsidP="002959BC">
      <w:pPr>
        <w:ind w:firstLine="453"/>
        <w:jc w:val="both"/>
        <w:rPr>
          <w:rFonts w:ascii="Simplified Arabic" w:hAnsi="Simplified Arabic" w:cs="Simplified Arabic"/>
          <w:sz w:val="28"/>
          <w:szCs w:val="28"/>
          <w:rtl/>
          <w:lang w:bidi="ar-EG"/>
        </w:rPr>
      </w:pPr>
      <w:r w:rsidRPr="005D7040">
        <w:rPr>
          <w:rFonts w:ascii="Simplified Arabic" w:hAnsi="Simplified Arabic" w:cs="Simplified Arabic"/>
          <w:sz w:val="28"/>
          <w:szCs w:val="28"/>
          <w:rtl/>
          <w:lang w:bidi="ar-EG"/>
        </w:rPr>
        <w:t>ويوضح الشكل التالي تطور إجمالي الإيرادات العامة والنفقات العامة وكذا عجز الموازنة العامة للدولة خلال الفترة من العام المالي 2011/2012 إلى العام المالي 2018/2019:</w:t>
      </w:r>
    </w:p>
    <w:p w14:paraId="463BCE8F" w14:textId="77777777" w:rsidR="002959BC" w:rsidRPr="005D7040" w:rsidRDefault="002959BC" w:rsidP="002959BC">
      <w:pPr>
        <w:pStyle w:val="ListParagraph"/>
        <w:spacing w:after="0" w:line="240" w:lineRule="auto"/>
        <w:ind w:left="453"/>
        <w:contextualSpacing w:val="0"/>
        <w:jc w:val="both"/>
        <w:rPr>
          <w:rFonts w:ascii="Simplified Arabic" w:hAnsi="Simplified Arabic" w:cs="Simplified Arabic"/>
          <w:sz w:val="28"/>
          <w:szCs w:val="28"/>
          <w:u w:val="single"/>
          <w:rtl/>
          <w:lang w:bidi="ar-EG"/>
        </w:rPr>
        <w:sectPr w:rsidR="002959BC" w:rsidRPr="005D7040" w:rsidSect="00270E6A">
          <w:footerReference w:type="default" r:id="rId32"/>
          <w:headerReference w:type="first" r:id="rId33"/>
          <w:footnotePr>
            <w:numRestart w:val="eachPage"/>
          </w:footnotePr>
          <w:pgSz w:w="11907" w:h="16840" w:code="9"/>
          <w:pgMar w:top="1134" w:right="1701" w:bottom="1134" w:left="1134" w:header="425" w:footer="0" w:gutter="0"/>
          <w:pgNumType w:start="60"/>
          <w:cols w:space="720"/>
          <w:rtlGutter/>
          <w:docGrid w:linePitch="360"/>
        </w:sectPr>
      </w:pPr>
    </w:p>
    <w:p w14:paraId="7F700CB3" w14:textId="77777777" w:rsidR="002959BC" w:rsidRPr="007B6E3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7B6E36">
        <w:rPr>
          <w:rFonts w:ascii="Simplified Arabic" w:eastAsia="Times New Roman" w:hAnsi="Simplified Arabic" w:cs="Simplified Arabic"/>
          <w:b/>
          <w:bCs/>
          <w:sz w:val="24"/>
          <w:szCs w:val="24"/>
          <w:rtl/>
        </w:rPr>
        <w:lastRenderedPageBreak/>
        <w:t>شكل رقم (2-20)</w:t>
      </w:r>
    </w:p>
    <w:p w14:paraId="08A43D8B" w14:textId="77777777" w:rsidR="002959BC" w:rsidRPr="007B6E3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7B6E36">
        <w:rPr>
          <w:rFonts w:ascii="Simplified Arabic" w:eastAsia="Times New Roman" w:hAnsi="Simplified Arabic" w:cs="Simplified Arabic"/>
          <w:b/>
          <w:bCs/>
          <w:sz w:val="24"/>
          <w:szCs w:val="24"/>
          <w:rtl/>
        </w:rPr>
        <w:t>تطور الإيرادات والمصروفات والعجز الكلي للموازنة العامة</w:t>
      </w:r>
    </w:p>
    <w:p w14:paraId="1FD9C38E" w14:textId="77777777" w:rsidR="002959BC" w:rsidRPr="007B6E3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7B6E36">
        <w:rPr>
          <w:rFonts w:ascii="Simplified Arabic" w:eastAsia="Times New Roman" w:hAnsi="Simplified Arabic" w:cs="Simplified Arabic"/>
          <w:b/>
          <w:bCs/>
          <w:sz w:val="24"/>
          <w:szCs w:val="24"/>
        </w:rPr>
        <w:drawing>
          <wp:anchor distT="0" distB="0" distL="114300" distR="114300" simplePos="0" relativeHeight="251703296" behindDoc="1" locked="0" layoutInCell="1" allowOverlap="1" wp14:anchorId="1F8709D2" wp14:editId="1A907C15">
            <wp:simplePos x="0" y="0"/>
            <wp:positionH relativeFrom="margin">
              <wp:align>center</wp:align>
            </wp:positionH>
            <wp:positionV relativeFrom="paragraph">
              <wp:posOffset>351155</wp:posOffset>
            </wp:positionV>
            <wp:extent cx="5507990" cy="3128010"/>
            <wp:effectExtent l="0" t="0" r="16510" b="15240"/>
            <wp:wrapTight wrapText="bothSides">
              <wp:wrapPolygon edited="0">
                <wp:start x="0" y="0"/>
                <wp:lineTo x="0" y="21574"/>
                <wp:lineTo x="21590" y="21574"/>
                <wp:lineTo x="21590" y="0"/>
                <wp:lineTo x="0" y="0"/>
              </wp:wrapPolygon>
            </wp:wrapTight>
            <wp:docPr id="127" name="Chart 1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r w:rsidRPr="007B6E36">
        <w:rPr>
          <w:rFonts w:ascii="Simplified Arabic" w:eastAsia="Times New Roman" w:hAnsi="Simplified Arabic" w:cs="Simplified Arabic"/>
          <w:b/>
          <w:bCs/>
          <w:sz w:val="24"/>
          <w:szCs w:val="24"/>
          <w:rtl/>
        </w:rPr>
        <w:t>خلال الفترة (2011/2012 إلى 2018/2019)</w:t>
      </w:r>
    </w:p>
    <w:p w14:paraId="002FF20F" w14:textId="77777777" w:rsidR="002959BC" w:rsidRPr="005D7040" w:rsidRDefault="002959BC" w:rsidP="002959BC">
      <w:pPr>
        <w:ind w:firstLine="28"/>
        <w:jc w:val="both"/>
        <w:rPr>
          <w:rFonts w:ascii="Simplified Arabic" w:hAnsi="Simplified Arabic" w:cs="Simplified Arabic"/>
          <w:color w:val="000000"/>
          <w:sz w:val="24"/>
          <w:szCs w:val="24"/>
          <w:rtl/>
        </w:rPr>
      </w:pPr>
      <w:r w:rsidRPr="005D7040">
        <w:rPr>
          <w:rFonts w:ascii="Simplified Arabic" w:hAnsi="Simplified Arabic" w:cs="Simplified Arabic"/>
          <w:sz w:val="24"/>
          <w:szCs w:val="24"/>
          <w:rtl/>
        </w:rPr>
        <w:t>المصدر: من إعداد الباحث بالاعتماد على بيانات الجدول رقم (4-1) بالملحق.</w:t>
      </w:r>
    </w:p>
    <w:p w14:paraId="4A65EA43" w14:textId="77777777" w:rsidR="002959BC" w:rsidRPr="005D7040" w:rsidRDefault="002959BC" w:rsidP="002959BC">
      <w:pPr>
        <w:ind w:firstLine="453"/>
        <w:jc w:val="both"/>
        <w:rPr>
          <w:rFonts w:ascii="Simplified Arabic" w:hAnsi="Simplified Arabic" w:cs="Simplified Arabic"/>
          <w:rtl/>
          <w:lang w:bidi="ar-EG"/>
        </w:rPr>
      </w:pPr>
    </w:p>
    <w:p w14:paraId="42D8EAC0" w14:textId="77777777" w:rsidR="002959BC" w:rsidRPr="005D7040" w:rsidRDefault="002959BC" w:rsidP="002959BC">
      <w:pPr>
        <w:ind w:firstLine="453"/>
        <w:jc w:val="both"/>
        <w:rPr>
          <w:rFonts w:ascii="Simplified Arabic" w:hAnsi="Simplified Arabic" w:cs="Simplified Arabic"/>
          <w:sz w:val="28"/>
          <w:szCs w:val="28"/>
          <w:rtl/>
          <w:lang w:bidi="ar-EG"/>
        </w:rPr>
      </w:pPr>
      <w:r w:rsidRPr="005D7040">
        <w:rPr>
          <w:rFonts w:ascii="Simplified Arabic" w:hAnsi="Simplified Arabic" w:cs="Simplified Arabic"/>
          <w:sz w:val="28"/>
          <w:szCs w:val="28"/>
          <w:rtl/>
          <w:lang w:bidi="ar-EG"/>
        </w:rPr>
        <w:t>ويتضح من الشكل رقم (2-20) أنه خلال الفترة من العام المالي 2011/2012 إلى العام المالي 2015/2016 كان هناك تزايد كبير في عجز الموازنة العامة للدولة حيث بلغ عجز الموازنة العامة للدولة في العام المالي 2011/2012 مبلغ 166705 مليون جنيه (10.1% كنسبة إلى الناتج المحلي الإجمالي) وظل يرتفع عجز الموازنة خلال تلك الفترة حتى وصل في العام المالي 2015/2016 مبلغ 339495 مليون جنيه (12.5% كنسبة إلى الناتج المحلي الإجمالي).</w:t>
      </w:r>
    </w:p>
    <w:p w14:paraId="16B2AAE2" w14:textId="77777777" w:rsidR="002959BC" w:rsidRPr="005D7040" w:rsidRDefault="002959BC" w:rsidP="002959BC">
      <w:pPr>
        <w:ind w:firstLine="453"/>
        <w:jc w:val="both"/>
        <w:rPr>
          <w:rFonts w:ascii="Simplified Arabic" w:hAnsi="Simplified Arabic" w:cs="Simplified Arabic"/>
          <w:rtl/>
          <w:lang w:bidi="ar-EG"/>
        </w:rPr>
      </w:pPr>
    </w:p>
    <w:p w14:paraId="5F525F7D" w14:textId="77777777" w:rsidR="002959BC" w:rsidRPr="005D7040" w:rsidRDefault="002959BC" w:rsidP="002959BC">
      <w:pPr>
        <w:ind w:firstLine="453"/>
        <w:jc w:val="both"/>
        <w:rPr>
          <w:rFonts w:ascii="Simplified Arabic" w:hAnsi="Simplified Arabic" w:cs="Simplified Arabic"/>
          <w:sz w:val="28"/>
          <w:szCs w:val="28"/>
          <w:rtl/>
          <w:lang w:bidi="ar-EG"/>
        </w:rPr>
      </w:pPr>
      <w:r w:rsidRPr="005D7040">
        <w:rPr>
          <w:rFonts w:ascii="Simplified Arabic" w:hAnsi="Simplified Arabic" w:cs="Simplified Arabic"/>
          <w:sz w:val="28"/>
          <w:szCs w:val="28"/>
          <w:rtl/>
          <w:lang w:bidi="ar-EG"/>
        </w:rPr>
        <w:t>ويرجع ذلك إلى زيادة النفقات العامة والتي كانت تبلغ في العام المالي 2011/2012 مبلغ 470992 مليون جنيه (28.4% من الناتج المحلي الإجمالي) لتصل خلال العام المالي 2015/2016 إلى 817844 مليون جنيه (30.2% نسبة إلى الناتج المحلي الإجمالي).</w:t>
      </w:r>
    </w:p>
    <w:p w14:paraId="762631DF" w14:textId="77777777" w:rsidR="002959BC" w:rsidRPr="005D7040" w:rsidRDefault="002959BC" w:rsidP="002959BC">
      <w:pPr>
        <w:ind w:firstLine="453"/>
        <w:jc w:val="both"/>
        <w:rPr>
          <w:rFonts w:ascii="Simplified Arabic" w:hAnsi="Simplified Arabic" w:cs="Simplified Arabic"/>
          <w:sz w:val="18"/>
          <w:szCs w:val="18"/>
          <w:rtl/>
          <w:lang w:bidi="ar-EG"/>
        </w:rPr>
      </w:pPr>
    </w:p>
    <w:p w14:paraId="325434B2" w14:textId="77777777" w:rsidR="002959BC" w:rsidRPr="005D7040" w:rsidRDefault="002959BC" w:rsidP="002959BC">
      <w:pPr>
        <w:ind w:firstLine="453"/>
        <w:jc w:val="both"/>
        <w:rPr>
          <w:rFonts w:ascii="Simplified Arabic" w:hAnsi="Simplified Arabic" w:cs="Simplified Arabic"/>
          <w:sz w:val="28"/>
          <w:szCs w:val="28"/>
          <w:rtl/>
          <w:lang w:bidi="ar-EG"/>
        </w:rPr>
      </w:pPr>
      <w:r w:rsidRPr="005D7040">
        <w:rPr>
          <w:rFonts w:ascii="Simplified Arabic" w:hAnsi="Simplified Arabic" w:cs="Simplified Arabic"/>
          <w:sz w:val="28"/>
          <w:szCs w:val="28"/>
          <w:rtl/>
          <w:lang w:bidi="ar-EG"/>
        </w:rPr>
        <w:t xml:space="preserve">إلا أنه بعد تطبيق برنامج الإصلاح الاقتصادي بالاتفاق مع صندوق النقد الدولي بداية من العام المالي 2016/2017 بدأت نسب عجز الموازنة العامة للدولة إلى الناتج المحلي الإجمالي في الانخفاض التدريجي حيث بلغ عجز الموازنة العامة للدولة في العام المالي 2016/2017 مبلغ 379590 مليون جنيه (10.9% كنسبة إلى الناتج المحلي الإجمالي) وظلت نسبة عجز الموازنة تتجه نحو الانخفاض حتى وصل عجز </w:t>
      </w:r>
      <w:r w:rsidRPr="005D7040">
        <w:rPr>
          <w:rFonts w:ascii="Simplified Arabic" w:hAnsi="Simplified Arabic" w:cs="Simplified Arabic"/>
          <w:sz w:val="28"/>
          <w:szCs w:val="28"/>
          <w:rtl/>
          <w:lang w:bidi="ar-EG"/>
        </w:rPr>
        <w:lastRenderedPageBreak/>
        <w:t>الموازنة العامة في العام المالي 2018/2019 مبلغ 429951 مليون جنيه (8.1% كنسبة إلى الناتج المحلي الإجمالي) وهو ما يدل على التحسن التدريجي في عجز الموازنة العامة للدولة.</w:t>
      </w:r>
    </w:p>
    <w:p w14:paraId="63764DBB" w14:textId="77777777" w:rsidR="002959BC" w:rsidRPr="005D7040" w:rsidRDefault="002959BC" w:rsidP="002959BC">
      <w:pPr>
        <w:ind w:firstLine="453"/>
        <w:jc w:val="both"/>
        <w:rPr>
          <w:rFonts w:ascii="Simplified Arabic" w:hAnsi="Simplified Arabic" w:cs="Simplified Arabic"/>
          <w:rtl/>
          <w:lang w:bidi="ar-EG"/>
        </w:rPr>
      </w:pPr>
    </w:p>
    <w:p w14:paraId="4C90DA32" w14:textId="77777777" w:rsidR="002959BC" w:rsidRPr="005D7040" w:rsidRDefault="002959BC" w:rsidP="002959BC">
      <w:pPr>
        <w:ind w:firstLine="453"/>
        <w:jc w:val="both"/>
        <w:rPr>
          <w:rFonts w:ascii="Simplified Arabic" w:hAnsi="Simplified Arabic" w:cs="Simplified Arabic"/>
          <w:sz w:val="28"/>
          <w:szCs w:val="28"/>
          <w:rtl/>
          <w:lang w:bidi="ar-EG"/>
        </w:rPr>
      </w:pPr>
      <w:r w:rsidRPr="005D7040">
        <w:rPr>
          <w:rFonts w:ascii="Simplified Arabic" w:hAnsi="Simplified Arabic" w:cs="Simplified Arabic"/>
          <w:sz w:val="28"/>
          <w:szCs w:val="28"/>
          <w:rtl/>
          <w:lang w:bidi="ar-EG"/>
        </w:rPr>
        <w:t>وذلك نتيجة اتجاه النفقات العامة كنسبة إلى الناتج المحلي الإجمالي للانخفاض التدريجي بدءً من العام المالي 2016/2017 حيث بلغت 1031941 مليون جنيه (29.7% نسبة إلى الناتج المحلي الإجمالي) لتصل في العام المالي 2018/2019 لمبلغ 1369870 مليون جنيه (25.7% نسبة إلى الناتج المحلي الإجمالي).</w:t>
      </w:r>
    </w:p>
    <w:p w14:paraId="6C0F9324" w14:textId="77777777" w:rsidR="002959BC" w:rsidRPr="005D7040" w:rsidRDefault="002959BC" w:rsidP="002959BC">
      <w:pPr>
        <w:ind w:firstLine="453"/>
        <w:jc w:val="both"/>
        <w:rPr>
          <w:rFonts w:ascii="Simplified Arabic" w:hAnsi="Simplified Arabic" w:cs="Simplified Arabic"/>
          <w:rtl/>
          <w:lang w:bidi="ar-EG"/>
        </w:rPr>
      </w:pPr>
    </w:p>
    <w:p w14:paraId="2C8CCA42" w14:textId="77777777" w:rsidR="002959BC" w:rsidRDefault="002959BC" w:rsidP="002959BC">
      <w:pPr>
        <w:ind w:firstLine="453"/>
        <w:jc w:val="both"/>
        <w:rPr>
          <w:rFonts w:ascii="Simplified Arabic" w:hAnsi="Simplified Arabic" w:cs="Simplified Arabic"/>
          <w:sz w:val="28"/>
          <w:szCs w:val="28"/>
          <w:rtl/>
          <w:lang w:bidi="ar-EG"/>
        </w:rPr>
      </w:pPr>
      <w:r w:rsidRPr="005D7040">
        <w:rPr>
          <w:rFonts w:ascii="Simplified Arabic" w:hAnsi="Simplified Arabic" w:cs="Simplified Arabic"/>
          <w:sz w:val="28"/>
          <w:szCs w:val="28"/>
          <w:rtl/>
          <w:lang w:bidi="ar-EG"/>
        </w:rPr>
        <w:t xml:space="preserve">أما بالنسبة للإيرادات العامة فيلاحظ أنه خلال تلك الفترة كانت نسبتها إلى الناتج المحلي الإجمالي تتراوح ما بين (17.7% إلى 21.4% كنسبة إلى الناتج المحلي الإجمالي) حيث كانت تبلغ في العام المالي 2011/2012 مبلغ </w:t>
      </w:r>
      <w:r w:rsidRPr="005D7040">
        <w:rPr>
          <w:rFonts w:ascii="Simplified Arabic" w:hAnsi="Simplified Arabic" w:cs="Simplified Arabic"/>
          <w:sz w:val="28"/>
          <w:szCs w:val="28"/>
          <w:rtl/>
        </w:rPr>
        <w:t xml:space="preserve">303622 </w:t>
      </w:r>
      <w:r w:rsidRPr="005D7040">
        <w:rPr>
          <w:rFonts w:ascii="Simplified Arabic" w:hAnsi="Simplified Arabic" w:cs="Simplified Arabic"/>
          <w:sz w:val="28"/>
          <w:szCs w:val="28"/>
          <w:rtl/>
          <w:lang w:bidi="ar-EG"/>
        </w:rPr>
        <w:t xml:space="preserve">مليون جنيه (18.3% من الناتج المحلي الإجمالي) ووصلت في العام المالي 2018/2019 لمبلغ </w:t>
      </w:r>
      <w:r w:rsidRPr="005D7040">
        <w:rPr>
          <w:rFonts w:ascii="Simplified Arabic" w:hAnsi="Simplified Arabic" w:cs="Simplified Arabic"/>
          <w:sz w:val="28"/>
          <w:szCs w:val="28"/>
          <w:rtl/>
        </w:rPr>
        <w:t>941910</w:t>
      </w:r>
      <w:r w:rsidRPr="005D7040">
        <w:rPr>
          <w:rFonts w:ascii="Simplified Arabic" w:hAnsi="Simplified Arabic" w:cs="Simplified Arabic"/>
          <w:sz w:val="28"/>
          <w:szCs w:val="28"/>
          <w:rtl/>
          <w:lang w:bidi="ar-EG"/>
        </w:rPr>
        <w:t xml:space="preserve"> مليون جنيه (17.7% من الناتج المحلي الإجمالي). </w:t>
      </w:r>
    </w:p>
    <w:p w14:paraId="30381B52" w14:textId="77777777" w:rsidR="002959BC" w:rsidRPr="005D7040" w:rsidRDefault="002959BC" w:rsidP="002959BC">
      <w:pPr>
        <w:ind w:firstLine="453"/>
        <w:jc w:val="both"/>
        <w:rPr>
          <w:rFonts w:ascii="Simplified Arabic" w:hAnsi="Simplified Arabic" w:cs="Simplified Arabic"/>
          <w:sz w:val="28"/>
          <w:szCs w:val="28"/>
          <w:rtl/>
          <w:lang w:bidi="ar-EG"/>
        </w:rPr>
      </w:pPr>
    </w:p>
    <w:p w14:paraId="737CEE5B" w14:textId="77777777" w:rsidR="002959BC" w:rsidRPr="007B6E3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7B6E36">
        <w:rPr>
          <w:rFonts w:ascii="Simplified Arabic" w:eastAsia="Times New Roman" w:hAnsi="Simplified Arabic" w:cs="Simplified Arabic"/>
          <w:b/>
          <w:bCs/>
          <w:sz w:val="24"/>
          <w:szCs w:val="24"/>
          <w:rtl/>
        </w:rPr>
        <w:t>شكل رقم (2-21)</w:t>
      </w:r>
    </w:p>
    <w:p w14:paraId="1AD10389" w14:textId="77777777" w:rsidR="002959BC" w:rsidRPr="007B6E3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7B6E36">
        <w:rPr>
          <w:rFonts w:ascii="Simplified Arabic" w:eastAsia="Times New Roman" w:hAnsi="Simplified Arabic" w:cs="Simplified Arabic"/>
          <w:b/>
          <w:bCs/>
          <w:sz w:val="24"/>
          <w:szCs w:val="24"/>
          <w:rtl/>
        </w:rPr>
        <w:t>التغير النسبي في الإيرادات والمصروفات</w:t>
      </w:r>
    </w:p>
    <w:p w14:paraId="5F815697" w14:textId="77777777" w:rsidR="002959BC" w:rsidRPr="007B6E3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7B6E36">
        <w:rPr>
          <w:rFonts w:ascii="Simplified Arabic" w:eastAsia="Times New Roman" w:hAnsi="Simplified Arabic" w:cs="Simplified Arabic"/>
          <w:b/>
          <w:bCs/>
          <w:sz w:val="24"/>
          <w:szCs w:val="24"/>
        </w:rPr>
        <w:drawing>
          <wp:anchor distT="0" distB="0" distL="114300" distR="114300" simplePos="0" relativeHeight="251706368" behindDoc="1" locked="0" layoutInCell="1" allowOverlap="1" wp14:anchorId="33F4ED59" wp14:editId="56424041">
            <wp:simplePos x="0" y="0"/>
            <wp:positionH relativeFrom="column">
              <wp:posOffset>12065</wp:posOffset>
            </wp:positionH>
            <wp:positionV relativeFrom="paragraph">
              <wp:posOffset>340360</wp:posOffset>
            </wp:positionV>
            <wp:extent cx="5507990" cy="2847975"/>
            <wp:effectExtent l="0" t="0" r="16510" b="9525"/>
            <wp:wrapTight wrapText="bothSides">
              <wp:wrapPolygon edited="0">
                <wp:start x="0" y="0"/>
                <wp:lineTo x="0" y="21528"/>
                <wp:lineTo x="21590" y="21528"/>
                <wp:lineTo x="21590" y="0"/>
                <wp:lineTo x="0" y="0"/>
              </wp:wrapPolygon>
            </wp:wrapTight>
            <wp:docPr id="128" name="Chart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r w:rsidRPr="007B6E36">
        <w:rPr>
          <w:rFonts w:ascii="Simplified Arabic" w:eastAsia="Times New Roman" w:hAnsi="Simplified Arabic" w:cs="Simplified Arabic"/>
          <w:b/>
          <w:bCs/>
          <w:sz w:val="24"/>
          <w:szCs w:val="24"/>
          <w:rtl/>
        </w:rPr>
        <w:t>خلال الفترة (2011/2012 إلى 2018/2019)</w:t>
      </w:r>
    </w:p>
    <w:p w14:paraId="7FE3C50E" w14:textId="77777777" w:rsidR="002959BC" w:rsidRPr="005D7040" w:rsidRDefault="002959BC" w:rsidP="002959BC">
      <w:pPr>
        <w:spacing w:line="216" w:lineRule="auto"/>
        <w:jc w:val="both"/>
        <w:rPr>
          <w:rFonts w:ascii="Simplified Arabic" w:hAnsi="Simplified Arabic" w:cs="Simplified Arabic"/>
          <w:sz w:val="24"/>
          <w:szCs w:val="24"/>
          <w:rtl/>
        </w:rPr>
      </w:pPr>
      <w:r w:rsidRPr="005D7040">
        <w:rPr>
          <w:rFonts w:ascii="Simplified Arabic" w:hAnsi="Simplified Arabic" w:cs="Simplified Arabic"/>
          <w:sz w:val="24"/>
          <w:szCs w:val="24"/>
          <w:rtl/>
        </w:rPr>
        <w:t>المصدر: من إعداد الباحث بالاعتماد على بيانات الجدول رقم (4-1) بالملحق.</w:t>
      </w:r>
    </w:p>
    <w:p w14:paraId="600BA0FF" w14:textId="77777777" w:rsidR="002959BC" w:rsidRPr="005D7040" w:rsidRDefault="002959BC" w:rsidP="002959BC">
      <w:pPr>
        <w:ind w:firstLine="453"/>
        <w:jc w:val="both"/>
        <w:rPr>
          <w:rFonts w:ascii="Simplified Arabic" w:hAnsi="Simplified Arabic" w:cs="Simplified Arabic"/>
          <w:sz w:val="28"/>
          <w:szCs w:val="28"/>
          <w:rtl/>
          <w:lang w:bidi="ar-EG"/>
        </w:rPr>
      </w:pPr>
      <w:r w:rsidRPr="005D7040">
        <w:rPr>
          <w:rFonts w:ascii="Simplified Arabic" w:hAnsi="Simplified Arabic" w:cs="Simplified Arabic"/>
          <w:sz w:val="28"/>
          <w:szCs w:val="28"/>
          <w:rtl/>
          <w:lang w:bidi="ar-EG"/>
        </w:rPr>
        <w:t xml:space="preserve">ويوضح الشكل رقم (2-21) التغير النسبي في كل من المصروفات والإيرادات خلال الفترة من العام المالي 2011/2012 إلى العام المالي 2018/2019 حيث زادت المصروفات العامة بنسب أكبر من الزيادة في الإيرادات العامة خلال الفترة من العام المالي 2011/2012 إلى العام المالي 2015/2016 بنسب 17.2% و24.9% و4.5% و11.5% في مقابل زيادة أٌقل في الإيرادات بنسب 14.5% و15.4% </w:t>
      </w:r>
      <w:r w:rsidRPr="005D7040">
        <w:rPr>
          <w:rFonts w:ascii="Simplified Arabic" w:hAnsi="Simplified Arabic" w:cs="Simplified Arabic"/>
          <w:sz w:val="28"/>
          <w:szCs w:val="28"/>
          <w:rtl/>
          <w:lang w:bidi="ar-EG"/>
        </w:rPr>
        <w:lastRenderedPageBreak/>
        <w:t>و1.9% و5.6%. فيما عدا العام المالي 2013/2014 زادت فيه النفقات العامة بنسبة 19.3% بينما زادت الإيرادات العامة بنسبة أكبر بلغت 30.4%.</w:t>
      </w:r>
    </w:p>
    <w:p w14:paraId="392C3AAB" w14:textId="77777777" w:rsidR="002959BC" w:rsidRPr="005D7040" w:rsidRDefault="002959BC" w:rsidP="002959BC">
      <w:pPr>
        <w:ind w:firstLine="453"/>
        <w:jc w:val="both"/>
        <w:rPr>
          <w:rFonts w:ascii="Simplified Arabic" w:hAnsi="Simplified Arabic" w:cs="Simplified Arabic"/>
          <w:sz w:val="18"/>
          <w:szCs w:val="18"/>
          <w:rtl/>
          <w:lang w:bidi="ar-EG"/>
        </w:rPr>
      </w:pPr>
    </w:p>
    <w:p w14:paraId="70D37867" w14:textId="77777777" w:rsidR="002959BC" w:rsidRDefault="002959BC" w:rsidP="002959BC">
      <w:pPr>
        <w:ind w:firstLine="453"/>
        <w:jc w:val="both"/>
        <w:rPr>
          <w:rFonts w:ascii="Simplified Arabic" w:hAnsi="Simplified Arabic" w:cs="Simplified Arabic"/>
          <w:sz w:val="28"/>
          <w:szCs w:val="28"/>
          <w:rtl/>
          <w:lang w:bidi="ar-EG"/>
        </w:rPr>
      </w:pPr>
      <w:r w:rsidRPr="005D7040">
        <w:rPr>
          <w:rFonts w:ascii="Simplified Arabic" w:hAnsi="Simplified Arabic" w:cs="Simplified Arabic"/>
          <w:sz w:val="28"/>
          <w:szCs w:val="28"/>
          <w:rtl/>
          <w:lang w:bidi="ar-EG"/>
        </w:rPr>
        <w:t>أما في الفترة من العام المالي 2016/2017 حتى العام المالي 2018/2019 فقد زادت الإيرادات العامة بنسب أكبر من نسبة زيادة النفقات العامة، حيث زادت الإيرادات العامة بنسب 34.1% و24.6% و14.7% بينما كانت النفقات العامة تزيد بنسب أقل بلغت خلال تلك الفترة 26.2% و20.6% و10.1%، وهو ما انعكس إيجابياً على اتجاه عجز الموازنة العامة إلى الانخفاض إلى أن بلغ في العام المالي 2018/2019 نسبة 8.1% إلى الناتج المحلي الإجمالي.</w:t>
      </w:r>
    </w:p>
    <w:p w14:paraId="7BBEEFCA" w14:textId="77777777" w:rsidR="002959BC" w:rsidRPr="005D7040" w:rsidRDefault="002959BC" w:rsidP="002959BC">
      <w:pPr>
        <w:ind w:firstLine="453"/>
        <w:jc w:val="both"/>
        <w:rPr>
          <w:rFonts w:ascii="Simplified Arabic" w:hAnsi="Simplified Arabic" w:cs="Simplified Arabic"/>
          <w:sz w:val="28"/>
          <w:szCs w:val="28"/>
          <w:rtl/>
          <w:lang w:bidi="ar-EG"/>
        </w:rPr>
      </w:pPr>
    </w:p>
    <w:p w14:paraId="670219A2" w14:textId="77777777" w:rsidR="002959BC" w:rsidRPr="007B6E3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7B6E36">
        <w:rPr>
          <w:rFonts w:ascii="Simplified Arabic" w:eastAsia="Times New Roman" w:hAnsi="Simplified Arabic" w:cs="Simplified Arabic"/>
          <w:b/>
          <w:bCs/>
          <w:sz w:val="24"/>
          <w:szCs w:val="24"/>
          <w:rtl/>
        </w:rPr>
        <w:t>شكل رقم (2-22)</w:t>
      </w:r>
    </w:p>
    <w:p w14:paraId="569E426D" w14:textId="77777777" w:rsidR="002959BC" w:rsidRPr="007B6E3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7B6E36">
        <w:rPr>
          <w:rFonts w:ascii="Simplified Arabic" w:eastAsia="Times New Roman" w:hAnsi="Simplified Arabic" w:cs="Simplified Arabic"/>
          <w:b/>
          <w:bCs/>
          <w:sz w:val="24"/>
          <w:szCs w:val="24"/>
          <w:rtl/>
        </w:rPr>
        <w:t>تطور نسب الإيرادات والمصروفات والعجز الكلي للموازنة العامة</w:t>
      </w:r>
      <w:r w:rsidRPr="007B6E36">
        <w:rPr>
          <w:rFonts w:ascii="Simplified Arabic" w:eastAsia="Times New Roman" w:hAnsi="Simplified Arabic" w:cs="Simplified Arabic"/>
          <w:b/>
          <w:bCs/>
          <w:sz w:val="24"/>
          <w:szCs w:val="24"/>
        </w:rPr>
        <w:t xml:space="preserve"> </w:t>
      </w:r>
      <w:r w:rsidRPr="007B6E36">
        <w:rPr>
          <w:rFonts w:ascii="Simplified Arabic" w:eastAsia="Times New Roman" w:hAnsi="Simplified Arabic" w:cs="Simplified Arabic"/>
          <w:b/>
          <w:bCs/>
          <w:sz w:val="24"/>
          <w:szCs w:val="24"/>
          <w:rtl/>
        </w:rPr>
        <w:t>إلى الناتج المحلي الإجمالي</w:t>
      </w:r>
    </w:p>
    <w:p w14:paraId="106742FE" w14:textId="77777777" w:rsidR="002959BC" w:rsidRPr="007B6E3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7B6E36">
        <w:rPr>
          <w:rFonts w:ascii="Simplified Arabic" w:eastAsia="Times New Roman" w:hAnsi="Simplified Arabic" w:cs="Simplified Arabic"/>
          <w:b/>
          <w:bCs/>
          <w:sz w:val="24"/>
          <w:szCs w:val="24"/>
        </w:rPr>
        <w:drawing>
          <wp:anchor distT="0" distB="0" distL="114300" distR="114300" simplePos="0" relativeHeight="251704320" behindDoc="1" locked="0" layoutInCell="1" allowOverlap="1" wp14:anchorId="46A7DE0C" wp14:editId="30FE436F">
            <wp:simplePos x="0" y="0"/>
            <wp:positionH relativeFrom="column">
              <wp:posOffset>-10160</wp:posOffset>
            </wp:positionH>
            <wp:positionV relativeFrom="paragraph">
              <wp:posOffset>296545</wp:posOffset>
            </wp:positionV>
            <wp:extent cx="5507990" cy="3239770"/>
            <wp:effectExtent l="0" t="0" r="16510" b="17780"/>
            <wp:wrapTight wrapText="bothSides">
              <wp:wrapPolygon edited="0">
                <wp:start x="0" y="0"/>
                <wp:lineTo x="0" y="21592"/>
                <wp:lineTo x="21590" y="21592"/>
                <wp:lineTo x="21590" y="0"/>
                <wp:lineTo x="0" y="0"/>
              </wp:wrapPolygon>
            </wp:wrapTight>
            <wp:docPr id="129" name="Chart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page">
              <wp14:pctWidth>0</wp14:pctWidth>
            </wp14:sizeRelH>
            <wp14:sizeRelV relativeFrom="page">
              <wp14:pctHeight>0</wp14:pctHeight>
            </wp14:sizeRelV>
          </wp:anchor>
        </w:drawing>
      </w:r>
      <w:r w:rsidRPr="007B6E36">
        <w:rPr>
          <w:rFonts w:ascii="Simplified Arabic" w:eastAsia="Times New Roman" w:hAnsi="Simplified Arabic" w:cs="Simplified Arabic"/>
          <w:b/>
          <w:bCs/>
          <w:sz w:val="24"/>
          <w:szCs w:val="24"/>
          <w:rtl/>
        </w:rPr>
        <w:t>خلال الفترة (2011/2012 إلى 2018/2019)</w:t>
      </w:r>
    </w:p>
    <w:p w14:paraId="6481B342" w14:textId="77777777" w:rsidR="002959BC" w:rsidRPr="005D7040" w:rsidRDefault="002959BC" w:rsidP="002959BC">
      <w:pPr>
        <w:ind w:firstLine="720"/>
        <w:jc w:val="both"/>
        <w:rPr>
          <w:rFonts w:ascii="Simplified Arabic" w:hAnsi="Simplified Arabic" w:cs="Simplified Arabic"/>
          <w:sz w:val="10"/>
          <w:szCs w:val="10"/>
        </w:rPr>
      </w:pPr>
    </w:p>
    <w:p w14:paraId="5EC6D287" w14:textId="77777777" w:rsidR="002959BC" w:rsidRPr="005D7040" w:rsidRDefault="002959BC" w:rsidP="002959BC">
      <w:pPr>
        <w:ind w:firstLine="28"/>
        <w:jc w:val="both"/>
        <w:rPr>
          <w:rFonts w:ascii="Simplified Arabic" w:hAnsi="Simplified Arabic" w:cs="Simplified Arabic"/>
          <w:sz w:val="24"/>
          <w:szCs w:val="24"/>
          <w:rtl/>
        </w:rPr>
      </w:pPr>
      <w:r w:rsidRPr="005D7040">
        <w:rPr>
          <w:rFonts w:ascii="Simplified Arabic" w:hAnsi="Simplified Arabic" w:cs="Simplified Arabic"/>
          <w:sz w:val="24"/>
          <w:szCs w:val="24"/>
          <w:rtl/>
        </w:rPr>
        <w:t>المصدر: من إعداد الباحث بالاعتماد على بيانات الجدول رقم (4-1) بالملحق.</w:t>
      </w:r>
    </w:p>
    <w:p w14:paraId="0C875FEF" w14:textId="77777777" w:rsidR="002959BC" w:rsidRPr="005D7040" w:rsidRDefault="002959BC" w:rsidP="002959BC">
      <w:pPr>
        <w:ind w:firstLine="720"/>
        <w:jc w:val="both"/>
        <w:rPr>
          <w:rFonts w:ascii="Simplified Arabic" w:hAnsi="Simplified Arabic" w:cs="Simplified Arabic"/>
          <w:sz w:val="28"/>
          <w:szCs w:val="28"/>
          <w:rtl/>
        </w:rPr>
      </w:pPr>
    </w:p>
    <w:p w14:paraId="407813F7" w14:textId="77777777" w:rsidR="002959BC" w:rsidRPr="005D7040" w:rsidRDefault="002959BC" w:rsidP="002959BC">
      <w:pPr>
        <w:ind w:firstLine="453"/>
        <w:jc w:val="both"/>
        <w:rPr>
          <w:rFonts w:ascii="Simplified Arabic" w:hAnsi="Simplified Arabic" w:cs="Simplified Arabic"/>
          <w:sz w:val="28"/>
          <w:szCs w:val="28"/>
          <w:rtl/>
          <w:lang w:bidi="ar-EG"/>
        </w:rPr>
      </w:pPr>
      <w:r w:rsidRPr="005D7040">
        <w:rPr>
          <w:rFonts w:ascii="Simplified Arabic" w:hAnsi="Simplified Arabic" w:cs="Simplified Arabic"/>
          <w:sz w:val="28"/>
          <w:szCs w:val="28"/>
          <w:rtl/>
          <w:lang w:bidi="ar-EG"/>
        </w:rPr>
        <w:t>ويلاحظ من الشكل رقم (2-22) تردي أوضاع المالية العامة في الفترة الممتدة من العام المالي 2011/2012 وحتى العام المالي 2015/2016 حيث ظلت الموازنة العامة للدولة تعاني من عجز كلي مرتفع ومزمن طوال تلك الفترة حيث كانت قيم العجز الكلي تتراوح بين 10.1% و13% من الناتج المحلي الإجمالي فيما نسب المصروفات تتراوح بين 28.4% و32.9% من الناتج المحلي الإجمالي بينما كانت الإيرادات متدنية طوال تلك الفترة حيث ظلت تتراوح بين 18.1% و21.4% من الناتج المحلي الإجمالي.</w:t>
      </w:r>
    </w:p>
    <w:p w14:paraId="59A2B0CA" w14:textId="77777777" w:rsidR="002959BC" w:rsidRDefault="002959BC" w:rsidP="002959BC">
      <w:pPr>
        <w:ind w:firstLine="453"/>
        <w:jc w:val="both"/>
        <w:rPr>
          <w:rFonts w:ascii="Simplified Arabic" w:hAnsi="Simplified Arabic" w:cs="Simplified Arabic"/>
          <w:sz w:val="28"/>
          <w:szCs w:val="28"/>
          <w:rtl/>
          <w:lang w:bidi="ar-EG"/>
        </w:rPr>
      </w:pPr>
    </w:p>
    <w:p w14:paraId="516508DA" w14:textId="77777777" w:rsidR="002959BC" w:rsidRPr="005D7040" w:rsidRDefault="002959BC" w:rsidP="002959BC">
      <w:pPr>
        <w:ind w:firstLine="453"/>
        <w:jc w:val="both"/>
        <w:rPr>
          <w:rFonts w:ascii="Simplified Arabic" w:hAnsi="Simplified Arabic" w:cs="Simplified Arabic"/>
          <w:sz w:val="28"/>
          <w:szCs w:val="28"/>
          <w:rtl/>
          <w:lang w:bidi="ar-EG"/>
        </w:rPr>
      </w:pPr>
    </w:p>
    <w:p w14:paraId="2C117A60" w14:textId="77777777" w:rsidR="002959BC" w:rsidRPr="005D7040" w:rsidRDefault="002959BC" w:rsidP="002959BC">
      <w:pPr>
        <w:ind w:firstLine="453"/>
        <w:jc w:val="both"/>
        <w:rPr>
          <w:rFonts w:ascii="Simplified Arabic" w:hAnsi="Simplified Arabic" w:cs="Simplified Arabic"/>
          <w:sz w:val="28"/>
          <w:szCs w:val="28"/>
          <w:rtl/>
          <w:lang w:bidi="ar-EG"/>
        </w:rPr>
      </w:pPr>
      <w:r w:rsidRPr="005D7040">
        <w:rPr>
          <w:rFonts w:ascii="Simplified Arabic" w:hAnsi="Simplified Arabic" w:cs="Simplified Arabic"/>
          <w:sz w:val="28"/>
          <w:szCs w:val="28"/>
          <w:rtl/>
          <w:lang w:bidi="ar-EG"/>
        </w:rPr>
        <w:t xml:space="preserve">إلا أن هذا الوضع بدأ يتحسن تدريجياً خلال السنوات المالية الثلاث التالية حيث انخفضت تدريجياً قيم العجز الكلي للموازنة حتى وصل إلى نسبة 8.1% من الناتج المحلي الإجمالي الكلي، كما انخفضت تدريجياً قيم المصروفات حتى وصلت إلى نسبة 25.7% من الناتج المحلي الإجمالي، إلا أن قيم الإيرادات العامة انخفضت أيضاً – وإن كان بصورة أقل حدة من تخفيض المصروفات العامة – لتصل في العام المالي 2018/2019 إلى نسبة 17.7% من الناتج المحلي الإجمالي. </w:t>
      </w:r>
    </w:p>
    <w:p w14:paraId="35906CEC" w14:textId="77777777" w:rsidR="002959BC" w:rsidRPr="005D7040" w:rsidRDefault="002959BC" w:rsidP="002959BC">
      <w:pPr>
        <w:ind w:firstLine="453"/>
        <w:jc w:val="both"/>
        <w:rPr>
          <w:rFonts w:ascii="Simplified Arabic" w:hAnsi="Simplified Arabic" w:cs="Simplified Arabic"/>
          <w:sz w:val="28"/>
          <w:szCs w:val="28"/>
          <w:rtl/>
          <w:lang w:bidi="ar-EG"/>
        </w:rPr>
      </w:pPr>
    </w:p>
    <w:p w14:paraId="00AF6E7C" w14:textId="77777777" w:rsidR="002959BC" w:rsidRDefault="002959BC" w:rsidP="002959BC">
      <w:pPr>
        <w:ind w:firstLine="453"/>
        <w:jc w:val="both"/>
        <w:rPr>
          <w:rFonts w:ascii="Simplified Arabic" w:hAnsi="Simplified Arabic" w:cs="Simplified Arabic"/>
          <w:sz w:val="28"/>
          <w:szCs w:val="28"/>
          <w:rtl/>
          <w:lang w:bidi="ar-EG"/>
        </w:rPr>
      </w:pPr>
      <w:r w:rsidRPr="005D7040">
        <w:rPr>
          <w:rFonts w:ascii="Simplified Arabic" w:hAnsi="Simplified Arabic" w:cs="Simplified Arabic"/>
          <w:sz w:val="28"/>
          <w:szCs w:val="28"/>
          <w:rtl/>
          <w:lang w:bidi="ar-EG"/>
        </w:rPr>
        <w:t>وفي إطار برنامج الإصلاح الاقتصادي مع صندوق النقد الدولي فقد تم إجراء بعض الإصلاحات التشريعية للسيطرة على عجز الموازنة العامة مثل تطبيق قانون ضريبة القيمة المضافة القانون رقم 67 لسنة 2016 بإصدار قانون الضريبة على القيمة المضافة</w:t>
      </w:r>
      <w:r w:rsidRPr="005D7040">
        <w:rPr>
          <w:rFonts w:ascii="Simplified Arabic" w:hAnsi="Simplified Arabic" w:cs="Simplified Arabic"/>
          <w:sz w:val="28"/>
          <w:szCs w:val="28"/>
          <w:vertAlign w:val="superscript"/>
          <w:rtl/>
          <w:lang w:bidi="ar-EG"/>
        </w:rPr>
        <w:t>(</w:t>
      </w:r>
      <w:r w:rsidRPr="005D7040">
        <w:rPr>
          <w:rFonts w:ascii="Simplified Arabic" w:hAnsi="Simplified Arabic" w:cs="Simplified Arabic"/>
          <w:sz w:val="28"/>
          <w:szCs w:val="28"/>
          <w:vertAlign w:val="superscript"/>
          <w:rtl/>
          <w:lang w:bidi="ar-EG"/>
        </w:rPr>
        <w:footnoteReference w:id="97"/>
      </w:r>
      <w:r w:rsidRPr="005D7040">
        <w:rPr>
          <w:rFonts w:ascii="Simplified Arabic" w:hAnsi="Simplified Arabic" w:cs="Simplified Arabic"/>
          <w:sz w:val="28"/>
          <w:szCs w:val="28"/>
          <w:vertAlign w:val="superscript"/>
          <w:rtl/>
          <w:lang w:bidi="ar-EG"/>
        </w:rPr>
        <w:t>)</w:t>
      </w:r>
      <w:r w:rsidRPr="005D7040">
        <w:rPr>
          <w:rFonts w:ascii="Simplified Arabic" w:hAnsi="Simplified Arabic" w:cs="Simplified Arabic"/>
          <w:sz w:val="28"/>
          <w:szCs w:val="28"/>
          <w:rtl/>
          <w:lang w:bidi="ar-EG"/>
        </w:rPr>
        <w:t xml:space="preserve"> وتعديلات قانون الضرائب على الدخل والإجراءات التي اتخذت لمحاولة السيطرة على المصروفات في الأجور (بإصدار القانون رقم 81 لسنة 2016 بإصدار قانون الخدمة المدنية)</w:t>
      </w:r>
      <w:r w:rsidRPr="005D7040">
        <w:rPr>
          <w:rFonts w:ascii="Simplified Arabic" w:hAnsi="Simplified Arabic" w:cs="Simplified Arabic"/>
          <w:sz w:val="28"/>
          <w:szCs w:val="28"/>
          <w:vertAlign w:val="superscript"/>
          <w:rtl/>
          <w:lang w:bidi="ar-EG"/>
        </w:rPr>
        <w:t>(</w:t>
      </w:r>
      <w:r w:rsidRPr="005D7040">
        <w:rPr>
          <w:rFonts w:ascii="Simplified Arabic" w:hAnsi="Simplified Arabic" w:cs="Simplified Arabic"/>
          <w:sz w:val="28"/>
          <w:szCs w:val="28"/>
          <w:vertAlign w:val="superscript"/>
          <w:rtl/>
          <w:lang w:bidi="ar-EG"/>
        </w:rPr>
        <w:footnoteReference w:id="98"/>
      </w:r>
      <w:r w:rsidRPr="005D7040">
        <w:rPr>
          <w:rFonts w:ascii="Simplified Arabic" w:hAnsi="Simplified Arabic" w:cs="Simplified Arabic"/>
          <w:sz w:val="28"/>
          <w:szCs w:val="28"/>
          <w:vertAlign w:val="superscript"/>
          <w:rtl/>
          <w:lang w:bidi="ar-EG"/>
        </w:rPr>
        <w:t>)</w:t>
      </w:r>
      <w:r w:rsidRPr="005D7040">
        <w:rPr>
          <w:rFonts w:ascii="Simplified Arabic" w:hAnsi="Simplified Arabic" w:cs="Simplified Arabic"/>
          <w:sz w:val="28"/>
          <w:szCs w:val="28"/>
          <w:rtl/>
          <w:lang w:bidi="ar-EG"/>
        </w:rPr>
        <w:t xml:space="preserve"> والدعم (تحرير أسعار المحروقات).</w:t>
      </w:r>
    </w:p>
    <w:p w14:paraId="652E28DE" w14:textId="77777777" w:rsidR="002959BC" w:rsidRDefault="002959BC" w:rsidP="002959BC">
      <w:pPr>
        <w:ind w:firstLine="453"/>
        <w:jc w:val="both"/>
        <w:rPr>
          <w:rFonts w:ascii="Simplified Arabic" w:hAnsi="Simplified Arabic" w:cs="Simplified Arabic"/>
          <w:sz w:val="28"/>
          <w:szCs w:val="28"/>
          <w:rtl/>
          <w:lang w:bidi="ar-EG"/>
        </w:rPr>
      </w:pPr>
    </w:p>
    <w:p w14:paraId="36E2B1BB" w14:textId="77777777" w:rsidR="002959BC" w:rsidRDefault="002959BC" w:rsidP="002959BC">
      <w:pPr>
        <w:ind w:firstLine="453"/>
        <w:jc w:val="both"/>
        <w:rPr>
          <w:rFonts w:ascii="Simplified Arabic" w:hAnsi="Simplified Arabic" w:cs="Simplified Arabic"/>
          <w:sz w:val="28"/>
          <w:szCs w:val="28"/>
          <w:rtl/>
          <w:lang w:bidi="ar-EG"/>
        </w:rPr>
      </w:pPr>
    </w:p>
    <w:p w14:paraId="31C91326" w14:textId="77777777" w:rsidR="002959BC" w:rsidRDefault="002959BC" w:rsidP="002959BC">
      <w:pPr>
        <w:ind w:firstLine="453"/>
        <w:jc w:val="both"/>
        <w:rPr>
          <w:rFonts w:ascii="Simplified Arabic" w:hAnsi="Simplified Arabic" w:cs="Simplified Arabic"/>
          <w:sz w:val="28"/>
          <w:szCs w:val="28"/>
          <w:rtl/>
          <w:lang w:bidi="ar-EG"/>
        </w:rPr>
      </w:pPr>
    </w:p>
    <w:p w14:paraId="09F065D6" w14:textId="77777777" w:rsidR="002959BC" w:rsidRDefault="002959BC" w:rsidP="002959BC">
      <w:pPr>
        <w:ind w:firstLine="453"/>
        <w:jc w:val="both"/>
        <w:rPr>
          <w:rFonts w:ascii="Simplified Arabic" w:hAnsi="Simplified Arabic" w:cs="Simplified Arabic"/>
          <w:sz w:val="28"/>
          <w:szCs w:val="28"/>
          <w:rtl/>
          <w:lang w:bidi="ar-EG"/>
        </w:rPr>
      </w:pPr>
    </w:p>
    <w:p w14:paraId="667F6BBA" w14:textId="77777777" w:rsidR="002959BC" w:rsidRDefault="002959BC" w:rsidP="002959BC">
      <w:pPr>
        <w:ind w:firstLine="453"/>
        <w:jc w:val="both"/>
        <w:rPr>
          <w:rFonts w:ascii="Simplified Arabic" w:hAnsi="Simplified Arabic" w:cs="Simplified Arabic"/>
          <w:sz w:val="28"/>
          <w:szCs w:val="28"/>
          <w:rtl/>
          <w:lang w:bidi="ar-EG"/>
        </w:rPr>
      </w:pPr>
    </w:p>
    <w:p w14:paraId="4154A61F" w14:textId="77777777" w:rsidR="002959BC" w:rsidRDefault="002959BC" w:rsidP="002959BC">
      <w:pPr>
        <w:ind w:firstLine="453"/>
        <w:jc w:val="both"/>
        <w:rPr>
          <w:rFonts w:ascii="Simplified Arabic" w:hAnsi="Simplified Arabic" w:cs="Simplified Arabic"/>
          <w:sz w:val="28"/>
          <w:szCs w:val="28"/>
          <w:rtl/>
          <w:lang w:bidi="ar-EG"/>
        </w:rPr>
      </w:pPr>
    </w:p>
    <w:p w14:paraId="6775CE26" w14:textId="77777777" w:rsidR="002959BC" w:rsidRDefault="002959BC" w:rsidP="002959BC">
      <w:pPr>
        <w:ind w:firstLine="453"/>
        <w:jc w:val="both"/>
        <w:rPr>
          <w:rFonts w:ascii="Simplified Arabic" w:hAnsi="Simplified Arabic" w:cs="Simplified Arabic"/>
          <w:sz w:val="28"/>
          <w:szCs w:val="28"/>
          <w:rtl/>
          <w:lang w:bidi="ar-EG"/>
        </w:rPr>
      </w:pPr>
    </w:p>
    <w:p w14:paraId="2D726E4F" w14:textId="77777777" w:rsidR="002959BC" w:rsidRDefault="002959BC" w:rsidP="002959BC">
      <w:pPr>
        <w:ind w:firstLine="453"/>
        <w:jc w:val="both"/>
        <w:rPr>
          <w:rFonts w:ascii="Simplified Arabic" w:hAnsi="Simplified Arabic" w:cs="Simplified Arabic"/>
          <w:sz w:val="28"/>
          <w:szCs w:val="28"/>
          <w:rtl/>
          <w:lang w:bidi="ar-EG"/>
        </w:rPr>
      </w:pPr>
    </w:p>
    <w:p w14:paraId="19FE92C3" w14:textId="77777777" w:rsidR="002959BC" w:rsidRDefault="002959BC" w:rsidP="002959BC">
      <w:pPr>
        <w:ind w:firstLine="453"/>
        <w:jc w:val="both"/>
        <w:rPr>
          <w:rFonts w:ascii="Simplified Arabic" w:hAnsi="Simplified Arabic" w:cs="Simplified Arabic"/>
          <w:sz w:val="28"/>
          <w:szCs w:val="28"/>
          <w:rtl/>
          <w:lang w:bidi="ar-EG"/>
        </w:rPr>
      </w:pPr>
    </w:p>
    <w:p w14:paraId="5650EFF2" w14:textId="77777777" w:rsidR="002959BC" w:rsidRDefault="002959BC" w:rsidP="002959BC">
      <w:pPr>
        <w:ind w:firstLine="453"/>
        <w:jc w:val="both"/>
        <w:rPr>
          <w:rFonts w:ascii="Simplified Arabic" w:hAnsi="Simplified Arabic" w:cs="Simplified Arabic"/>
          <w:sz w:val="28"/>
          <w:szCs w:val="28"/>
          <w:rtl/>
          <w:lang w:bidi="ar-EG"/>
        </w:rPr>
      </w:pPr>
    </w:p>
    <w:p w14:paraId="7A11FE16" w14:textId="77777777" w:rsidR="002959BC" w:rsidRDefault="002959BC" w:rsidP="002959BC">
      <w:pPr>
        <w:ind w:firstLine="453"/>
        <w:jc w:val="both"/>
        <w:rPr>
          <w:rFonts w:ascii="Simplified Arabic" w:hAnsi="Simplified Arabic" w:cs="Simplified Arabic"/>
          <w:sz w:val="28"/>
          <w:szCs w:val="28"/>
          <w:rtl/>
          <w:lang w:bidi="ar-EG"/>
        </w:rPr>
      </w:pPr>
    </w:p>
    <w:p w14:paraId="1F4D96C4" w14:textId="77777777" w:rsidR="002959BC" w:rsidRDefault="002959BC" w:rsidP="002959BC">
      <w:pPr>
        <w:ind w:firstLine="453"/>
        <w:jc w:val="both"/>
        <w:rPr>
          <w:rFonts w:ascii="Simplified Arabic" w:hAnsi="Simplified Arabic" w:cs="Simplified Arabic"/>
          <w:sz w:val="28"/>
          <w:szCs w:val="28"/>
          <w:rtl/>
          <w:lang w:bidi="ar-EG"/>
        </w:rPr>
      </w:pPr>
    </w:p>
    <w:p w14:paraId="7E9DB1F2" w14:textId="77777777" w:rsidR="002959BC" w:rsidRDefault="002959BC" w:rsidP="002959BC">
      <w:pPr>
        <w:ind w:firstLine="453"/>
        <w:jc w:val="both"/>
        <w:rPr>
          <w:rFonts w:ascii="Simplified Arabic" w:hAnsi="Simplified Arabic" w:cs="Simplified Arabic"/>
          <w:sz w:val="28"/>
          <w:szCs w:val="28"/>
          <w:rtl/>
          <w:lang w:bidi="ar-EG"/>
        </w:rPr>
      </w:pPr>
    </w:p>
    <w:p w14:paraId="02C07B77" w14:textId="77777777" w:rsidR="002959BC" w:rsidRDefault="002959BC" w:rsidP="002959BC">
      <w:pPr>
        <w:ind w:firstLine="453"/>
        <w:jc w:val="both"/>
        <w:rPr>
          <w:rFonts w:ascii="Simplified Arabic" w:hAnsi="Simplified Arabic" w:cs="Simplified Arabic"/>
          <w:sz w:val="28"/>
          <w:szCs w:val="28"/>
          <w:rtl/>
          <w:lang w:bidi="ar-EG"/>
        </w:rPr>
      </w:pPr>
    </w:p>
    <w:p w14:paraId="2D4D4319" w14:textId="77777777" w:rsidR="002959BC" w:rsidRDefault="002959BC" w:rsidP="002959BC">
      <w:pPr>
        <w:ind w:firstLine="453"/>
        <w:jc w:val="both"/>
        <w:rPr>
          <w:rFonts w:ascii="Simplified Arabic" w:hAnsi="Simplified Arabic" w:cs="Simplified Arabic"/>
          <w:sz w:val="28"/>
          <w:szCs w:val="28"/>
          <w:rtl/>
          <w:lang w:bidi="ar-EG"/>
        </w:rPr>
      </w:pPr>
    </w:p>
    <w:p w14:paraId="0813D8C6" w14:textId="77777777" w:rsidR="002959BC" w:rsidRDefault="002959BC" w:rsidP="002959BC">
      <w:pPr>
        <w:ind w:firstLine="453"/>
        <w:jc w:val="both"/>
        <w:rPr>
          <w:rFonts w:ascii="Simplified Arabic" w:hAnsi="Simplified Arabic" w:cs="Simplified Arabic"/>
          <w:sz w:val="28"/>
          <w:szCs w:val="28"/>
          <w:lang w:bidi="ar-EG"/>
        </w:rPr>
      </w:pPr>
    </w:p>
    <w:p w14:paraId="7C6FE15E" w14:textId="77777777" w:rsidR="002959BC" w:rsidRPr="005D7040" w:rsidRDefault="002959BC" w:rsidP="002959BC">
      <w:pPr>
        <w:ind w:firstLine="453"/>
        <w:jc w:val="both"/>
        <w:rPr>
          <w:rFonts w:ascii="Simplified Arabic" w:hAnsi="Simplified Arabic" w:cs="Simplified Arabic"/>
          <w:sz w:val="28"/>
          <w:szCs w:val="28"/>
          <w:rtl/>
          <w:lang w:bidi="ar-EG"/>
        </w:rPr>
      </w:pPr>
    </w:p>
    <w:p w14:paraId="6B25D140" w14:textId="77777777" w:rsidR="002959BC" w:rsidRDefault="002959BC" w:rsidP="002959BC">
      <w:pPr>
        <w:ind w:left="542" w:hanging="514"/>
        <w:jc w:val="both"/>
        <w:rPr>
          <w:rFonts w:ascii="Simplified Arabic" w:hAnsi="Simplified Arabic" w:cs="Simplified Arabic"/>
          <w:b/>
          <w:bCs/>
          <w:sz w:val="28"/>
          <w:szCs w:val="28"/>
          <w:u w:val="single"/>
          <w:rtl/>
          <w:lang w:bidi="ar-EG"/>
        </w:rPr>
      </w:pPr>
      <w:r w:rsidRPr="005D7040">
        <w:rPr>
          <w:rFonts w:ascii="Simplified Arabic" w:hAnsi="Simplified Arabic" w:cs="Simplified Arabic"/>
          <w:b/>
          <w:bCs/>
          <w:sz w:val="28"/>
          <w:szCs w:val="28"/>
          <w:u w:val="single"/>
          <w:rtl/>
          <w:lang w:bidi="ar-EG"/>
        </w:rPr>
        <w:t>2-</w:t>
      </w:r>
      <w:r w:rsidRPr="005D7040">
        <w:rPr>
          <w:rFonts w:ascii="Simplified Arabic" w:hAnsi="Simplified Arabic" w:cs="Simplified Arabic"/>
          <w:b/>
          <w:bCs/>
          <w:sz w:val="28"/>
          <w:szCs w:val="28"/>
          <w:rtl/>
          <w:lang w:bidi="ar-EG"/>
        </w:rPr>
        <w:t xml:space="preserve"> </w:t>
      </w:r>
      <w:r w:rsidRPr="005D7040">
        <w:rPr>
          <w:rFonts w:ascii="Simplified Arabic" w:hAnsi="Simplified Arabic" w:cs="Simplified Arabic"/>
          <w:b/>
          <w:bCs/>
          <w:sz w:val="28"/>
          <w:szCs w:val="28"/>
          <w:u w:val="single"/>
          <w:rtl/>
          <w:lang w:bidi="ar-EG"/>
        </w:rPr>
        <w:t>تحليل آليات تمويل عجز الموازنة العامة للدولة خلال الفترة من العام المالي 2011/2012 إلى العام المالي 2018/2019:</w:t>
      </w:r>
    </w:p>
    <w:p w14:paraId="24D97911" w14:textId="77777777" w:rsidR="002959BC" w:rsidRPr="005D7040" w:rsidRDefault="002959BC" w:rsidP="002959BC">
      <w:pPr>
        <w:ind w:left="542" w:hanging="514"/>
        <w:jc w:val="both"/>
        <w:rPr>
          <w:rFonts w:ascii="Simplified Arabic" w:hAnsi="Simplified Arabic" w:cs="Simplified Arabic"/>
          <w:b/>
          <w:bCs/>
          <w:sz w:val="28"/>
          <w:szCs w:val="28"/>
          <w:u w:val="single"/>
          <w:lang w:bidi="ar-EG"/>
        </w:rPr>
      </w:pPr>
    </w:p>
    <w:p w14:paraId="46063B8B" w14:textId="77777777" w:rsidR="002959BC" w:rsidRDefault="002959BC" w:rsidP="002959BC">
      <w:pPr>
        <w:ind w:firstLine="453"/>
        <w:jc w:val="both"/>
        <w:rPr>
          <w:rFonts w:ascii="Simplified Arabic" w:hAnsi="Simplified Arabic" w:cs="Simplified Arabic"/>
          <w:sz w:val="28"/>
          <w:szCs w:val="28"/>
          <w:lang w:bidi="ar-EG"/>
        </w:rPr>
      </w:pPr>
      <w:r w:rsidRPr="005D7040">
        <w:rPr>
          <w:rFonts w:ascii="Simplified Arabic" w:hAnsi="Simplified Arabic" w:cs="Simplified Arabic"/>
          <w:sz w:val="28"/>
          <w:szCs w:val="28"/>
          <w:rtl/>
          <w:lang w:bidi="ar-EG"/>
        </w:rPr>
        <w:t>يوضح الشكل التالي التمويل الخارجي لعجز الموازنة العامة للدولة خلال الفترة من العام المالي 2011/2012 وحتى العام المالي 2018/2019 ونسبته إلى إجمالي التمويل:</w:t>
      </w:r>
    </w:p>
    <w:p w14:paraId="78273070" w14:textId="77777777" w:rsidR="002959BC" w:rsidRPr="005D7040" w:rsidRDefault="002959BC" w:rsidP="002959BC">
      <w:pPr>
        <w:ind w:firstLine="453"/>
        <w:jc w:val="both"/>
        <w:rPr>
          <w:rFonts w:ascii="Simplified Arabic" w:hAnsi="Simplified Arabic" w:cs="Simplified Arabic"/>
          <w:sz w:val="28"/>
          <w:szCs w:val="28"/>
          <w:rtl/>
          <w:lang w:bidi="ar-EG"/>
        </w:rPr>
      </w:pPr>
    </w:p>
    <w:p w14:paraId="127A3CF0" w14:textId="77777777" w:rsidR="002959BC" w:rsidRPr="007B6E3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7B6E36">
        <w:rPr>
          <w:rFonts w:ascii="Simplified Arabic" w:eastAsia="Times New Roman" w:hAnsi="Simplified Arabic" w:cs="Simplified Arabic"/>
          <w:b/>
          <w:bCs/>
          <w:sz w:val="24"/>
          <w:szCs w:val="24"/>
          <w:rtl/>
        </w:rPr>
        <w:t>شكل رقم (2-23)</w:t>
      </w:r>
    </w:p>
    <w:p w14:paraId="76808D97" w14:textId="77777777" w:rsidR="002959BC" w:rsidRPr="007B6E3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7B6E36">
        <w:rPr>
          <w:rFonts w:ascii="Simplified Arabic" w:eastAsia="Times New Roman" w:hAnsi="Simplified Arabic" w:cs="Simplified Arabic"/>
          <w:b/>
          <w:bCs/>
          <w:sz w:val="24"/>
          <w:szCs w:val="24"/>
          <w:rtl/>
        </w:rPr>
        <w:t>تطور التمويل الخارجي لعجز الموازنة العامة للدولة</w:t>
      </w:r>
    </w:p>
    <w:p w14:paraId="3CC4C1DB" w14:textId="77777777" w:rsidR="002959BC" w:rsidRPr="007B6E3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7B6E36">
        <w:rPr>
          <w:rFonts w:ascii="Simplified Arabic" w:eastAsia="Times New Roman" w:hAnsi="Simplified Arabic" w:cs="Simplified Arabic"/>
          <w:b/>
          <w:bCs/>
          <w:sz w:val="24"/>
          <w:szCs w:val="24"/>
        </w:rPr>
        <w:drawing>
          <wp:anchor distT="0" distB="0" distL="114300" distR="114300" simplePos="0" relativeHeight="251705344" behindDoc="1" locked="0" layoutInCell="1" allowOverlap="1" wp14:anchorId="256DC155" wp14:editId="7E9EA2B5">
            <wp:simplePos x="0" y="0"/>
            <wp:positionH relativeFrom="margin">
              <wp:align>center</wp:align>
            </wp:positionH>
            <wp:positionV relativeFrom="paragraph">
              <wp:posOffset>236220</wp:posOffset>
            </wp:positionV>
            <wp:extent cx="5486400" cy="2374900"/>
            <wp:effectExtent l="0" t="0" r="19050" b="25400"/>
            <wp:wrapTight wrapText="bothSides">
              <wp:wrapPolygon edited="0">
                <wp:start x="0" y="0"/>
                <wp:lineTo x="0" y="21658"/>
                <wp:lineTo x="21600" y="21658"/>
                <wp:lineTo x="21600" y="0"/>
                <wp:lineTo x="0" y="0"/>
              </wp:wrapPolygon>
            </wp:wrapTight>
            <wp:docPr id="130" name="Chart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r w:rsidRPr="007B6E36">
        <w:rPr>
          <w:rFonts w:ascii="Simplified Arabic" w:eastAsia="Times New Roman" w:hAnsi="Simplified Arabic" w:cs="Simplified Arabic"/>
          <w:b/>
          <w:bCs/>
          <w:sz w:val="24"/>
          <w:szCs w:val="24"/>
          <w:rtl/>
        </w:rPr>
        <w:t>خلال الفترة (2011/2012 إلى 2018/2019)</w:t>
      </w:r>
    </w:p>
    <w:p w14:paraId="634DCCE4" w14:textId="77777777" w:rsidR="002959BC" w:rsidRPr="005D7040" w:rsidRDefault="002959BC" w:rsidP="002959BC">
      <w:pPr>
        <w:ind w:firstLine="28"/>
        <w:jc w:val="both"/>
        <w:rPr>
          <w:rFonts w:ascii="Simplified Arabic" w:hAnsi="Simplified Arabic" w:cs="Simplified Arabic"/>
          <w:sz w:val="24"/>
          <w:szCs w:val="24"/>
          <w:rtl/>
        </w:rPr>
      </w:pPr>
      <w:r w:rsidRPr="005D7040">
        <w:rPr>
          <w:rFonts w:ascii="Simplified Arabic" w:hAnsi="Simplified Arabic" w:cs="Simplified Arabic"/>
          <w:sz w:val="24"/>
          <w:szCs w:val="24"/>
          <w:rtl/>
        </w:rPr>
        <w:t>المصدر: من إعداد الباحث بالاعتماد على بيانات الجدول رقم (4-2) بالملحق.</w:t>
      </w:r>
    </w:p>
    <w:p w14:paraId="3ABA3AF8" w14:textId="77777777" w:rsidR="002959BC" w:rsidRPr="005D7040" w:rsidRDefault="002959BC" w:rsidP="002959BC">
      <w:pPr>
        <w:ind w:firstLine="453"/>
        <w:jc w:val="both"/>
        <w:rPr>
          <w:rFonts w:ascii="Simplified Arabic" w:hAnsi="Simplified Arabic" w:cs="Simplified Arabic"/>
          <w:sz w:val="28"/>
          <w:szCs w:val="28"/>
          <w:rtl/>
        </w:rPr>
      </w:pPr>
    </w:p>
    <w:p w14:paraId="15750467" w14:textId="77777777" w:rsidR="002959BC" w:rsidRPr="005D7040" w:rsidRDefault="002959BC" w:rsidP="002959BC">
      <w:pPr>
        <w:ind w:firstLine="453"/>
        <w:jc w:val="both"/>
        <w:rPr>
          <w:rFonts w:ascii="Simplified Arabic" w:hAnsi="Simplified Arabic" w:cs="Simplified Arabic"/>
          <w:sz w:val="28"/>
          <w:szCs w:val="28"/>
          <w:rtl/>
        </w:rPr>
      </w:pPr>
      <w:r w:rsidRPr="005D7040">
        <w:rPr>
          <w:rFonts w:ascii="Simplified Arabic" w:hAnsi="Simplified Arabic" w:cs="Simplified Arabic"/>
          <w:sz w:val="28"/>
          <w:szCs w:val="28"/>
          <w:rtl/>
        </w:rPr>
        <w:t xml:space="preserve">ويوضح الشكل </w:t>
      </w:r>
      <w:r w:rsidRPr="005D7040">
        <w:rPr>
          <w:rFonts w:ascii="Simplified Arabic" w:hAnsi="Simplified Arabic" w:cs="Simplified Arabic"/>
          <w:sz w:val="28"/>
          <w:szCs w:val="28"/>
          <w:rtl/>
          <w:lang w:bidi="ar-EG"/>
        </w:rPr>
        <w:t xml:space="preserve">رقم (2-23) </w:t>
      </w:r>
      <w:r w:rsidRPr="005D7040">
        <w:rPr>
          <w:rFonts w:ascii="Simplified Arabic" w:hAnsi="Simplified Arabic" w:cs="Simplified Arabic"/>
          <w:sz w:val="28"/>
          <w:szCs w:val="28"/>
          <w:rtl/>
        </w:rPr>
        <w:t xml:space="preserve">أن التمويل الخارجي </w:t>
      </w:r>
      <w:r w:rsidRPr="005D7040">
        <w:rPr>
          <w:rFonts w:ascii="Simplified Arabic" w:hAnsi="Simplified Arabic" w:cs="Simplified Arabic"/>
          <w:sz w:val="28"/>
          <w:szCs w:val="28"/>
          <w:rtl/>
          <w:lang w:bidi="ar-EG"/>
        </w:rPr>
        <w:t>بدأ</w:t>
      </w:r>
      <w:r w:rsidRPr="005D7040">
        <w:rPr>
          <w:rFonts w:ascii="Simplified Arabic" w:hAnsi="Simplified Arabic" w:cs="Simplified Arabic"/>
          <w:sz w:val="28"/>
          <w:szCs w:val="28"/>
          <w:rtl/>
        </w:rPr>
        <w:t xml:space="preserve"> بقيمة سالبة في العام المالي 2011/2012 بمبلغ -9062 مليون جنيه (-5% من إجمالي التمويل) ثم ارتفع قليلاً إلى 20270 مليون جنيه (7% من إجمالي التمويل) ثم بدأ في عاود الانخفاض ليسجل في العام المالي 2014/2015 قيمة سالبة قدرها -25119 مليون جنيه (-8% من إجمالي التمويل) إلا أن التمويل الخارجي ارتفع بشكل كبير بعد ذلك ليسجل العام المالي 2017/2018 مبلغ 230332 مليون جنيه (35% من إجمالي التمويل)، ثم بدأ في انخفاض طفيف في العام المالي 2018/2019 ليبلغ 178652 مليون جنيه (28% من إجمالي التمويل).</w:t>
      </w:r>
    </w:p>
    <w:p w14:paraId="4536A1C2" w14:textId="77777777" w:rsidR="002959BC" w:rsidRPr="005D7040" w:rsidRDefault="002959BC" w:rsidP="002959BC">
      <w:pPr>
        <w:ind w:firstLine="709"/>
        <w:jc w:val="both"/>
        <w:rPr>
          <w:rFonts w:ascii="Simplified Arabic" w:hAnsi="Simplified Arabic" w:cs="Simplified Arabic"/>
          <w:sz w:val="28"/>
          <w:szCs w:val="28"/>
          <w:rtl/>
        </w:rPr>
      </w:pPr>
    </w:p>
    <w:p w14:paraId="5BE86E1C" w14:textId="77777777" w:rsidR="002959BC"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p>
    <w:p w14:paraId="7ED511D1" w14:textId="77777777" w:rsidR="002959BC"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p>
    <w:p w14:paraId="4F198379" w14:textId="77777777" w:rsidR="002959BC"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p>
    <w:p w14:paraId="20D59F3D" w14:textId="77777777" w:rsidR="002959BC"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p>
    <w:p w14:paraId="3E4A9850" w14:textId="77777777" w:rsidR="002959BC"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p>
    <w:p w14:paraId="4EC214E5" w14:textId="77777777" w:rsidR="002959BC" w:rsidRPr="007B6E3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7B6E36">
        <w:rPr>
          <w:rFonts w:ascii="Simplified Arabic" w:eastAsia="Times New Roman" w:hAnsi="Simplified Arabic" w:cs="Simplified Arabic"/>
          <w:b/>
          <w:bCs/>
          <w:sz w:val="24"/>
          <w:szCs w:val="24"/>
          <w:rtl/>
        </w:rPr>
        <w:t>شكل رقم (2-24)</w:t>
      </w:r>
    </w:p>
    <w:p w14:paraId="06A87B3F" w14:textId="77777777" w:rsidR="002959BC" w:rsidRPr="007B6E3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7B6E36">
        <w:rPr>
          <w:rFonts w:ascii="Simplified Arabic" w:eastAsia="Times New Roman" w:hAnsi="Simplified Arabic" w:cs="Simplified Arabic"/>
          <w:b/>
          <w:bCs/>
          <w:sz w:val="24"/>
          <w:szCs w:val="24"/>
          <w:rtl/>
        </w:rPr>
        <w:t>تطور التمويل المحلي (المصرفي وغير المصرفي) لعجز الموازنة العامة للدولة</w:t>
      </w:r>
    </w:p>
    <w:p w14:paraId="088CE280" w14:textId="77777777" w:rsidR="002959BC" w:rsidRPr="007B6E3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7B6E36">
        <w:rPr>
          <w:rFonts w:ascii="Simplified Arabic" w:eastAsia="Times New Roman" w:hAnsi="Simplified Arabic" w:cs="Simplified Arabic"/>
          <w:b/>
          <w:bCs/>
          <w:sz w:val="24"/>
          <w:szCs w:val="24"/>
          <w:rtl/>
        </w:rPr>
        <w:t>خلال الفترة (2011/2012 إلى 2018/2019)</w:t>
      </w:r>
    </w:p>
    <w:p w14:paraId="1FDA0E56" w14:textId="77777777" w:rsidR="002959BC" w:rsidRPr="005D7040" w:rsidRDefault="002959BC" w:rsidP="002959BC">
      <w:pPr>
        <w:ind w:firstLine="28"/>
        <w:jc w:val="both"/>
        <w:rPr>
          <w:rFonts w:ascii="Simplified Arabic" w:hAnsi="Simplified Arabic" w:cs="Simplified Arabic"/>
          <w:color w:val="000000"/>
          <w:sz w:val="28"/>
          <w:szCs w:val="28"/>
          <w:rtl/>
        </w:rPr>
      </w:pPr>
      <w:r w:rsidRPr="005D7040">
        <w:rPr>
          <w:rFonts w:ascii="Simplified Arabic" w:hAnsi="Simplified Arabic" w:cs="Simplified Arabic"/>
          <w:sz w:val="28"/>
          <w:szCs w:val="28"/>
        </w:rPr>
        <w:drawing>
          <wp:inline distT="0" distB="0" distL="0" distR="0" wp14:anchorId="26D4E8E0" wp14:editId="50F69B3C">
            <wp:extent cx="5508000" cy="3240000"/>
            <wp:effectExtent l="0" t="0" r="16510" b="17780"/>
            <wp:docPr id="131" name="Chart 1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B64B7D0" w14:textId="77777777" w:rsidR="002959BC" w:rsidRPr="005D7040" w:rsidRDefault="002959BC" w:rsidP="002959BC">
      <w:pPr>
        <w:jc w:val="both"/>
        <w:rPr>
          <w:rFonts w:ascii="Simplified Arabic" w:hAnsi="Simplified Arabic" w:cs="Simplified Arabic"/>
          <w:sz w:val="24"/>
          <w:szCs w:val="24"/>
          <w:rtl/>
        </w:rPr>
      </w:pPr>
      <w:r w:rsidRPr="005D7040">
        <w:rPr>
          <w:rFonts w:ascii="Simplified Arabic" w:hAnsi="Simplified Arabic" w:cs="Simplified Arabic"/>
          <w:sz w:val="24"/>
          <w:szCs w:val="24"/>
          <w:rtl/>
        </w:rPr>
        <w:t>المصدر: من إعداد الباحث بالاعتماد على بيانات الجدول رقم (4-3) بالملحق.</w:t>
      </w:r>
    </w:p>
    <w:p w14:paraId="31EC4D60" w14:textId="77777777" w:rsidR="002959BC" w:rsidRPr="005D7040" w:rsidRDefault="002959BC" w:rsidP="002959BC">
      <w:pPr>
        <w:ind w:firstLine="453"/>
        <w:jc w:val="both"/>
        <w:rPr>
          <w:rFonts w:ascii="Simplified Arabic" w:hAnsi="Simplified Arabic" w:cs="Simplified Arabic"/>
          <w:sz w:val="28"/>
          <w:szCs w:val="28"/>
          <w:rtl/>
        </w:rPr>
      </w:pPr>
    </w:p>
    <w:p w14:paraId="51613929" w14:textId="77777777" w:rsidR="002959BC" w:rsidRDefault="002959BC" w:rsidP="002959BC">
      <w:pPr>
        <w:ind w:firstLine="453"/>
        <w:jc w:val="both"/>
        <w:rPr>
          <w:rFonts w:ascii="Simplified Arabic" w:hAnsi="Simplified Arabic" w:cs="Simplified Arabic"/>
          <w:sz w:val="28"/>
          <w:szCs w:val="28"/>
          <w:rtl/>
        </w:rPr>
      </w:pPr>
      <w:r w:rsidRPr="005D7040">
        <w:rPr>
          <w:rFonts w:ascii="Simplified Arabic" w:hAnsi="Simplified Arabic" w:cs="Simplified Arabic"/>
          <w:sz w:val="28"/>
          <w:szCs w:val="28"/>
          <w:rtl/>
        </w:rPr>
        <w:t xml:space="preserve">ويتضح من الشكل </w:t>
      </w:r>
      <w:r w:rsidRPr="005D7040">
        <w:rPr>
          <w:rFonts w:ascii="Simplified Arabic" w:hAnsi="Simplified Arabic" w:cs="Simplified Arabic"/>
          <w:sz w:val="28"/>
          <w:szCs w:val="28"/>
          <w:rtl/>
          <w:lang w:bidi="ar-EG"/>
        </w:rPr>
        <w:t xml:space="preserve">رقم (2-24) </w:t>
      </w:r>
      <w:r w:rsidRPr="005D7040">
        <w:rPr>
          <w:rFonts w:ascii="Simplified Arabic" w:hAnsi="Simplified Arabic" w:cs="Simplified Arabic"/>
          <w:sz w:val="28"/>
          <w:szCs w:val="28"/>
          <w:rtl/>
        </w:rPr>
        <w:t xml:space="preserve">الاعتماد بشكل كبير على التمويل المحلي المصرفي لتمويل عجز الموازنة العامة للدولة حيث بدأ التمويل المصرفي بقيمة 146374 مليون جنيه (80% من إجمالي التمويل المحلي) ثم واصل الارتفاع حتى وصل ذروته (كقيمة مطلقة) في العام المالي 2014/2015 لمبلغ 248454 مليون جنيه (76% من إجمالي التمويل </w:t>
      </w:r>
      <w:r w:rsidRPr="005D7040">
        <w:rPr>
          <w:rFonts w:ascii="Simplified Arabic" w:hAnsi="Simplified Arabic" w:cs="Simplified Arabic"/>
          <w:sz w:val="28"/>
          <w:szCs w:val="28"/>
          <w:rtl/>
          <w:lang w:bidi="ar-EG"/>
        </w:rPr>
        <w:t>المحلي</w:t>
      </w:r>
      <w:r w:rsidRPr="005D7040">
        <w:rPr>
          <w:rFonts w:ascii="Simplified Arabic" w:hAnsi="Simplified Arabic" w:cs="Simplified Arabic"/>
          <w:sz w:val="28"/>
          <w:szCs w:val="28"/>
          <w:rtl/>
        </w:rPr>
        <w:t>)، وتلي ذلك انخفاض نسبي في التمويل المصرفي ليصل في العام المالي 2017/2018 لمبلغ 176201 مليون جنيه (41% من إجمالي التمويل المحلي) ثم ارتفع قليلاً في العام المالي 2018/2019 لمبلغ 203432 مليون جنيه (43% من إجمالي التمويل المحلي).</w:t>
      </w:r>
    </w:p>
    <w:p w14:paraId="19DAB935" w14:textId="77777777" w:rsidR="002959BC" w:rsidRPr="005D7040" w:rsidRDefault="002959BC" w:rsidP="002959BC">
      <w:pPr>
        <w:ind w:firstLine="453"/>
        <w:jc w:val="both"/>
        <w:rPr>
          <w:rFonts w:ascii="Simplified Arabic" w:hAnsi="Simplified Arabic" w:cs="Simplified Arabic"/>
          <w:sz w:val="28"/>
          <w:szCs w:val="28"/>
          <w:rtl/>
        </w:rPr>
      </w:pPr>
    </w:p>
    <w:p w14:paraId="76FFDB86" w14:textId="77777777" w:rsidR="002959BC" w:rsidRPr="005D7040" w:rsidRDefault="002959BC" w:rsidP="002959BC">
      <w:pPr>
        <w:ind w:firstLine="453"/>
        <w:jc w:val="both"/>
        <w:rPr>
          <w:rFonts w:ascii="Simplified Arabic" w:hAnsi="Simplified Arabic" w:cs="Simplified Arabic"/>
          <w:sz w:val="28"/>
          <w:szCs w:val="28"/>
          <w:rtl/>
        </w:rPr>
      </w:pPr>
      <w:r w:rsidRPr="005D7040">
        <w:rPr>
          <w:rFonts w:ascii="Simplified Arabic" w:hAnsi="Simplified Arabic" w:cs="Simplified Arabic"/>
          <w:sz w:val="28"/>
          <w:szCs w:val="28"/>
          <w:rtl/>
        </w:rPr>
        <w:t xml:space="preserve">وفي المقابل نجد أن التمويل المحلي غير المصرفي بدأ منخفضاً خلال تلك الفترة حيث سجل في العام المالي 2011/2012 مبلغ 35844 مليون جنيه (20% من إجمالي التمويل المحلي) وظل في مستوى متقارب خلال العاميين الماليين التاليين إلا أنه في إطار برنامج الإصلاح الاقتصادي فقد تم التوجه إلى زيادة مساهمة التمويل المصرفي وذلك بدءً من العام المالي 2014/2015 بدأ في الارتفاع ليسجل مبلغ </w:t>
      </w:r>
      <w:r w:rsidRPr="005D7040">
        <w:rPr>
          <w:rFonts w:ascii="Simplified Arabic" w:hAnsi="Simplified Arabic" w:cs="Simplified Arabic"/>
          <w:sz w:val="28"/>
          <w:szCs w:val="28"/>
          <w:rtl/>
        </w:rPr>
        <w:lastRenderedPageBreak/>
        <w:t>79274 مليون جنيه (24% من إجمالي التمويل المحلي) ثم واصل الارتفاع بشكل كبير ومتواصل حتى سجل خلال العام المالي 2018/2019لمبلغ 264517 مليون جنيه (57% من إجمالي التمويل المحلي).</w:t>
      </w:r>
    </w:p>
    <w:p w14:paraId="5095A980" w14:textId="77777777" w:rsidR="002959BC" w:rsidRPr="005D7040" w:rsidRDefault="002959BC" w:rsidP="002959BC">
      <w:pPr>
        <w:ind w:firstLine="453"/>
        <w:jc w:val="both"/>
        <w:rPr>
          <w:rFonts w:ascii="Simplified Arabic" w:hAnsi="Simplified Arabic" w:cs="Simplified Arabic"/>
          <w:sz w:val="28"/>
          <w:szCs w:val="28"/>
          <w:rtl/>
        </w:rPr>
      </w:pPr>
    </w:p>
    <w:p w14:paraId="18947D3A" w14:textId="77777777" w:rsidR="002959BC" w:rsidRPr="007B6E3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7B6E36">
        <w:rPr>
          <w:rFonts w:ascii="Simplified Arabic" w:eastAsia="Times New Roman" w:hAnsi="Simplified Arabic" w:cs="Simplified Arabic"/>
          <w:b/>
          <w:bCs/>
          <w:sz w:val="24"/>
          <w:szCs w:val="24"/>
          <w:rtl/>
        </w:rPr>
        <w:t>شكل رقم (2-25)</w:t>
      </w:r>
    </w:p>
    <w:p w14:paraId="1394D8DD" w14:textId="77777777" w:rsidR="002959BC" w:rsidRPr="007B6E3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7B6E36">
        <w:rPr>
          <w:rFonts w:ascii="Simplified Arabic" w:eastAsia="Times New Roman" w:hAnsi="Simplified Arabic" w:cs="Simplified Arabic"/>
          <w:b/>
          <w:bCs/>
          <w:sz w:val="24"/>
          <w:szCs w:val="24"/>
          <w:rtl/>
        </w:rPr>
        <w:t>تطور التمويل الخارجي والتمويل المحلي لعجز الموازنة العامة للدولة</w:t>
      </w:r>
    </w:p>
    <w:p w14:paraId="50505201" w14:textId="77777777" w:rsidR="002959BC" w:rsidRPr="007B6E3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7B6E36">
        <w:rPr>
          <w:rFonts w:ascii="Simplified Arabic" w:eastAsia="Times New Roman" w:hAnsi="Simplified Arabic" w:cs="Simplified Arabic"/>
          <w:b/>
          <w:bCs/>
          <w:sz w:val="24"/>
          <w:szCs w:val="24"/>
        </w:rPr>
        <w:drawing>
          <wp:anchor distT="0" distB="0" distL="114300" distR="114300" simplePos="0" relativeHeight="251701248" behindDoc="1" locked="0" layoutInCell="1" allowOverlap="1" wp14:anchorId="1FAE400A" wp14:editId="7ADB810B">
            <wp:simplePos x="0" y="0"/>
            <wp:positionH relativeFrom="margin">
              <wp:posOffset>-7620</wp:posOffset>
            </wp:positionH>
            <wp:positionV relativeFrom="paragraph">
              <wp:posOffset>509270</wp:posOffset>
            </wp:positionV>
            <wp:extent cx="5508000" cy="3240000"/>
            <wp:effectExtent l="0" t="0" r="16510" b="17780"/>
            <wp:wrapTight wrapText="bothSides">
              <wp:wrapPolygon edited="0">
                <wp:start x="0" y="0"/>
                <wp:lineTo x="0" y="21592"/>
                <wp:lineTo x="21590" y="21592"/>
                <wp:lineTo x="21590" y="0"/>
                <wp:lineTo x="0" y="0"/>
              </wp:wrapPolygon>
            </wp:wrapTight>
            <wp:docPr id="132" name="Chart 1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page">
              <wp14:pctWidth>0</wp14:pctWidth>
            </wp14:sizeRelH>
            <wp14:sizeRelV relativeFrom="page">
              <wp14:pctHeight>0</wp14:pctHeight>
            </wp14:sizeRelV>
          </wp:anchor>
        </w:drawing>
      </w:r>
      <w:r w:rsidRPr="007B6E36">
        <w:rPr>
          <w:rFonts w:ascii="Simplified Arabic" w:eastAsia="Times New Roman" w:hAnsi="Simplified Arabic" w:cs="Simplified Arabic"/>
          <w:b/>
          <w:bCs/>
          <w:sz w:val="24"/>
          <w:szCs w:val="24"/>
          <w:rtl/>
        </w:rPr>
        <w:t>خلال الفترة (2011/2012 إلى 2018/2019)</w:t>
      </w:r>
    </w:p>
    <w:p w14:paraId="3466C149" w14:textId="77777777" w:rsidR="002959BC" w:rsidRDefault="002959BC" w:rsidP="002959BC">
      <w:pPr>
        <w:ind w:firstLine="28"/>
        <w:jc w:val="both"/>
        <w:rPr>
          <w:rFonts w:ascii="Simplified Arabic" w:hAnsi="Simplified Arabic" w:cs="Simplified Arabic"/>
          <w:sz w:val="24"/>
          <w:szCs w:val="24"/>
          <w:rtl/>
        </w:rPr>
      </w:pPr>
    </w:p>
    <w:p w14:paraId="6511EDF3" w14:textId="77777777" w:rsidR="002959BC" w:rsidRPr="005D7040" w:rsidRDefault="002959BC" w:rsidP="002959BC">
      <w:pPr>
        <w:ind w:firstLine="28"/>
        <w:jc w:val="both"/>
        <w:rPr>
          <w:rFonts w:ascii="Simplified Arabic" w:hAnsi="Simplified Arabic" w:cs="Simplified Arabic"/>
          <w:sz w:val="24"/>
          <w:szCs w:val="24"/>
          <w:rtl/>
        </w:rPr>
      </w:pPr>
      <w:r w:rsidRPr="005D7040">
        <w:rPr>
          <w:rFonts w:ascii="Simplified Arabic" w:hAnsi="Simplified Arabic" w:cs="Simplified Arabic"/>
          <w:sz w:val="24"/>
          <w:szCs w:val="24"/>
          <w:rtl/>
        </w:rPr>
        <w:t>المصدر: من إعداد الباحث بالاعتماد على بيانات الجدولين رقمي (4-2)، (4-3) بالملحق.</w:t>
      </w:r>
    </w:p>
    <w:p w14:paraId="7BE27AB6" w14:textId="77777777" w:rsidR="002959BC" w:rsidRPr="005D7040" w:rsidRDefault="002959BC" w:rsidP="002959BC">
      <w:pPr>
        <w:ind w:firstLine="453"/>
        <w:jc w:val="both"/>
        <w:rPr>
          <w:rFonts w:ascii="Simplified Arabic" w:hAnsi="Simplified Arabic" w:cs="Simplified Arabic"/>
          <w:sz w:val="28"/>
          <w:szCs w:val="28"/>
          <w:rtl/>
        </w:rPr>
      </w:pPr>
    </w:p>
    <w:p w14:paraId="3A8A867D" w14:textId="77777777" w:rsidR="002959BC" w:rsidRDefault="002959BC" w:rsidP="002959BC">
      <w:pPr>
        <w:ind w:firstLine="453"/>
        <w:jc w:val="both"/>
        <w:rPr>
          <w:rFonts w:ascii="Simplified Arabic" w:hAnsi="Simplified Arabic" w:cs="Simplified Arabic"/>
          <w:sz w:val="28"/>
          <w:szCs w:val="28"/>
          <w:rtl/>
        </w:rPr>
      </w:pPr>
      <w:r w:rsidRPr="005D7040">
        <w:rPr>
          <w:rFonts w:ascii="Simplified Arabic" w:hAnsi="Simplified Arabic" w:cs="Simplified Arabic"/>
          <w:sz w:val="28"/>
          <w:szCs w:val="28"/>
          <w:rtl/>
        </w:rPr>
        <w:t xml:space="preserve">ويوضح الشكل </w:t>
      </w:r>
      <w:r w:rsidRPr="005D7040">
        <w:rPr>
          <w:rFonts w:ascii="Simplified Arabic" w:hAnsi="Simplified Arabic" w:cs="Simplified Arabic"/>
          <w:sz w:val="28"/>
          <w:szCs w:val="28"/>
          <w:rtl/>
          <w:lang w:bidi="ar-EG"/>
        </w:rPr>
        <w:t xml:space="preserve">رقم (2-25) </w:t>
      </w:r>
      <w:r w:rsidRPr="005D7040">
        <w:rPr>
          <w:rFonts w:ascii="Simplified Arabic" w:hAnsi="Simplified Arabic" w:cs="Simplified Arabic"/>
          <w:sz w:val="28"/>
          <w:szCs w:val="28"/>
          <w:rtl/>
        </w:rPr>
        <w:t xml:space="preserve">أن كلاً من التمويل المحلي والتمويل الخارجي قد شهد ارتفاعاً كبيراً خلال مجمل تلك الفترة وهو ما يُعد انعكاساً للوضع المتردي للمالية العامة خلال مجمل تلك الفترة </w:t>
      </w:r>
      <w:r w:rsidRPr="005D7040">
        <w:rPr>
          <w:rFonts w:ascii="Simplified Arabic" w:hAnsi="Simplified Arabic" w:cs="Simplified Arabic"/>
          <w:sz w:val="28"/>
          <w:szCs w:val="28"/>
          <w:rtl/>
          <w:lang w:bidi="ar-EG"/>
        </w:rPr>
        <w:t>وتأثرها بالأوضاع</w:t>
      </w:r>
      <w:r w:rsidRPr="005D7040">
        <w:rPr>
          <w:rFonts w:ascii="Simplified Arabic" w:hAnsi="Simplified Arabic" w:cs="Simplified Arabic"/>
          <w:sz w:val="28"/>
          <w:szCs w:val="28"/>
          <w:rtl/>
        </w:rPr>
        <w:t xml:space="preserve"> السياسية والاقتصادية وحالة اللايقين، حيث بدا ذلك منطقياً لتمويل العجز الكلي المرتفع للموازنة العامة للدولة، فقد بدأ التمويل المحلي في العام المالي 2011/2012 بقيمة 182218 مليون جنيه (105% من إجمالي التمويل) وارتفع بشكل متواصل حتى وصل في العام المالي 2018/2019 لمبلغ 467949 مليون جنيه (72% من إجمالي التمويل).</w:t>
      </w:r>
    </w:p>
    <w:p w14:paraId="6F563250" w14:textId="77777777" w:rsidR="002959BC" w:rsidRPr="005D7040" w:rsidRDefault="002959BC" w:rsidP="002959BC">
      <w:pPr>
        <w:ind w:firstLine="453"/>
        <w:jc w:val="both"/>
        <w:rPr>
          <w:rFonts w:ascii="Simplified Arabic" w:hAnsi="Simplified Arabic" w:cs="Simplified Arabic"/>
          <w:sz w:val="28"/>
          <w:szCs w:val="28"/>
          <w:rtl/>
        </w:rPr>
      </w:pPr>
    </w:p>
    <w:p w14:paraId="58D51D26" w14:textId="77777777" w:rsidR="002959BC" w:rsidRDefault="002959BC" w:rsidP="002959BC">
      <w:pPr>
        <w:ind w:firstLine="453"/>
        <w:jc w:val="both"/>
        <w:rPr>
          <w:rFonts w:ascii="Simplified Arabic" w:hAnsi="Simplified Arabic" w:cs="Simplified Arabic"/>
          <w:sz w:val="28"/>
          <w:szCs w:val="28"/>
          <w:rtl/>
        </w:rPr>
      </w:pPr>
      <w:r w:rsidRPr="005D7040">
        <w:rPr>
          <w:rFonts w:ascii="Simplified Arabic" w:hAnsi="Simplified Arabic" w:cs="Simplified Arabic"/>
          <w:sz w:val="28"/>
          <w:szCs w:val="28"/>
          <w:rtl/>
        </w:rPr>
        <w:t xml:space="preserve"> ورغم الارتفاع المتواصل للتمويل المحلي فقد تزامن معه ارتفاعا كبيراً في التمويل الخارجي الذي بدأ في العام المالي 2011/2012 بقيمة سالبة تبلغ -9062 مليون جنيه (-5% من إجمالي التمويل) ثم ارتفع بشكل كبير ليصل في العام المالي 2017/2018 لمبلغ 230332 مليون جنيه (35% من إجمالي التمويل)، </w:t>
      </w:r>
      <w:r w:rsidRPr="005D7040">
        <w:rPr>
          <w:rFonts w:ascii="Simplified Arabic" w:hAnsi="Simplified Arabic" w:cs="Simplified Arabic"/>
          <w:sz w:val="28"/>
          <w:szCs w:val="28"/>
          <w:rtl/>
        </w:rPr>
        <w:lastRenderedPageBreak/>
        <w:t>إلا أن التمويل الخارجي انخفض بشكل طفيف خلال العام المالي 2018/2019 ليسجل مبلغ 178652 مليون جنيه (28% من إجمالي التمويل).</w:t>
      </w:r>
    </w:p>
    <w:p w14:paraId="02CC1ED7" w14:textId="77777777" w:rsidR="002959BC" w:rsidRPr="00C35DEE" w:rsidRDefault="002959BC" w:rsidP="002959BC">
      <w:pPr>
        <w:ind w:firstLine="453"/>
        <w:jc w:val="both"/>
        <w:rPr>
          <w:rFonts w:ascii="Simplified Arabic" w:hAnsi="Simplified Arabic" w:cs="Simplified Arabic"/>
          <w:rtl/>
        </w:rPr>
      </w:pPr>
    </w:p>
    <w:p w14:paraId="6BC7BE06" w14:textId="77777777" w:rsidR="002959BC" w:rsidRPr="005D7040" w:rsidRDefault="002959BC" w:rsidP="002959BC">
      <w:pPr>
        <w:ind w:left="542" w:hanging="514"/>
        <w:jc w:val="both"/>
        <w:rPr>
          <w:rFonts w:ascii="Simplified Arabic" w:hAnsi="Simplified Arabic" w:cs="Simplified Arabic"/>
          <w:b/>
          <w:bCs/>
          <w:sz w:val="28"/>
          <w:szCs w:val="28"/>
          <w:u w:val="single"/>
          <w:lang w:bidi="ar-EG"/>
        </w:rPr>
      </w:pPr>
      <w:r w:rsidRPr="005D7040">
        <w:rPr>
          <w:rFonts w:ascii="Simplified Arabic" w:hAnsi="Simplified Arabic" w:cs="Simplified Arabic"/>
          <w:b/>
          <w:bCs/>
          <w:sz w:val="28"/>
          <w:szCs w:val="28"/>
          <w:u w:val="single"/>
          <w:rtl/>
          <w:lang w:bidi="ar-EG"/>
        </w:rPr>
        <w:t>3-</w:t>
      </w:r>
      <w:r w:rsidRPr="005D7040">
        <w:rPr>
          <w:rFonts w:ascii="Simplified Arabic" w:hAnsi="Simplified Arabic" w:cs="Simplified Arabic"/>
          <w:b/>
          <w:bCs/>
          <w:sz w:val="28"/>
          <w:szCs w:val="28"/>
          <w:rtl/>
          <w:lang w:bidi="ar-EG"/>
        </w:rPr>
        <w:t xml:space="preserve"> </w:t>
      </w:r>
      <w:r w:rsidRPr="005D7040">
        <w:rPr>
          <w:rFonts w:ascii="Simplified Arabic" w:hAnsi="Simplified Arabic" w:cs="Simplified Arabic"/>
          <w:b/>
          <w:bCs/>
          <w:sz w:val="28"/>
          <w:szCs w:val="28"/>
          <w:u w:val="single"/>
          <w:rtl/>
          <w:lang w:bidi="ar-EG"/>
        </w:rPr>
        <w:t>تحليل العلاقة بين التضخم وآليات تمويل عجز الموازنة خلال الفترة من العام المالي 2011/2012 إلى العام المالي 2018/2019:</w:t>
      </w:r>
    </w:p>
    <w:p w14:paraId="68D1D48E" w14:textId="77777777" w:rsidR="002959BC" w:rsidRPr="005D7040" w:rsidRDefault="002959BC" w:rsidP="002959BC">
      <w:pPr>
        <w:ind w:firstLine="453"/>
        <w:jc w:val="both"/>
        <w:rPr>
          <w:rFonts w:ascii="Simplified Arabic" w:hAnsi="Simplified Arabic" w:cs="Simplified Arabic"/>
          <w:sz w:val="28"/>
          <w:szCs w:val="28"/>
          <w:rtl/>
          <w:lang w:bidi="ar-EG"/>
        </w:rPr>
      </w:pPr>
      <w:r w:rsidRPr="005D7040">
        <w:rPr>
          <w:rFonts w:ascii="Simplified Arabic" w:hAnsi="Simplified Arabic" w:cs="Simplified Arabic"/>
          <w:sz w:val="28"/>
          <w:szCs w:val="28"/>
          <w:rtl/>
          <w:lang w:bidi="ar-EG"/>
        </w:rPr>
        <w:t>ويوضح الشكل التالي معدل التضخم في الاقتصاد المصري خلال تلك الفترة:</w:t>
      </w:r>
    </w:p>
    <w:p w14:paraId="54D43D67" w14:textId="77777777" w:rsidR="002959BC" w:rsidRPr="007B6E3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7B6E36">
        <w:rPr>
          <w:rFonts w:ascii="Simplified Arabic" w:eastAsia="Times New Roman" w:hAnsi="Simplified Arabic" w:cs="Simplified Arabic"/>
          <w:b/>
          <w:bCs/>
          <w:sz w:val="24"/>
          <w:szCs w:val="24"/>
          <w:rtl/>
        </w:rPr>
        <w:t>شكل رقم (2-26)</w:t>
      </w:r>
    </w:p>
    <w:p w14:paraId="6D446EE2" w14:textId="77777777" w:rsidR="002959BC" w:rsidRPr="007B6E3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7B6E36">
        <w:rPr>
          <w:rFonts w:ascii="Simplified Arabic" w:eastAsia="Times New Roman" w:hAnsi="Simplified Arabic" w:cs="Simplified Arabic"/>
          <w:b/>
          <w:bCs/>
          <w:sz w:val="24"/>
          <w:szCs w:val="24"/>
          <w:rtl/>
        </w:rPr>
        <w:t>تطور معدل التضخم ونسبة العجز الكلي للموازنة العامة</w:t>
      </w:r>
      <w:r>
        <w:rPr>
          <w:rFonts w:ascii="Simplified Arabic" w:eastAsia="Times New Roman" w:hAnsi="Simplified Arabic" w:cs="Simplified Arabic" w:hint="cs"/>
          <w:b/>
          <w:bCs/>
          <w:sz w:val="24"/>
          <w:szCs w:val="24"/>
          <w:rtl/>
        </w:rPr>
        <w:t xml:space="preserve"> </w:t>
      </w:r>
      <w:r w:rsidRPr="007B6E36">
        <w:rPr>
          <w:rFonts w:ascii="Simplified Arabic" w:eastAsia="Times New Roman" w:hAnsi="Simplified Arabic" w:cs="Simplified Arabic"/>
          <w:b/>
          <w:bCs/>
          <w:sz w:val="24"/>
          <w:szCs w:val="24"/>
          <w:rtl/>
        </w:rPr>
        <w:t>خلال الفترة (2011/2012 إلى 2018/2019)</w:t>
      </w:r>
    </w:p>
    <w:p w14:paraId="755EC577" w14:textId="77777777" w:rsidR="002959BC" w:rsidRPr="005D7040" w:rsidRDefault="002959BC" w:rsidP="002959BC">
      <w:pPr>
        <w:jc w:val="both"/>
        <w:rPr>
          <w:rFonts w:ascii="Simplified Arabic" w:hAnsi="Simplified Arabic" w:cs="Simplified Arabic"/>
          <w:sz w:val="24"/>
          <w:szCs w:val="24"/>
          <w:rtl/>
        </w:rPr>
      </w:pPr>
      <w:r w:rsidRPr="007B6E36">
        <w:rPr>
          <w:rFonts w:ascii="Simplified Arabic" w:hAnsi="Simplified Arabic" w:cs="Simplified Arabic"/>
          <w:b/>
          <w:bCs/>
          <w:sz w:val="24"/>
          <w:szCs w:val="24"/>
        </w:rPr>
        <mc:AlternateContent>
          <mc:Choice Requires="wps">
            <w:drawing>
              <wp:anchor distT="0" distB="0" distL="114300" distR="114300" simplePos="0" relativeHeight="251702272" behindDoc="0" locked="0" layoutInCell="1" allowOverlap="1" wp14:anchorId="51F272CA" wp14:editId="5D2A8985">
                <wp:simplePos x="0" y="0"/>
                <wp:positionH relativeFrom="column">
                  <wp:posOffset>3043555</wp:posOffset>
                </wp:positionH>
                <wp:positionV relativeFrom="paragraph">
                  <wp:posOffset>-425923</wp:posOffset>
                </wp:positionV>
                <wp:extent cx="1878330" cy="215900"/>
                <wp:effectExtent l="0" t="0" r="7620" b="0"/>
                <wp:wrapNone/>
                <wp:docPr id="125" name="مربع نص 2"/>
                <wp:cNvGraphicFramePr/>
                <a:graphic xmlns:a="http://schemas.openxmlformats.org/drawingml/2006/main">
                  <a:graphicData uri="http://schemas.microsoft.com/office/word/2010/wordprocessingShape">
                    <wps:wsp>
                      <wps:cNvSpPr txBox="1"/>
                      <wps:spPr>
                        <a:xfrm>
                          <a:off x="0" y="0"/>
                          <a:ext cx="1878330" cy="2159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DE96F6" w14:textId="77777777" w:rsidR="00270E6A" w:rsidRPr="004D597A" w:rsidRDefault="00270E6A" w:rsidP="002959BC">
                            <w:pPr>
                              <w:rPr>
                                <w:rFonts w:asciiTheme="minorBidi" w:hAnsiTheme="minorBidi"/>
                                <w:sz w:val="18"/>
                                <w:szCs w:val="18"/>
                                <w:rtl/>
                                <w:lang w:bidi="ar-EG"/>
                              </w:rPr>
                            </w:pPr>
                            <w:r>
                              <w:rPr>
                                <w:rFonts w:asciiTheme="minorBidi" w:hAnsiTheme="minorBidi" w:hint="cs"/>
                                <w:sz w:val="18"/>
                                <w:szCs w:val="18"/>
                                <w:rtl/>
                                <w:lang w:bidi="ar-EG"/>
                              </w:rPr>
                              <w:t>معدل التضخم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F272CA" id="مربع نص 2" o:spid="_x0000_s1128" type="#_x0000_t202" style="position:absolute;left:0;text-align:left;margin-left:239.65pt;margin-top:-33.55pt;width:147.9pt;height:17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" fillcolor="white [3212]" stroked="f" strokeweight=".5pt">
                <v:textbox>
                  <w:txbxContent>
                    <w:p w14:paraId="5BDE96F6" w14:textId="77777777" w:rsidR="00270E6A" w:rsidRPr="004D597A" w:rsidRDefault="00270E6A" w:rsidP="002959BC">
                      <w:pPr>
                        <w:rPr>
                          <w:rFonts w:asciiTheme="minorBidi" w:hAnsiTheme="minorBidi"/>
                          <w:sz w:val="18"/>
                          <w:szCs w:val="18"/>
                          <w:rtl/>
                          <w:lang w:bidi="ar-EG"/>
                        </w:rPr>
                      </w:pPr>
                      <w:r>
                        <w:rPr>
                          <w:rFonts w:asciiTheme="minorBidi" w:hAnsiTheme="minorBidi" w:hint="cs"/>
                          <w:sz w:val="18"/>
                          <w:szCs w:val="18"/>
                          <w:rtl/>
                          <w:lang w:bidi="ar-EG"/>
                        </w:rPr>
                        <w:t>معدل التضخم</w:t>
                      </w:r>
                    </w:p>
                  </w:txbxContent>
                </v:textbox>
              </v:shape>
            </w:pict>
          </mc:Fallback>
        </mc:AlternateContent>
      </w:r>
      <w:r w:rsidRPr="007B6E36">
        <w:rPr>
          <w:rFonts w:ascii="Simplified Arabic" w:hAnsi="Simplified Arabic" w:cs="Simplified Arabic"/>
          <w:b/>
          <w:bCs/>
          <w:sz w:val="24"/>
          <w:szCs w:val="24"/>
        </w:rPr>
        <w:drawing>
          <wp:anchor distT="0" distB="0" distL="114300" distR="114300" simplePos="0" relativeHeight="251700224" behindDoc="1" locked="0" layoutInCell="1" allowOverlap="1" wp14:anchorId="43EAA0DD" wp14:editId="1B2A0731">
            <wp:simplePos x="0" y="0"/>
            <wp:positionH relativeFrom="margin">
              <wp:align>center</wp:align>
            </wp:positionH>
            <wp:positionV relativeFrom="paragraph">
              <wp:posOffset>38735</wp:posOffset>
            </wp:positionV>
            <wp:extent cx="5486400" cy="2626995"/>
            <wp:effectExtent l="0" t="0" r="19050" b="20955"/>
            <wp:wrapTight wrapText="bothSides">
              <wp:wrapPolygon edited="0">
                <wp:start x="0" y="0"/>
                <wp:lineTo x="0" y="21616"/>
                <wp:lineTo x="21600" y="21616"/>
                <wp:lineTo x="21600" y="0"/>
                <wp:lineTo x="0" y="0"/>
              </wp:wrapPolygon>
            </wp:wrapTight>
            <wp:docPr id="133" name="Chart 1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r w:rsidRPr="005D7040">
        <w:rPr>
          <w:rFonts w:ascii="Simplified Arabic" w:hAnsi="Simplified Arabic" w:cs="Simplified Arabic"/>
          <w:sz w:val="24"/>
          <w:szCs w:val="24"/>
          <w:rtl/>
        </w:rPr>
        <w:t xml:space="preserve"> المصدر: من إعداد الباحث بالاعتماد على بيانات الجدولين رقمي (4-1)، (4-4)</w:t>
      </w:r>
      <w:r>
        <w:rPr>
          <w:rFonts w:ascii="Simplified Arabic" w:hAnsi="Simplified Arabic" w:cs="Simplified Arabic" w:hint="cs"/>
          <w:sz w:val="24"/>
          <w:szCs w:val="24"/>
          <w:rtl/>
        </w:rPr>
        <w:t xml:space="preserve"> بالملحق</w:t>
      </w:r>
      <w:r w:rsidRPr="005D7040">
        <w:rPr>
          <w:rFonts w:ascii="Simplified Arabic" w:hAnsi="Simplified Arabic" w:cs="Simplified Arabic"/>
          <w:sz w:val="24"/>
          <w:szCs w:val="24"/>
          <w:rtl/>
        </w:rPr>
        <w:t>.</w:t>
      </w:r>
    </w:p>
    <w:p w14:paraId="4FCA5FB0" w14:textId="77777777" w:rsidR="002959BC" w:rsidRDefault="002959BC" w:rsidP="002959BC">
      <w:pPr>
        <w:ind w:firstLine="453"/>
        <w:jc w:val="both"/>
        <w:rPr>
          <w:rFonts w:ascii="Simplified Arabic" w:hAnsi="Simplified Arabic" w:cs="Simplified Arabic"/>
          <w:sz w:val="28"/>
          <w:szCs w:val="28"/>
          <w:rtl/>
          <w:lang w:bidi="ar-EG"/>
        </w:rPr>
      </w:pPr>
      <w:r w:rsidRPr="005D7040">
        <w:rPr>
          <w:rFonts w:ascii="Simplified Arabic" w:hAnsi="Simplified Arabic" w:cs="Simplified Arabic"/>
          <w:sz w:val="28"/>
          <w:szCs w:val="28"/>
          <w:rtl/>
          <w:lang w:bidi="ar-EG"/>
        </w:rPr>
        <w:t>ويتضح من الشكل رقم (2-26) أن التضخم والعجز الكلي للموازنة العامة كانا في مستوى مرتفع خلال تلك الفترة كما أن الاتجاه العام لهما هو استمرار الارتفاع خلال الفترة من العام المالي 2011/2012 وحتى العام المالي 2015/2016، ورغم انخفاض عجز الموازنة العامة بدءً من العام المالي 2015/2016 حتى العام المالي 2018/2019 إلا أن التضخم ارتفع بشدة خلال العام المالي 2016/2017 نتيجة تحرير سعر الصرف</w:t>
      </w:r>
      <w:r w:rsidRPr="005D7040">
        <w:rPr>
          <w:rFonts w:ascii="Simplified Arabic" w:hAnsi="Simplified Arabic" w:cs="Simplified Arabic"/>
          <w:sz w:val="28"/>
          <w:szCs w:val="28"/>
          <w:vertAlign w:val="superscript"/>
          <w:rtl/>
          <w:lang w:bidi="ar-EG"/>
        </w:rPr>
        <w:t>(</w:t>
      </w:r>
      <w:r w:rsidRPr="005D7040">
        <w:rPr>
          <w:rFonts w:ascii="Simplified Arabic" w:hAnsi="Simplified Arabic" w:cs="Simplified Arabic"/>
          <w:sz w:val="28"/>
          <w:szCs w:val="28"/>
          <w:vertAlign w:val="superscript"/>
          <w:rtl/>
          <w:lang w:bidi="ar-EG"/>
        </w:rPr>
        <w:footnoteReference w:id="99"/>
      </w:r>
      <w:r w:rsidRPr="005D7040">
        <w:rPr>
          <w:rFonts w:ascii="Simplified Arabic" w:hAnsi="Simplified Arabic" w:cs="Simplified Arabic"/>
          <w:sz w:val="28"/>
          <w:szCs w:val="28"/>
          <w:vertAlign w:val="superscript"/>
          <w:rtl/>
          <w:lang w:bidi="ar-EG"/>
        </w:rPr>
        <w:t>)</w:t>
      </w:r>
      <w:r w:rsidRPr="005D7040">
        <w:rPr>
          <w:rFonts w:ascii="Simplified Arabic" w:hAnsi="Simplified Arabic" w:cs="Simplified Arabic"/>
          <w:sz w:val="28"/>
          <w:szCs w:val="28"/>
          <w:rtl/>
          <w:lang w:bidi="ar-EG"/>
        </w:rPr>
        <w:t>، ثم اتجهت نسب التضخم إلى الانخفاض أيضاً    خلال العامين الماليين التاليين.</w:t>
      </w:r>
    </w:p>
    <w:p w14:paraId="21C5CDB6" w14:textId="77777777" w:rsidR="002959BC" w:rsidRDefault="002959BC" w:rsidP="002959BC">
      <w:pPr>
        <w:ind w:firstLine="453"/>
        <w:jc w:val="both"/>
        <w:rPr>
          <w:rFonts w:ascii="Simplified Arabic" w:hAnsi="Simplified Arabic" w:cs="Simplified Arabic"/>
          <w:sz w:val="28"/>
          <w:szCs w:val="28"/>
          <w:rtl/>
          <w:lang w:bidi="ar-EG"/>
        </w:rPr>
      </w:pPr>
    </w:p>
    <w:p w14:paraId="3C7192BD" w14:textId="77777777" w:rsidR="002959BC" w:rsidRDefault="002959BC" w:rsidP="002959BC">
      <w:pPr>
        <w:ind w:firstLine="453"/>
        <w:jc w:val="both"/>
        <w:rPr>
          <w:rFonts w:ascii="Simplified Arabic" w:hAnsi="Simplified Arabic" w:cs="Simplified Arabic"/>
          <w:sz w:val="28"/>
          <w:szCs w:val="28"/>
          <w:rtl/>
          <w:lang w:bidi="ar-EG"/>
        </w:rPr>
      </w:pPr>
      <w:r w:rsidRPr="005D7040">
        <w:rPr>
          <w:rFonts w:ascii="Simplified Arabic" w:hAnsi="Simplified Arabic" w:cs="Simplified Arabic"/>
          <w:sz w:val="28"/>
          <w:szCs w:val="28"/>
          <w:rtl/>
          <w:lang w:bidi="ar-EG"/>
        </w:rPr>
        <w:t>لقد بلغ متوسط معدل التضخم خلال الفترة من العام المالي 2011/2012 وحتى العام المالي 2018/2019 نسبة 13.1% وهو ما يزيد قليلاً عن متوسط العجز الكلي للموازنة العامة خلال تلك الفترة حيث سجل متوسط العجز الكلي للموازنة العامة للدولة خلال ذات الفترة 11%، وحيث كان هناك ارتفاع متزامن في كل من نسبة العجز الكلي للموازنة ومعدل التضخم وهو ما يؤكد وجود علاقة ارتباط بين كل من العجز الكلي للموازنة العامة للدولة والتضخم خلال تلك الفترة.</w:t>
      </w:r>
    </w:p>
    <w:p w14:paraId="6C172B68" w14:textId="77777777" w:rsidR="002959BC" w:rsidRDefault="002959BC" w:rsidP="002959BC">
      <w:pPr>
        <w:ind w:firstLine="453"/>
        <w:jc w:val="both"/>
        <w:rPr>
          <w:rFonts w:ascii="Simplified Arabic" w:hAnsi="Simplified Arabic" w:cs="Simplified Arabic"/>
          <w:sz w:val="28"/>
          <w:szCs w:val="28"/>
          <w:rtl/>
          <w:lang w:bidi="ar-EG"/>
        </w:rPr>
      </w:pPr>
    </w:p>
    <w:p w14:paraId="4FE93150" w14:textId="77777777" w:rsidR="002959BC" w:rsidRDefault="002959BC" w:rsidP="002959BC">
      <w:pPr>
        <w:ind w:firstLine="453"/>
        <w:jc w:val="both"/>
        <w:rPr>
          <w:rFonts w:ascii="Simplified Arabic" w:hAnsi="Simplified Arabic" w:cs="Simplified Arabic"/>
          <w:sz w:val="28"/>
          <w:szCs w:val="28"/>
          <w:rtl/>
          <w:lang w:bidi="ar-EG"/>
        </w:rPr>
      </w:pPr>
    </w:p>
    <w:p w14:paraId="40159FB5" w14:textId="77777777" w:rsidR="002959BC"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p>
    <w:p w14:paraId="189CADD6" w14:textId="77777777" w:rsidR="002959BC" w:rsidRPr="007B6E3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7B6E36">
        <w:rPr>
          <w:rFonts w:ascii="Simplified Arabic" w:eastAsia="Times New Roman" w:hAnsi="Simplified Arabic" w:cs="Simplified Arabic"/>
          <w:b/>
          <w:bCs/>
          <w:sz w:val="24"/>
          <w:szCs w:val="24"/>
          <w:rtl/>
        </w:rPr>
        <w:t>شكل رقم (2-27)</w:t>
      </w:r>
    </w:p>
    <w:p w14:paraId="4DC59E5E" w14:textId="77777777" w:rsidR="002959BC" w:rsidRPr="007B6E3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7B6E36">
        <w:rPr>
          <w:rFonts w:ascii="Simplified Arabic" w:eastAsia="Times New Roman" w:hAnsi="Simplified Arabic" w:cs="Simplified Arabic"/>
          <w:b/>
          <w:bCs/>
          <w:sz w:val="24"/>
          <w:szCs w:val="24"/>
          <w:rtl/>
        </w:rPr>
        <w:t>تطور الرقم القياسي لأسعار المستهلكين</w:t>
      </w:r>
    </w:p>
    <w:p w14:paraId="31595BC2" w14:textId="77777777" w:rsidR="002959BC" w:rsidRPr="007B6E3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7B6E36">
        <w:rPr>
          <w:rFonts w:ascii="Simplified Arabic" w:eastAsia="Times New Roman" w:hAnsi="Simplified Arabic" w:cs="Simplified Arabic"/>
          <w:b/>
          <w:bCs/>
          <w:sz w:val="24"/>
          <w:szCs w:val="24"/>
          <w:rtl/>
        </w:rPr>
        <w:t>والتمويل الخارجي والمحلي المصرفي والمحلي غير المصرفي</w:t>
      </w:r>
    </w:p>
    <w:p w14:paraId="4C21F2A0" w14:textId="77777777" w:rsidR="002959BC" w:rsidRPr="007B6E3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7B6E36">
        <w:rPr>
          <w:rFonts w:ascii="Simplified Arabic" w:eastAsia="Times New Roman" w:hAnsi="Simplified Arabic" w:cs="Simplified Arabic"/>
          <w:b/>
          <w:bCs/>
          <w:sz w:val="24"/>
          <w:szCs w:val="24"/>
          <w:rtl/>
        </w:rPr>
        <w:t>خلال الفترة (2011/2012 إلى 2018/2019)</w:t>
      </w:r>
    </w:p>
    <w:p w14:paraId="4D65B319" w14:textId="77777777" w:rsidR="002959BC" w:rsidRPr="005D7040" w:rsidRDefault="002959BC" w:rsidP="002959BC">
      <w:pPr>
        <w:jc w:val="center"/>
        <w:rPr>
          <w:rFonts w:ascii="Simplified Arabic" w:hAnsi="Simplified Arabic" w:cs="Simplified Arabic"/>
          <w:color w:val="000000" w:themeColor="text1"/>
          <w:sz w:val="28"/>
          <w:szCs w:val="28"/>
          <w:rtl/>
        </w:rPr>
      </w:pPr>
      <w:r w:rsidRPr="005D7040">
        <w:rPr>
          <w:rFonts w:ascii="Simplified Arabic" w:hAnsi="Simplified Arabic" w:cs="Simplified Arabic"/>
          <w:sz w:val="28"/>
          <w:szCs w:val="28"/>
        </w:rPr>
        <mc:AlternateContent>
          <mc:Choice Requires="wps">
            <w:drawing>
              <wp:anchor distT="0" distB="0" distL="114300" distR="114300" simplePos="0" relativeHeight="251699200" behindDoc="0" locked="0" layoutInCell="1" allowOverlap="1" wp14:anchorId="3662B287" wp14:editId="0367A2B7">
                <wp:simplePos x="0" y="0"/>
                <wp:positionH relativeFrom="column">
                  <wp:posOffset>3140710</wp:posOffset>
                </wp:positionH>
                <wp:positionV relativeFrom="paragraph">
                  <wp:posOffset>2600400</wp:posOffset>
                </wp:positionV>
                <wp:extent cx="2133600" cy="215900"/>
                <wp:effectExtent l="0" t="0" r="0" b="0"/>
                <wp:wrapNone/>
                <wp:docPr id="126" name="مربع نص 11"/>
                <wp:cNvGraphicFramePr/>
                <a:graphic xmlns:a="http://schemas.openxmlformats.org/drawingml/2006/main">
                  <a:graphicData uri="http://schemas.microsoft.com/office/word/2010/wordprocessingShape">
                    <wps:wsp>
                      <wps:cNvSpPr txBox="1"/>
                      <wps:spPr>
                        <a:xfrm>
                          <a:off x="0" y="0"/>
                          <a:ext cx="2133600" cy="2159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61EF4A" w14:textId="77777777" w:rsidR="00270E6A" w:rsidRPr="004D597A" w:rsidRDefault="00270E6A" w:rsidP="002959BC">
                            <w:pPr>
                              <w:jc w:val="center"/>
                              <w:rPr>
                                <w:rFonts w:asciiTheme="minorBidi" w:hAnsiTheme="minorBidi"/>
                                <w:sz w:val="18"/>
                                <w:szCs w:val="18"/>
                                <w:rtl/>
                                <w:lang w:bidi="ar-EG"/>
                              </w:rPr>
                            </w:pPr>
                            <w:r w:rsidRPr="004D597A">
                              <w:rPr>
                                <w:rFonts w:asciiTheme="minorBidi" w:hAnsiTheme="minorBidi"/>
                                <w:sz w:val="18"/>
                                <w:szCs w:val="18"/>
                                <w:rtl/>
                                <w:lang w:bidi="ar-EG"/>
                              </w:rPr>
                              <w:t>الرقم القياسي لأسعار المستهلكين (2010=100)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62B287" id="مربع نص 11" o:spid="_x0000_s1129" type="#_x0000_t202" style="position:absolute;left:0;text-align:left;margin-left:247.3pt;margin-top:204.75pt;width:168pt;height:17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" fillcolor="white [3212]" stroked="f" strokeweight=".5pt">
                <v:textbox>
                  <w:txbxContent>
                    <w:p w14:paraId="4261EF4A" w14:textId="77777777" w:rsidR="00270E6A" w:rsidRPr="004D597A" w:rsidRDefault="00270E6A" w:rsidP="002959BC">
                      <w:pPr>
                        <w:jc w:val="center"/>
                        <w:rPr>
                          <w:rFonts w:asciiTheme="minorBidi" w:hAnsiTheme="minorBidi"/>
                          <w:sz w:val="18"/>
                          <w:szCs w:val="18"/>
                          <w:rtl/>
                          <w:lang w:bidi="ar-EG"/>
                        </w:rPr>
                      </w:pPr>
                      <w:r w:rsidRPr="004D597A">
                        <w:rPr>
                          <w:rFonts w:asciiTheme="minorBidi" w:hAnsiTheme="minorBidi"/>
                          <w:sz w:val="18"/>
                          <w:szCs w:val="18"/>
                          <w:rtl/>
                          <w:lang w:bidi="ar-EG"/>
                        </w:rPr>
                        <w:t>الرقم القياسي لأسعار المستهلكين (2010=100)</w:t>
                      </w:r>
                    </w:p>
                  </w:txbxContent>
                </v:textbox>
              </v:shape>
            </w:pict>
          </mc:Fallback>
        </mc:AlternateContent>
      </w:r>
      <w:r w:rsidRPr="005D7040">
        <w:rPr>
          <w:rFonts w:ascii="Simplified Arabic" w:hAnsi="Simplified Arabic" w:cs="Simplified Arabic"/>
          <w:sz w:val="28"/>
          <w:szCs w:val="28"/>
        </w:rPr>
        <w:drawing>
          <wp:inline distT="0" distB="0" distL="0" distR="0" wp14:anchorId="39D9E667" wp14:editId="7768BF6D">
            <wp:extent cx="5508625" cy="2879725"/>
            <wp:effectExtent l="0" t="0" r="15875" b="15875"/>
            <wp:docPr id="134" name="مخطط 10">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194B127" w14:textId="77777777" w:rsidR="002959BC" w:rsidRPr="005D7040" w:rsidRDefault="002959BC" w:rsidP="002959BC">
      <w:pPr>
        <w:jc w:val="both"/>
        <w:rPr>
          <w:rFonts w:ascii="Simplified Arabic" w:hAnsi="Simplified Arabic" w:cs="Simplified Arabic"/>
          <w:sz w:val="8"/>
          <w:szCs w:val="8"/>
          <w:rtl/>
        </w:rPr>
      </w:pPr>
    </w:p>
    <w:p w14:paraId="505D14A9" w14:textId="77777777" w:rsidR="002959BC" w:rsidRPr="005D7040" w:rsidRDefault="002959BC" w:rsidP="002959BC">
      <w:pPr>
        <w:jc w:val="both"/>
        <w:rPr>
          <w:rFonts w:ascii="Simplified Arabic" w:hAnsi="Simplified Arabic" w:cs="Simplified Arabic"/>
          <w:sz w:val="24"/>
          <w:szCs w:val="24"/>
          <w:rtl/>
        </w:rPr>
      </w:pPr>
      <w:r w:rsidRPr="005D7040">
        <w:rPr>
          <w:rFonts w:ascii="Simplified Arabic" w:hAnsi="Simplified Arabic" w:cs="Simplified Arabic"/>
          <w:sz w:val="24"/>
          <w:szCs w:val="24"/>
          <w:rtl/>
        </w:rPr>
        <w:t>المصدر: من إعداد الباحث بالاعتماد على بيانات الجداول أرقام (4-1)، (4-2)، (4-3)، (4-4) بالملحق.</w:t>
      </w:r>
    </w:p>
    <w:p w14:paraId="1DEE7C07" w14:textId="77777777" w:rsidR="002959BC" w:rsidRPr="005D7040" w:rsidRDefault="002959BC" w:rsidP="002959BC">
      <w:pPr>
        <w:jc w:val="both"/>
        <w:rPr>
          <w:rFonts w:ascii="Simplified Arabic" w:hAnsi="Simplified Arabic" w:cs="Simplified Arabic"/>
          <w:sz w:val="28"/>
          <w:szCs w:val="28"/>
          <w:rtl/>
          <w:lang w:bidi="ar-EG"/>
        </w:rPr>
      </w:pPr>
    </w:p>
    <w:p w14:paraId="6118C9D8" w14:textId="77777777" w:rsidR="002959BC" w:rsidRPr="005D7040" w:rsidRDefault="002959BC" w:rsidP="002959BC">
      <w:pPr>
        <w:ind w:firstLine="453"/>
        <w:jc w:val="both"/>
        <w:rPr>
          <w:rFonts w:ascii="Simplified Arabic" w:hAnsi="Simplified Arabic" w:cs="Simplified Arabic"/>
          <w:sz w:val="28"/>
          <w:szCs w:val="28"/>
          <w:rtl/>
          <w:lang w:bidi="ar-EG"/>
        </w:rPr>
      </w:pPr>
      <w:r w:rsidRPr="005D7040">
        <w:rPr>
          <w:rFonts w:ascii="Simplified Arabic" w:hAnsi="Simplified Arabic" w:cs="Simplified Arabic"/>
          <w:sz w:val="28"/>
          <w:szCs w:val="28"/>
          <w:rtl/>
          <w:lang w:bidi="ar-EG"/>
        </w:rPr>
        <w:t>ويتضح من الشكل رقم (2-27) أن الرقم القياسي لأسعار المستهلكين ظل يتخذ مساراً تصاعدياً خلال الفترة من العام المالي 2011/2012 وحتى العام المالي 2018/2019 حيث ارتفع من 110.1 خلال العام المالي 2011/2012 ليصل إلى 264.3 في العام المالي 2018/2019 (سنة الأساس 2010)، وهو ما يعبر عن الزيادات الكبيرة والمتواصلة في التضخم خلال تلك الفترة.</w:t>
      </w:r>
    </w:p>
    <w:p w14:paraId="0F04513E" w14:textId="77777777" w:rsidR="002959BC" w:rsidRPr="005D7040" w:rsidRDefault="002959BC" w:rsidP="002959BC">
      <w:pPr>
        <w:ind w:firstLine="709"/>
        <w:jc w:val="both"/>
        <w:rPr>
          <w:rFonts w:ascii="Simplified Arabic" w:hAnsi="Simplified Arabic" w:cs="Simplified Arabic"/>
          <w:sz w:val="28"/>
          <w:szCs w:val="28"/>
          <w:rtl/>
          <w:lang w:bidi="ar-EG"/>
        </w:rPr>
      </w:pPr>
    </w:p>
    <w:p w14:paraId="33AD6EF9" w14:textId="77777777" w:rsidR="002959BC" w:rsidRPr="005D7040" w:rsidRDefault="002959BC" w:rsidP="002959BC">
      <w:pPr>
        <w:ind w:firstLine="453"/>
        <w:jc w:val="both"/>
        <w:rPr>
          <w:rFonts w:ascii="Simplified Arabic" w:hAnsi="Simplified Arabic" w:cs="Simplified Arabic"/>
          <w:sz w:val="28"/>
          <w:szCs w:val="28"/>
          <w:lang w:bidi="ar-EG"/>
        </w:rPr>
      </w:pPr>
      <w:r w:rsidRPr="005D7040">
        <w:rPr>
          <w:rFonts w:ascii="Simplified Arabic" w:hAnsi="Simplified Arabic" w:cs="Simplified Arabic"/>
          <w:sz w:val="28"/>
          <w:szCs w:val="28"/>
          <w:rtl/>
          <w:lang w:bidi="ar-EG"/>
        </w:rPr>
        <w:t xml:space="preserve">كما يتضح أنه خلال تلك الفترة كان كل من التمويل المحلي (المصرفي وغير المصرفي) والتمويل الخارجي يتزايدا بشكل كبير فنجد أنه في بداية الفترة كان الاعتماد الأساسي على التمويل المحلي المصرفي حتى العام المالي 2014/2015 الذي وصل إلى 248.5 مليار جنيه وانخفض قليلاً حتى وصل في العام المالي 2018/2019 لمبلغ 203 مليار جنيه، وبدءً من العام المالي 2014/2015 بدأ كل من التمويل المحلي غير المصرفي والتمويل الخارجي في الزيادة بشكل كبير ومتواصل حيث سجل التمويل الخارجي رقم سالب خلال العام المالي 2014/2015 بمبلغ -25.1 مليار جنيه ثم ارتفع بشكل كبير حتى وصل في العام المالي 2018/2019 لمبلغ 178 مليار جنيه. وكذا كان الحال للتمويل غير المصرفي الذي وصل في نهاية الفترة إلى 264.5 مليار جنيه. </w:t>
      </w:r>
    </w:p>
    <w:p w14:paraId="3EC6635C" w14:textId="1C0CC925" w:rsidR="002959BC" w:rsidRDefault="002959BC">
      <w:pPr>
        <w:bidi w:val="0"/>
        <w:spacing w:after="160" w:line="259" w:lineRule="auto"/>
        <w:rPr>
          <w:rtl/>
          <w:lang w:bidi="ar-EG"/>
        </w:rPr>
      </w:pPr>
      <w:r>
        <w:rPr>
          <w:rtl/>
          <w:lang w:bidi="ar-EG"/>
        </w:rPr>
        <w:br w:type="page"/>
      </w:r>
    </w:p>
    <w:p w14:paraId="5D259097" w14:textId="77777777" w:rsidR="002959BC" w:rsidRPr="007F2D91" w:rsidRDefault="002959BC" w:rsidP="002959BC">
      <w:pPr>
        <w:shd w:val="clear" w:color="auto" w:fill="C5E0B3" w:themeFill="accent6" w:themeFillTint="66"/>
        <w:jc w:val="center"/>
        <w:rPr>
          <w:rFonts w:ascii="Simplified Arabic" w:hAnsi="Simplified Arabic" w:cs="Simplified Arabic"/>
          <w:b/>
          <w:bCs/>
          <w:sz w:val="32"/>
          <w:szCs w:val="32"/>
          <w:rtl/>
          <w:lang w:bidi="ar-EG"/>
        </w:rPr>
      </w:pPr>
      <w:r w:rsidRPr="007F2D91">
        <w:rPr>
          <w:rFonts w:ascii="Simplified Arabic" w:hAnsi="Simplified Arabic" w:cs="Simplified Arabic"/>
          <w:b/>
          <w:bCs/>
          <w:sz w:val="32"/>
          <w:szCs w:val="32"/>
          <w:rtl/>
          <w:lang w:bidi="ar-EG"/>
        </w:rPr>
        <w:lastRenderedPageBreak/>
        <w:t>المبحث الثاني:</w:t>
      </w:r>
    </w:p>
    <w:p w14:paraId="0528D7E3" w14:textId="77777777" w:rsidR="002959BC" w:rsidRPr="007F2D91" w:rsidRDefault="002959BC" w:rsidP="002959BC">
      <w:pPr>
        <w:shd w:val="clear" w:color="auto" w:fill="C5E0B3" w:themeFill="accent6" w:themeFillTint="66"/>
        <w:ind w:firstLine="28"/>
        <w:jc w:val="center"/>
        <w:rPr>
          <w:rFonts w:ascii="Simplified Arabic" w:hAnsi="Simplified Arabic" w:cs="Simplified Arabic"/>
          <w:b/>
          <w:bCs/>
          <w:sz w:val="32"/>
          <w:szCs w:val="32"/>
          <w:rtl/>
          <w:lang w:bidi="ar-EG"/>
        </w:rPr>
      </w:pPr>
      <w:r w:rsidRPr="007F2D91">
        <w:rPr>
          <w:rFonts w:ascii="Simplified Arabic" w:hAnsi="Simplified Arabic" w:cs="Simplified Arabic"/>
          <w:b/>
          <w:bCs/>
          <w:sz w:val="32"/>
          <w:szCs w:val="32"/>
          <w:rtl/>
          <w:lang w:bidi="ar-EG"/>
        </w:rPr>
        <w:t>خاتمة (نظرة عامة)</w:t>
      </w:r>
    </w:p>
    <w:p w14:paraId="0AEEC994" w14:textId="77777777" w:rsidR="002959BC" w:rsidRPr="007F2D91" w:rsidRDefault="002959BC" w:rsidP="002959BC">
      <w:pPr>
        <w:jc w:val="center"/>
        <w:rPr>
          <w:rFonts w:ascii="Simplified Arabic" w:hAnsi="Simplified Arabic" w:cs="Simplified Arabic"/>
          <w:b/>
          <w:bCs/>
          <w:sz w:val="32"/>
          <w:szCs w:val="32"/>
          <w:rtl/>
          <w:lang w:bidi="ar-EG"/>
        </w:rPr>
      </w:pPr>
    </w:p>
    <w:p w14:paraId="05B7E964" w14:textId="77777777" w:rsidR="002959BC" w:rsidRPr="007F2D91" w:rsidRDefault="002959BC" w:rsidP="002959BC">
      <w:pPr>
        <w:jc w:val="both"/>
        <w:rPr>
          <w:rFonts w:ascii="Simplified Arabic" w:hAnsi="Simplified Arabic" w:cs="Simplified Arabic"/>
          <w:b/>
          <w:bCs/>
          <w:sz w:val="30"/>
          <w:szCs w:val="30"/>
          <w:u w:val="single"/>
          <w:rtl/>
          <w:lang w:bidi="ar-EG"/>
        </w:rPr>
      </w:pPr>
      <w:r w:rsidRPr="007F2D91">
        <w:rPr>
          <w:rFonts w:ascii="Simplified Arabic" w:hAnsi="Simplified Arabic" w:cs="Simplified Arabic"/>
          <w:b/>
          <w:bCs/>
          <w:sz w:val="30"/>
          <w:szCs w:val="30"/>
          <w:u w:val="single"/>
          <w:rtl/>
          <w:lang w:bidi="ar-EG"/>
        </w:rPr>
        <w:t>أولاً: قياس العلاقة بين مصادر تمويل عجز الموازنة العامة والتضخم 1991 - 2019:</w:t>
      </w:r>
    </w:p>
    <w:p w14:paraId="7B8164C3" w14:textId="77777777" w:rsidR="002959BC" w:rsidRPr="007F2D91" w:rsidRDefault="002959BC" w:rsidP="002959BC">
      <w:pPr>
        <w:ind w:firstLine="454"/>
        <w:jc w:val="both"/>
        <w:rPr>
          <w:rFonts w:ascii="Simplified Arabic" w:hAnsi="Simplified Arabic" w:cs="Simplified Arabic"/>
          <w:sz w:val="28"/>
          <w:szCs w:val="28"/>
          <w:rtl/>
          <w:lang w:bidi="ar-EG"/>
        </w:rPr>
      </w:pPr>
      <w:r w:rsidRPr="007F2D91">
        <w:rPr>
          <w:rFonts w:ascii="Simplified Arabic" w:hAnsi="Simplified Arabic" w:cs="Simplified Arabic"/>
          <w:sz w:val="28"/>
          <w:szCs w:val="28"/>
          <w:rtl/>
          <w:lang w:bidi="ar-EG"/>
        </w:rPr>
        <w:t>الارتباط بمعناه الإحصائي هو اقتران التغير في ظاهرة معينة بالتغير في ظاهرة أخرى، بمعنى أنه إذا تغيرت الظاهرة (س) تتغير الظاهرة (ص)، وهذا التغير يعبر عنه بمعامل الارتباط، وفي المتغيرات الكمية فإن الارتباط من حيث طبيعته قد يكون موجباً أو سالباً ومن حيث الاتجاه قد يكون طردياً أو عكسياً</w:t>
      </w:r>
      <w:r w:rsidRPr="007F2D91">
        <w:rPr>
          <w:rFonts w:ascii="Simplified Arabic" w:hAnsi="Simplified Arabic" w:cs="Simplified Arabic"/>
          <w:sz w:val="28"/>
          <w:szCs w:val="28"/>
          <w:vertAlign w:val="superscript"/>
          <w:rtl/>
          <w:lang w:bidi="ar-EG"/>
        </w:rPr>
        <w:t>(</w:t>
      </w:r>
      <w:r w:rsidRPr="007F2D91">
        <w:rPr>
          <w:rFonts w:ascii="Simplified Arabic" w:hAnsi="Simplified Arabic" w:cs="Simplified Arabic"/>
          <w:sz w:val="28"/>
          <w:szCs w:val="28"/>
          <w:vertAlign w:val="superscript"/>
          <w:rtl/>
          <w:lang w:bidi="ar-EG"/>
        </w:rPr>
        <w:footnoteReference w:id="100"/>
      </w:r>
      <w:r w:rsidRPr="007F2D91">
        <w:rPr>
          <w:rFonts w:ascii="Simplified Arabic" w:hAnsi="Simplified Arabic" w:cs="Simplified Arabic"/>
          <w:sz w:val="28"/>
          <w:szCs w:val="28"/>
          <w:vertAlign w:val="superscript"/>
          <w:rtl/>
          <w:lang w:bidi="ar-EG"/>
        </w:rPr>
        <w:t>)</w:t>
      </w:r>
      <w:r w:rsidRPr="007F2D91">
        <w:rPr>
          <w:rFonts w:ascii="Simplified Arabic" w:hAnsi="Simplified Arabic" w:cs="Simplified Arabic"/>
          <w:sz w:val="28"/>
          <w:szCs w:val="28"/>
          <w:rtl/>
          <w:lang w:bidi="ar-EG"/>
        </w:rPr>
        <w:t xml:space="preserve">. </w:t>
      </w:r>
    </w:p>
    <w:p w14:paraId="2E0378F6" w14:textId="77777777" w:rsidR="002959BC" w:rsidRPr="007F2D91" w:rsidRDefault="002959BC" w:rsidP="002959BC">
      <w:pPr>
        <w:ind w:firstLine="454"/>
        <w:jc w:val="both"/>
        <w:rPr>
          <w:rFonts w:ascii="Simplified Arabic" w:hAnsi="Simplified Arabic" w:cs="Simplified Arabic"/>
          <w:sz w:val="28"/>
          <w:szCs w:val="28"/>
          <w:rtl/>
          <w:lang w:bidi="ar-EG"/>
        </w:rPr>
      </w:pPr>
    </w:p>
    <w:p w14:paraId="56445367" w14:textId="77777777" w:rsidR="002959BC" w:rsidRPr="007F2D91" w:rsidRDefault="002959BC" w:rsidP="002959BC">
      <w:pPr>
        <w:ind w:firstLine="454"/>
        <w:jc w:val="both"/>
        <w:rPr>
          <w:rFonts w:ascii="Simplified Arabic" w:hAnsi="Simplified Arabic" w:cs="Simplified Arabic"/>
          <w:sz w:val="28"/>
          <w:szCs w:val="28"/>
          <w:rtl/>
          <w:lang w:bidi="ar-EG"/>
        </w:rPr>
      </w:pPr>
      <w:r w:rsidRPr="007F2D91">
        <w:rPr>
          <w:rFonts w:ascii="Simplified Arabic" w:hAnsi="Simplified Arabic" w:cs="Simplified Arabic"/>
          <w:sz w:val="28"/>
          <w:szCs w:val="28"/>
          <w:rtl/>
          <w:lang w:bidi="ar-EG"/>
        </w:rPr>
        <w:t xml:space="preserve">وحيث يعتبر معامل ارتباط بيرسون من أقوى مقاييس الارتباط </w:t>
      </w:r>
      <w:r w:rsidRPr="007F2D91">
        <w:rPr>
          <w:rFonts w:ascii="Simplified Arabic" w:hAnsi="Simplified Arabic" w:cs="Simplified Arabic"/>
          <w:sz w:val="28"/>
          <w:szCs w:val="28"/>
          <w:vertAlign w:val="superscript"/>
          <w:rtl/>
          <w:lang w:bidi="ar-EG"/>
        </w:rPr>
        <w:t>(</w:t>
      </w:r>
      <w:r w:rsidRPr="007F2D91">
        <w:rPr>
          <w:rFonts w:ascii="Simplified Arabic" w:hAnsi="Simplified Arabic" w:cs="Simplified Arabic"/>
          <w:sz w:val="28"/>
          <w:szCs w:val="28"/>
          <w:vertAlign w:val="superscript"/>
          <w:rtl/>
          <w:lang w:bidi="ar-EG"/>
        </w:rPr>
        <w:footnoteReference w:id="101"/>
      </w:r>
      <w:r w:rsidRPr="007F2D91">
        <w:rPr>
          <w:rFonts w:ascii="Simplified Arabic" w:hAnsi="Simplified Arabic" w:cs="Simplified Arabic"/>
          <w:sz w:val="28"/>
          <w:szCs w:val="28"/>
          <w:vertAlign w:val="superscript"/>
          <w:rtl/>
          <w:lang w:bidi="ar-EG"/>
        </w:rPr>
        <w:t>)</w:t>
      </w:r>
      <w:r w:rsidRPr="007F2D91">
        <w:rPr>
          <w:rFonts w:ascii="Simplified Arabic" w:hAnsi="Simplified Arabic" w:cs="Simplified Arabic"/>
          <w:sz w:val="28"/>
          <w:szCs w:val="28"/>
          <w:rtl/>
          <w:lang w:bidi="ar-EG"/>
        </w:rPr>
        <w:t xml:space="preserve">، فسوف يتم إجراء اختبار وجود علاقة بين آليات تمويل عجز الموازنة العامة </w:t>
      </w:r>
      <w:r>
        <w:rPr>
          <w:rFonts w:ascii="Simplified Arabic" w:hAnsi="Simplified Arabic" w:cs="Simplified Arabic" w:hint="cs"/>
          <w:sz w:val="28"/>
          <w:szCs w:val="28"/>
          <w:rtl/>
          <w:lang w:bidi="ar-EG"/>
        </w:rPr>
        <w:t>والرقم القياسي لأسعار المستهلكين</w:t>
      </w:r>
      <w:r w:rsidRPr="007F2D91">
        <w:rPr>
          <w:rFonts w:ascii="Simplified Arabic" w:hAnsi="Simplified Arabic" w:cs="Simplified Arabic"/>
          <w:sz w:val="28"/>
          <w:szCs w:val="28"/>
          <w:rtl/>
          <w:lang w:bidi="ar-EG"/>
        </w:rPr>
        <w:t xml:space="preserve"> خلال الفترة محل الدراسة باستخدام معامل الارتباط (بيرسون)، وذلك لاستيضاح إن كان هناك علاقة إحصائية تربط بين المتغيرين موضوع الدراسة وقوة واتجاه تلك العلاقة حيث:</w:t>
      </w:r>
    </w:p>
    <w:p w14:paraId="16406EB0" w14:textId="77777777" w:rsidR="002959BC" w:rsidRPr="007F2D91" w:rsidRDefault="002959BC" w:rsidP="002959BC">
      <w:pPr>
        <w:ind w:firstLine="454"/>
        <w:jc w:val="both"/>
        <w:rPr>
          <w:rFonts w:ascii="Simplified Arabic" w:hAnsi="Simplified Arabic" w:cs="Simplified Arabic"/>
          <w:sz w:val="28"/>
          <w:szCs w:val="28"/>
          <w:rtl/>
          <w:lang w:bidi="ar-EG"/>
        </w:rPr>
      </w:pPr>
    </w:p>
    <w:p w14:paraId="40E3085D" w14:textId="77777777" w:rsidR="002959BC" w:rsidRPr="007F2D91" w:rsidRDefault="002959BC" w:rsidP="0041332D">
      <w:pPr>
        <w:pStyle w:val="ListParagraph"/>
        <w:numPr>
          <w:ilvl w:val="0"/>
          <w:numId w:val="33"/>
        </w:numPr>
        <w:spacing w:after="0" w:line="240" w:lineRule="auto"/>
        <w:ind w:left="714" w:hanging="357"/>
        <w:contextualSpacing w:val="0"/>
        <w:jc w:val="both"/>
        <w:rPr>
          <w:rFonts w:ascii="Simplified Arabic" w:hAnsi="Simplified Arabic" w:cs="Simplified Arabic"/>
          <w:sz w:val="28"/>
          <w:szCs w:val="28"/>
          <w:lang w:bidi="ar-EG"/>
        </w:rPr>
      </w:pPr>
      <w:r w:rsidRPr="007F2D91">
        <w:rPr>
          <w:rFonts w:ascii="Simplified Arabic" w:hAnsi="Simplified Arabic" w:cs="Simplified Arabic"/>
          <w:sz w:val="28"/>
          <w:szCs w:val="28"/>
          <w:rtl/>
          <w:lang w:bidi="ar-EG"/>
        </w:rPr>
        <w:t>تنحصر قيم معامل الارتباط بين +1 و -1.</w:t>
      </w:r>
    </w:p>
    <w:p w14:paraId="60C4BAFD" w14:textId="77777777" w:rsidR="002959BC" w:rsidRPr="007F2D91" w:rsidRDefault="002959BC" w:rsidP="0041332D">
      <w:pPr>
        <w:pStyle w:val="ListParagraph"/>
        <w:numPr>
          <w:ilvl w:val="0"/>
          <w:numId w:val="33"/>
        </w:numPr>
        <w:spacing w:after="0" w:line="240" w:lineRule="auto"/>
        <w:ind w:left="714" w:hanging="357"/>
        <w:contextualSpacing w:val="0"/>
        <w:jc w:val="both"/>
        <w:rPr>
          <w:rFonts w:ascii="Simplified Arabic" w:hAnsi="Simplified Arabic" w:cs="Simplified Arabic"/>
          <w:sz w:val="28"/>
          <w:szCs w:val="28"/>
          <w:lang w:bidi="ar-EG"/>
        </w:rPr>
      </w:pPr>
      <w:r w:rsidRPr="007F2D91">
        <w:rPr>
          <w:rFonts w:ascii="Simplified Arabic" w:hAnsi="Simplified Arabic" w:cs="Simplified Arabic"/>
          <w:sz w:val="28"/>
          <w:szCs w:val="28"/>
          <w:rtl/>
          <w:lang w:bidi="ar-EG"/>
        </w:rPr>
        <w:t>تشير الإشارة الموجبة والسالبة إلى اتجاه العلاقة بين المتغيرين، فإذا كان معامل الارتباط له قيمة موجه تدل على أن المتغيرين تربطهما علاقة طردية، أما إذا كان معامل الارتباط له قيمة سالبة فيدل ذلك على أن المتغيرين تربطهما علاقة عكسية.</w:t>
      </w:r>
    </w:p>
    <w:p w14:paraId="764668A1" w14:textId="77777777" w:rsidR="002959BC" w:rsidRPr="007F2D91" w:rsidRDefault="002959BC" w:rsidP="0041332D">
      <w:pPr>
        <w:pStyle w:val="ListParagraph"/>
        <w:numPr>
          <w:ilvl w:val="0"/>
          <w:numId w:val="33"/>
        </w:numPr>
        <w:spacing w:after="0" w:line="240" w:lineRule="auto"/>
        <w:ind w:left="714" w:hanging="357"/>
        <w:contextualSpacing w:val="0"/>
        <w:jc w:val="both"/>
        <w:rPr>
          <w:rFonts w:ascii="Simplified Arabic" w:hAnsi="Simplified Arabic" w:cs="Simplified Arabic"/>
          <w:sz w:val="28"/>
          <w:szCs w:val="28"/>
          <w:lang w:bidi="ar-EG"/>
        </w:rPr>
      </w:pPr>
      <w:r w:rsidRPr="007F2D91">
        <w:rPr>
          <w:rFonts w:ascii="Simplified Arabic" w:hAnsi="Simplified Arabic" w:cs="Simplified Arabic"/>
          <w:sz w:val="28"/>
          <w:szCs w:val="28"/>
          <w:rtl/>
          <w:lang w:bidi="ar-EG"/>
        </w:rPr>
        <w:t>تشير القيمة المطلقة إلى قوة العلاقة بين المتغيرين، فكلما اقتربت قيم معامل الارتباط من الواحد الصحيح فيدل على قوة العلاقة بين المتغيرين، وكلما اقتربت قيم معامل الارتباط من الصفر كلما دل ذلك على ضعف العلاقة بين المتغيرين.</w:t>
      </w:r>
    </w:p>
    <w:p w14:paraId="0628D7D6" w14:textId="77777777" w:rsidR="002959BC" w:rsidRPr="007F2D91" w:rsidRDefault="002959BC" w:rsidP="0041332D">
      <w:pPr>
        <w:pStyle w:val="ListParagraph"/>
        <w:numPr>
          <w:ilvl w:val="0"/>
          <w:numId w:val="33"/>
        </w:numPr>
        <w:spacing w:after="0" w:line="240" w:lineRule="auto"/>
        <w:ind w:left="714" w:hanging="357"/>
        <w:contextualSpacing w:val="0"/>
        <w:jc w:val="both"/>
        <w:rPr>
          <w:rFonts w:ascii="Simplified Arabic" w:hAnsi="Simplified Arabic" w:cs="Simplified Arabic"/>
          <w:sz w:val="28"/>
          <w:szCs w:val="28"/>
          <w:lang w:bidi="ar-EG"/>
        </w:rPr>
      </w:pPr>
      <w:r w:rsidRPr="007F2D91">
        <w:rPr>
          <w:rFonts w:ascii="Simplified Arabic" w:hAnsi="Simplified Arabic" w:cs="Simplified Arabic"/>
          <w:sz w:val="28"/>
          <w:szCs w:val="28"/>
          <w:rtl/>
          <w:lang w:bidi="ar-EG"/>
        </w:rPr>
        <w:t>إذا كان معامل الارتباط يساوي صفراً فإن المتغيرين يكونا مستقلين عن بعضهما، إلا أنه يجب الانتباه أن معامل الارتباط يبين قوة العلاقات الخطية بين المتغيرين فقد يكون هناك علاقة غير خطية تربط المتغيرين وبالتالي فقد يكون معامل الارتباط يساوي صفراً ولكن توجد علاقة غير خطية بين المتغيرين.</w:t>
      </w:r>
    </w:p>
    <w:p w14:paraId="67ECDD38" w14:textId="5C356CC6" w:rsidR="002959BC"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p>
    <w:p w14:paraId="04EF9B31" w14:textId="77777777" w:rsidR="002959BC" w:rsidRPr="005A2B03"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5A2B03">
        <w:rPr>
          <w:rFonts w:ascii="Simplified Arabic" w:eastAsia="Times New Roman" w:hAnsi="Simplified Arabic" w:cs="Simplified Arabic"/>
          <w:b/>
          <w:bCs/>
          <w:sz w:val="24"/>
          <w:szCs w:val="24"/>
          <w:rtl/>
        </w:rPr>
        <w:t>جدول رقم (2-1)</w:t>
      </w:r>
    </w:p>
    <w:p w14:paraId="77216537" w14:textId="77777777" w:rsidR="002959BC" w:rsidRPr="005A2B03"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5A2B03">
        <w:rPr>
          <w:rFonts w:ascii="Simplified Arabic" w:eastAsia="Times New Roman" w:hAnsi="Simplified Arabic" w:cs="Simplified Arabic"/>
          <w:b/>
          <w:bCs/>
          <w:sz w:val="24"/>
          <w:szCs w:val="24"/>
          <w:rtl/>
        </w:rPr>
        <w:t>معامل الارتباط بين إجمالي آليات تمويل عجز الموازنة العامة</w:t>
      </w:r>
    </w:p>
    <w:p w14:paraId="5734D495" w14:textId="77777777" w:rsidR="002959BC" w:rsidRPr="007F2D91"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sz w:val="28"/>
          <w:szCs w:val="28"/>
          <w:rtl/>
        </w:rPr>
      </w:pPr>
      <w:r w:rsidRPr="005A2B03">
        <w:rPr>
          <w:rFonts w:ascii="Simplified Arabic" w:eastAsia="Times New Roman" w:hAnsi="Simplified Arabic" w:cs="Simplified Arabic"/>
          <w:b/>
          <w:bCs/>
          <w:sz w:val="24"/>
          <w:szCs w:val="24"/>
          <w:rtl/>
        </w:rPr>
        <w:lastRenderedPageBreak/>
        <w:t>والرقم القياسي لأسعار المستهلكين</w:t>
      </w:r>
    </w:p>
    <w:tbl>
      <w:tblPr>
        <w:tblW w:w="846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928"/>
        <w:gridCol w:w="3268"/>
        <w:gridCol w:w="3268"/>
      </w:tblGrid>
      <w:tr w:rsidR="002959BC" w:rsidRPr="007F2D91" w14:paraId="3BF91D01" w14:textId="77777777" w:rsidTr="00270E6A">
        <w:trPr>
          <w:trHeight w:val="360"/>
          <w:jc w:val="center"/>
        </w:trPr>
        <w:tc>
          <w:tcPr>
            <w:tcW w:w="1928" w:type="dxa"/>
            <w:shd w:val="clear" w:color="auto" w:fill="auto"/>
            <w:noWrap/>
            <w:vAlign w:val="center"/>
          </w:tcPr>
          <w:p w14:paraId="20CC3DA9" w14:textId="77777777" w:rsidR="002959BC" w:rsidRPr="007F2D91" w:rsidRDefault="002959BC" w:rsidP="00270E6A">
            <w:pPr>
              <w:jc w:val="center"/>
              <w:rPr>
                <w:rFonts w:ascii="Simplified Arabic" w:hAnsi="Simplified Arabic" w:cs="Simplified Arabic"/>
                <w:sz w:val="28"/>
                <w:szCs w:val="28"/>
              </w:rPr>
            </w:pPr>
          </w:p>
        </w:tc>
        <w:tc>
          <w:tcPr>
            <w:tcW w:w="3268" w:type="dxa"/>
            <w:shd w:val="clear" w:color="auto" w:fill="auto"/>
            <w:noWrap/>
            <w:vAlign w:val="center"/>
            <w:hideMark/>
          </w:tcPr>
          <w:p w14:paraId="56663497" w14:textId="77777777" w:rsidR="002959BC" w:rsidRPr="001361F8" w:rsidRDefault="002959BC" w:rsidP="00270E6A">
            <w:pPr>
              <w:jc w:val="center"/>
              <w:rPr>
                <w:rFonts w:ascii="Simplified Arabic" w:hAnsi="Simplified Arabic" w:cs="Simplified Arabic"/>
                <w:sz w:val="26"/>
                <w:szCs w:val="26"/>
                <w:rtl/>
              </w:rPr>
            </w:pPr>
            <w:r w:rsidRPr="001361F8">
              <w:rPr>
                <w:rFonts w:ascii="Simplified Arabic" w:hAnsi="Simplified Arabic" w:cs="Simplified Arabic"/>
                <w:sz w:val="26"/>
                <w:szCs w:val="26"/>
                <w:rtl/>
              </w:rPr>
              <w:t>الرقم القياسي لأسعار المستهلكين</w:t>
            </w:r>
          </w:p>
          <w:p w14:paraId="29FC678A" w14:textId="77777777" w:rsidR="002959BC" w:rsidRPr="001361F8" w:rsidRDefault="002959BC" w:rsidP="00270E6A">
            <w:pPr>
              <w:jc w:val="center"/>
              <w:rPr>
                <w:rFonts w:ascii="Simplified Arabic" w:hAnsi="Simplified Arabic" w:cs="Simplified Arabic"/>
                <w:color w:val="000000"/>
                <w:sz w:val="26"/>
                <w:szCs w:val="26"/>
              </w:rPr>
            </w:pPr>
            <w:r w:rsidRPr="001361F8">
              <w:rPr>
                <w:rFonts w:ascii="Simplified Arabic" w:hAnsi="Simplified Arabic" w:cs="Simplified Arabic"/>
                <w:sz w:val="26"/>
                <w:szCs w:val="26"/>
              </w:rPr>
              <w:t>CPI</w:t>
            </w:r>
          </w:p>
        </w:tc>
        <w:tc>
          <w:tcPr>
            <w:tcW w:w="3268" w:type="dxa"/>
            <w:shd w:val="clear" w:color="auto" w:fill="auto"/>
            <w:noWrap/>
            <w:vAlign w:val="center"/>
            <w:hideMark/>
          </w:tcPr>
          <w:p w14:paraId="531CD513" w14:textId="77777777" w:rsidR="002959BC" w:rsidRPr="001361F8" w:rsidRDefault="002959BC" w:rsidP="00270E6A">
            <w:pPr>
              <w:jc w:val="center"/>
              <w:rPr>
                <w:rFonts w:ascii="Simplified Arabic" w:hAnsi="Simplified Arabic" w:cs="Simplified Arabic"/>
                <w:color w:val="000000"/>
                <w:sz w:val="26"/>
                <w:szCs w:val="26"/>
                <w:rtl/>
              </w:rPr>
            </w:pPr>
            <w:r w:rsidRPr="001361F8">
              <w:rPr>
                <w:rFonts w:ascii="Simplified Arabic" w:hAnsi="Simplified Arabic" w:cs="Simplified Arabic"/>
                <w:sz w:val="26"/>
                <w:szCs w:val="26"/>
                <w:rtl/>
              </w:rPr>
              <w:t>إجمالي آليات تمويل عجز الموازنة العامة للدولة</w:t>
            </w:r>
          </w:p>
          <w:p w14:paraId="14271FBC" w14:textId="77777777" w:rsidR="002959BC" w:rsidRPr="001361F8" w:rsidRDefault="002959BC" w:rsidP="00270E6A">
            <w:pPr>
              <w:jc w:val="center"/>
              <w:rPr>
                <w:rFonts w:ascii="Simplified Arabic" w:hAnsi="Simplified Arabic" w:cs="Simplified Arabic"/>
                <w:color w:val="000000"/>
                <w:sz w:val="26"/>
                <w:szCs w:val="26"/>
              </w:rPr>
            </w:pPr>
            <w:r w:rsidRPr="001361F8">
              <w:rPr>
                <w:rFonts w:ascii="Simplified Arabic" w:hAnsi="Simplified Arabic" w:cs="Simplified Arabic"/>
                <w:color w:val="000000"/>
                <w:sz w:val="26"/>
                <w:szCs w:val="26"/>
              </w:rPr>
              <w:t>TF</w:t>
            </w:r>
          </w:p>
        </w:tc>
      </w:tr>
      <w:tr w:rsidR="002959BC" w:rsidRPr="007F2D91" w14:paraId="21169503" w14:textId="77777777" w:rsidTr="00270E6A">
        <w:trPr>
          <w:trHeight w:val="510"/>
          <w:jc w:val="center"/>
        </w:trPr>
        <w:tc>
          <w:tcPr>
            <w:tcW w:w="1928" w:type="dxa"/>
            <w:shd w:val="clear" w:color="auto" w:fill="auto"/>
            <w:noWrap/>
            <w:vAlign w:val="center"/>
            <w:hideMark/>
          </w:tcPr>
          <w:p w14:paraId="5EDA818F" w14:textId="77777777" w:rsidR="002959BC" w:rsidRPr="007F2D91" w:rsidRDefault="002959BC" w:rsidP="00270E6A">
            <w:pPr>
              <w:jc w:val="center"/>
              <w:rPr>
                <w:rFonts w:ascii="Simplified Arabic" w:hAnsi="Simplified Arabic" w:cs="Simplified Arabic"/>
                <w:color w:val="000000"/>
                <w:sz w:val="28"/>
                <w:szCs w:val="28"/>
              </w:rPr>
            </w:pPr>
            <w:r w:rsidRPr="007F2D91">
              <w:rPr>
                <w:rFonts w:ascii="Simplified Arabic" w:hAnsi="Simplified Arabic" w:cs="Simplified Arabic"/>
                <w:color w:val="000000"/>
                <w:sz w:val="28"/>
                <w:szCs w:val="28"/>
              </w:rPr>
              <w:t>CPI</w:t>
            </w:r>
          </w:p>
        </w:tc>
        <w:tc>
          <w:tcPr>
            <w:tcW w:w="3268" w:type="dxa"/>
            <w:shd w:val="clear" w:color="auto" w:fill="D9D9D9" w:themeFill="background1" w:themeFillShade="D9"/>
            <w:noWrap/>
            <w:vAlign w:val="center"/>
            <w:hideMark/>
          </w:tcPr>
          <w:p w14:paraId="7FA92EC0" w14:textId="77777777" w:rsidR="002959BC" w:rsidRPr="007F2D91" w:rsidRDefault="002959BC" w:rsidP="00270E6A">
            <w:pPr>
              <w:jc w:val="center"/>
              <w:rPr>
                <w:rFonts w:ascii="Simplified Arabic" w:hAnsi="Simplified Arabic" w:cs="Simplified Arabic"/>
                <w:color w:val="000000"/>
                <w:sz w:val="28"/>
                <w:szCs w:val="28"/>
              </w:rPr>
            </w:pPr>
            <w:r w:rsidRPr="007F2D91">
              <w:rPr>
                <w:rFonts w:ascii="Simplified Arabic" w:hAnsi="Simplified Arabic" w:cs="Simplified Arabic"/>
                <w:color w:val="000000"/>
                <w:sz w:val="28"/>
                <w:szCs w:val="28"/>
              </w:rPr>
              <w:t>1.00</w:t>
            </w:r>
          </w:p>
        </w:tc>
        <w:tc>
          <w:tcPr>
            <w:tcW w:w="3268" w:type="dxa"/>
            <w:shd w:val="clear" w:color="auto" w:fill="auto"/>
            <w:noWrap/>
            <w:vAlign w:val="center"/>
            <w:hideMark/>
          </w:tcPr>
          <w:p w14:paraId="187379DB" w14:textId="77777777" w:rsidR="002959BC" w:rsidRPr="007F2D91" w:rsidRDefault="002959BC" w:rsidP="00270E6A">
            <w:pPr>
              <w:jc w:val="center"/>
              <w:rPr>
                <w:rFonts w:ascii="Simplified Arabic" w:hAnsi="Simplified Arabic" w:cs="Simplified Arabic"/>
                <w:color w:val="000000"/>
                <w:sz w:val="28"/>
                <w:szCs w:val="28"/>
              </w:rPr>
            </w:pPr>
            <w:r w:rsidRPr="007F2D91">
              <w:rPr>
                <w:rFonts w:ascii="Simplified Arabic" w:hAnsi="Simplified Arabic" w:cs="Simplified Arabic"/>
                <w:color w:val="000000"/>
                <w:sz w:val="28"/>
                <w:szCs w:val="28"/>
              </w:rPr>
              <w:t>0.97</w:t>
            </w:r>
          </w:p>
        </w:tc>
      </w:tr>
      <w:tr w:rsidR="002959BC" w:rsidRPr="007F2D91" w14:paraId="1E994BC2" w14:textId="77777777" w:rsidTr="00270E6A">
        <w:trPr>
          <w:trHeight w:val="510"/>
          <w:jc w:val="center"/>
        </w:trPr>
        <w:tc>
          <w:tcPr>
            <w:tcW w:w="1928" w:type="dxa"/>
            <w:shd w:val="clear" w:color="auto" w:fill="auto"/>
            <w:noWrap/>
            <w:vAlign w:val="center"/>
            <w:hideMark/>
          </w:tcPr>
          <w:p w14:paraId="7A5F4E61" w14:textId="77777777" w:rsidR="002959BC" w:rsidRPr="007F2D91" w:rsidRDefault="002959BC" w:rsidP="00270E6A">
            <w:pPr>
              <w:jc w:val="center"/>
              <w:rPr>
                <w:rFonts w:ascii="Simplified Arabic" w:hAnsi="Simplified Arabic" w:cs="Simplified Arabic"/>
                <w:color w:val="000000"/>
                <w:sz w:val="28"/>
                <w:szCs w:val="28"/>
              </w:rPr>
            </w:pPr>
            <w:r w:rsidRPr="007F2D91">
              <w:rPr>
                <w:rFonts w:ascii="Simplified Arabic" w:hAnsi="Simplified Arabic" w:cs="Simplified Arabic"/>
                <w:color w:val="000000"/>
                <w:sz w:val="28"/>
                <w:szCs w:val="28"/>
              </w:rPr>
              <w:t>TF</w:t>
            </w:r>
          </w:p>
        </w:tc>
        <w:tc>
          <w:tcPr>
            <w:tcW w:w="3268" w:type="dxa"/>
            <w:shd w:val="clear" w:color="auto" w:fill="auto"/>
            <w:noWrap/>
            <w:vAlign w:val="center"/>
            <w:hideMark/>
          </w:tcPr>
          <w:p w14:paraId="354EEB94" w14:textId="77777777" w:rsidR="002959BC" w:rsidRPr="007F2D91" w:rsidRDefault="002959BC" w:rsidP="00270E6A">
            <w:pPr>
              <w:jc w:val="center"/>
              <w:rPr>
                <w:rFonts w:ascii="Simplified Arabic" w:hAnsi="Simplified Arabic" w:cs="Simplified Arabic"/>
                <w:color w:val="000000"/>
                <w:sz w:val="28"/>
                <w:szCs w:val="28"/>
              </w:rPr>
            </w:pPr>
            <w:r w:rsidRPr="007F2D91">
              <w:rPr>
                <w:rFonts w:ascii="Simplified Arabic" w:hAnsi="Simplified Arabic" w:cs="Simplified Arabic"/>
                <w:color w:val="000000"/>
                <w:sz w:val="28"/>
                <w:szCs w:val="28"/>
              </w:rPr>
              <w:t>0.97</w:t>
            </w:r>
          </w:p>
        </w:tc>
        <w:tc>
          <w:tcPr>
            <w:tcW w:w="3268" w:type="dxa"/>
            <w:shd w:val="clear" w:color="auto" w:fill="D9D9D9" w:themeFill="background1" w:themeFillShade="D9"/>
            <w:noWrap/>
            <w:vAlign w:val="center"/>
            <w:hideMark/>
          </w:tcPr>
          <w:p w14:paraId="2FB06ED9" w14:textId="77777777" w:rsidR="002959BC" w:rsidRPr="007F2D91" w:rsidRDefault="002959BC" w:rsidP="00270E6A">
            <w:pPr>
              <w:jc w:val="center"/>
              <w:rPr>
                <w:rFonts w:ascii="Simplified Arabic" w:hAnsi="Simplified Arabic" w:cs="Simplified Arabic"/>
                <w:color w:val="000000"/>
                <w:sz w:val="28"/>
                <w:szCs w:val="28"/>
              </w:rPr>
            </w:pPr>
            <w:r w:rsidRPr="007F2D91">
              <w:rPr>
                <w:rFonts w:ascii="Simplified Arabic" w:hAnsi="Simplified Arabic" w:cs="Simplified Arabic"/>
                <w:color w:val="000000"/>
                <w:sz w:val="28"/>
                <w:szCs w:val="28"/>
              </w:rPr>
              <w:t>1.00</w:t>
            </w:r>
          </w:p>
        </w:tc>
      </w:tr>
    </w:tbl>
    <w:p w14:paraId="79FC0B8B" w14:textId="77777777" w:rsidR="002959BC" w:rsidRPr="007F2D91" w:rsidRDefault="002959BC" w:rsidP="002959BC">
      <w:pPr>
        <w:ind w:firstLine="28"/>
        <w:jc w:val="both"/>
        <w:rPr>
          <w:rFonts w:ascii="Simplified Arabic" w:hAnsi="Simplified Arabic" w:cs="Simplified Arabic"/>
          <w:color w:val="000000"/>
          <w:sz w:val="24"/>
          <w:szCs w:val="24"/>
          <w:rtl/>
        </w:rPr>
      </w:pPr>
      <w:r w:rsidRPr="007F2D91">
        <w:rPr>
          <w:rFonts w:ascii="Simplified Arabic" w:hAnsi="Simplified Arabic" w:cs="Simplified Arabic"/>
          <w:sz w:val="24"/>
          <w:szCs w:val="24"/>
          <w:rtl/>
        </w:rPr>
        <w:t xml:space="preserve">المصدر: من إعداد الباحث باستخدام برنامج </w:t>
      </w:r>
      <w:r w:rsidRPr="007F2D91">
        <w:rPr>
          <w:rFonts w:ascii="Simplified Arabic" w:hAnsi="Simplified Arabic" w:cs="Simplified Arabic"/>
          <w:sz w:val="24"/>
          <w:szCs w:val="24"/>
        </w:rPr>
        <w:t>EViews</w:t>
      </w:r>
      <w:r w:rsidRPr="007F2D91">
        <w:rPr>
          <w:rFonts w:ascii="Simplified Arabic" w:hAnsi="Simplified Arabic" w:cs="Simplified Arabic"/>
          <w:sz w:val="24"/>
          <w:szCs w:val="24"/>
          <w:rtl/>
          <w:lang w:bidi="ar-EG"/>
        </w:rPr>
        <w:t xml:space="preserve"> وب</w:t>
      </w:r>
      <w:r w:rsidRPr="007F2D91">
        <w:rPr>
          <w:rFonts w:ascii="Simplified Arabic" w:hAnsi="Simplified Arabic" w:cs="Simplified Arabic"/>
          <w:sz w:val="24"/>
          <w:szCs w:val="24"/>
          <w:rtl/>
        </w:rPr>
        <w:t>الاعتماد على بيانات الجداول السابقة.</w:t>
      </w:r>
    </w:p>
    <w:p w14:paraId="5553CAEE" w14:textId="77777777" w:rsidR="002959BC" w:rsidRDefault="002959BC" w:rsidP="002959BC">
      <w:pPr>
        <w:ind w:firstLine="453"/>
        <w:jc w:val="both"/>
        <w:rPr>
          <w:rFonts w:ascii="Simplified Arabic" w:hAnsi="Simplified Arabic" w:cs="Simplified Arabic"/>
          <w:sz w:val="28"/>
          <w:szCs w:val="28"/>
          <w:rtl/>
          <w:lang w:bidi="ar-EG"/>
        </w:rPr>
      </w:pPr>
      <w:r w:rsidRPr="007F2D91">
        <w:rPr>
          <w:rFonts w:ascii="Simplified Arabic" w:hAnsi="Simplified Arabic" w:cs="Simplified Arabic"/>
          <w:sz w:val="28"/>
          <w:szCs w:val="28"/>
          <w:rtl/>
          <w:lang w:bidi="ar-EG"/>
        </w:rPr>
        <w:t>ويتضح من الجدول رقم (2-1) أن معامل الارتباط بين إجمالي آليات تمويل عجز الموازنة العامة للدولة والرقم القياسي لأسعار المستهلكين بلغ 0.97 مما يؤكد أن العلاقة بينهما هي علاقة طردية قوية.</w:t>
      </w:r>
    </w:p>
    <w:p w14:paraId="0A9CFAFC" w14:textId="77777777" w:rsidR="002959BC" w:rsidRPr="005A2B03"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5A2B03">
        <w:rPr>
          <w:rFonts w:ascii="Simplified Arabic" w:eastAsia="Times New Roman" w:hAnsi="Simplified Arabic" w:cs="Simplified Arabic"/>
          <w:b/>
          <w:bCs/>
          <w:sz w:val="24"/>
          <w:szCs w:val="24"/>
          <w:rtl/>
        </w:rPr>
        <w:t>جدول رقم (2-2)</w:t>
      </w:r>
    </w:p>
    <w:p w14:paraId="435545F3" w14:textId="77777777" w:rsidR="002959BC" w:rsidRPr="005A2B03"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5A2B03">
        <w:rPr>
          <w:rFonts w:ascii="Simplified Arabic" w:eastAsia="Times New Roman" w:hAnsi="Simplified Arabic" w:cs="Simplified Arabic"/>
          <w:b/>
          <w:bCs/>
          <w:sz w:val="24"/>
          <w:szCs w:val="24"/>
          <w:rtl/>
        </w:rPr>
        <w:t>معامل الارتباط بين آليات تمويل عجز الموازنة العامة</w:t>
      </w:r>
    </w:p>
    <w:p w14:paraId="39696228" w14:textId="77777777" w:rsidR="002959BC" w:rsidRPr="007F2D91"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sz w:val="28"/>
          <w:szCs w:val="28"/>
          <w:rtl/>
        </w:rPr>
      </w:pPr>
      <w:r w:rsidRPr="005A2B03">
        <w:rPr>
          <w:rFonts w:ascii="Simplified Arabic" w:eastAsia="Times New Roman" w:hAnsi="Simplified Arabic" w:cs="Simplified Arabic"/>
          <w:b/>
          <w:bCs/>
          <w:sz w:val="24"/>
          <w:szCs w:val="24"/>
          <w:rtl/>
        </w:rPr>
        <w:t>والرقم القياسي لأسعار المستهلكين</w:t>
      </w:r>
    </w:p>
    <w:tbl>
      <w:tblPr>
        <w:tblW w:w="861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07"/>
        <w:gridCol w:w="1928"/>
        <w:gridCol w:w="1928"/>
        <w:gridCol w:w="1928"/>
        <w:gridCol w:w="1928"/>
      </w:tblGrid>
      <w:tr w:rsidR="002959BC" w:rsidRPr="007F2D91" w14:paraId="376EA9C8" w14:textId="77777777" w:rsidTr="00270E6A">
        <w:trPr>
          <w:trHeight w:val="360"/>
          <w:jc w:val="center"/>
        </w:trPr>
        <w:tc>
          <w:tcPr>
            <w:tcW w:w="907" w:type="dxa"/>
            <w:shd w:val="clear" w:color="auto" w:fill="auto"/>
            <w:noWrap/>
            <w:vAlign w:val="center"/>
          </w:tcPr>
          <w:p w14:paraId="1AE75B12" w14:textId="77777777" w:rsidR="002959BC" w:rsidRPr="001361F8" w:rsidRDefault="002959BC" w:rsidP="00270E6A">
            <w:pPr>
              <w:jc w:val="center"/>
              <w:rPr>
                <w:rFonts w:ascii="Simplified Arabic" w:hAnsi="Simplified Arabic" w:cs="Simplified Arabic"/>
                <w:sz w:val="26"/>
                <w:szCs w:val="26"/>
              </w:rPr>
            </w:pPr>
          </w:p>
        </w:tc>
        <w:tc>
          <w:tcPr>
            <w:tcW w:w="1928" w:type="dxa"/>
            <w:shd w:val="clear" w:color="auto" w:fill="auto"/>
            <w:noWrap/>
            <w:vAlign w:val="center"/>
            <w:hideMark/>
          </w:tcPr>
          <w:p w14:paraId="389D8068" w14:textId="77777777" w:rsidR="002959BC" w:rsidRPr="001361F8" w:rsidRDefault="002959BC" w:rsidP="00270E6A">
            <w:pPr>
              <w:jc w:val="center"/>
              <w:rPr>
                <w:rFonts w:ascii="Simplified Arabic" w:hAnsi="Simplified Arabic" w:cs="Simplified Arabic"/>
                <w:sz w:val="26"/>
                <w:szCs w:val="26"/>
                <w:rtl/>
              </w:rPr>
            </w:pPr>
            <w:r w:rsidRPr="001361F8">
              <w:rPr>
                <w:rFonts w:ascii="Simplified Arabic" w:hAnsi="Simplified Arabic" w:cs="Simplified Arabic"/>
                <w:sz w:val="26"/>
                <w:szCs w:val="26"/>
                <w:rtl/>
              </w:rPr>
              <w:t>الرقم القياسي</w:t>
            </w:r>
          </w:p>
          <w:p w14:paraId="0D53D879" w14:textId="77777777" w:rsidR="002959BC" w:rsidRPr="001361F8" w:rsidRDefault="002959BC" w:rsidP="00270E6A">
            <w:pPr>
              <w:jc w:val="center"/>
              <w:rPr>
                <w:rFonts w:ascii="Simplified Arabic" w:hAnsi="Simplified Arabic" w:cs="Simplified Arabic"/>
                <w:sz w:val="26"/>
                <w:szCs w:val="26"/>
                <w:rtl/>
              </w:rPr>
            </w:pPr>
            <w:r w:rsidRPr="001361F8">
              <w:rPr>
                <w:rFonts w:ascii="Simplified Arabic" w:hAnsi="Simplified Arabic" w:cs="Simplified Arabic"/>
                <w:sz w:val="26"/>
                <w:szCs w:val="26"/>
                <w:rtl/>
              </w:rPr>
              <w:t>لأسعار المستهلكين</w:t>
            </w:r>
          </w:p>
          <w:p w14:paraId="64A44065" w14:textId="77777777" w:rsidR="002959BC" w:rsidRPr="001361F8" w:rsidRDefault="002959BC" w:rsidP="00270E6A">
            <w:pPr>
              <w:jc w:val="center"/>
              <w:rPr>
                <w:rFonts w:ascii="Simplified Arabic" w:hAnsi="Simplified Arabic" w:cs="Simplified Arabic"/>
                <w:color w:val="000000"/>
                <w:sz w:val="26"/>
                <w:szCs w:val="26"/>
              </w:rPr>
            </w:pPr>
            <w:r w:rsidRPr="001361F8">
              <w:rPr>
                <w:rFonts w:ascii="Simplified Arabic" w:hAnsi="Simplified Arabic" w:cs="Simplified Arabic"/>
                <w:sz w:val="26"/>
                <w:szCs w:val="26"/>
              </w:rPr>
              <w:t>CPI</w:t>
            </w:r>
          </w:p>
        </w:tc>
        <w:tc>
          <w:tcPr>
            <w:tcW w:w="1928" w:type="dxa"/>
            <w:shd w:val="clear" w:color="auto" w:fill="auto"/>
            <w:noWrap/>
            <w:vAlign w:val="center"/>
            <w:hideMark/>
          </w:tcPr>
          <w:p w14:paraId="0C474381" w14:textId="77777777" w:rsidR="002959BC" w:rsidRPr="001361F8" w:rsidRDefault="002959BC" w:rsidP="00270E6A">
            <w:pPr>
              <w:jc w:val="center"/>
              <w:rPr>
                <w:rFonts w:ascii="Simplified Arabic" w:hAnsi="Simplified Arabic" w:cs="Simplified Arabic"/>
                <w:color w:val="000000"/>
                <w:sz w:val="26"/>
                <w:szCs w:val="26"/>
                <w:rtl/>
              </w:rPr>
            </w:pPr>
            <w:r w:rsidRPr="001361F8">
              <w:rPr>
                <w:rFonts w:ascii="Simplified Arabic" w:hAnsi="Simplified Arabic" w:cs="Simplified Arabic"/>
                <w:sz w:val="26"/>
                <w:szCs w:val="26"/>
                <w:rtl/>
              </w:rPr>
              <w:t>التمويل المحلي المصرفي لعجز الموازنة العامة</w:t>
            </w:r>
          </w:p>
          <w:p w14:paraId="24F5530E" w14:textId="77777777" w:rsidR="002959BC" w:rsidRPr="001361F8" w:rsidRDefault="002959BC" w:rsidP="00270E6A">
            <w:pPr>
              <w:jc w:val="center"/>
              <w:rPr>
                <w:rFonts w:ascii="Simplified Arabic" w:hAnsi="Simplified Arabic" w:cs="Simplified Arabic"/>
                <w:color w:val="000000"/>
                <w:sz w:val="26"/>
                <w:szCs w:val="26"/>
              </w:rPr>
            </w:pPr>
            <w:r w:rsidRPr="001361F8">
              <w:rPr>
                <w:rFonts w:ascii="Simplified Arabic" w:hAnsi="Simplified Arabic" w:cs="Simplified Arabic"/>
                <w:color w:val="000000"/>
                <w:sz w:val="26"/>
                <w:szCs w:val="26"/>
              </w:rPr>
              <w:t>DB</w:t>
            </w:r>
          </w:p>
        </w:tc>
        <w:tc>
          <w:tcPr>
            <w:tcW w:w="1928" w:type="dxa"/>
            <w:shd w:val="clear" w:color="auto" w:fill="auto"/>
            <w:noWrap/>
            <w:vAlign w:val="center"/>
            <w:hideMark/>
          </w:tcPr>
          <w:p w14:paraId="727FF37C" w14:textId="77777777" w:rsidR="002959BC" w:rsidRPr="001361F8" w:rsidRDefault="002959BC" w:rsidP="00270E6A">
            <w:pPr>
              <w:jc w:val="center"/>
              <w:rPr>
                <w:rFonts w:ascii="Simplified Arabic" w:hAnsi="Simplified Arabic" w:cs="Simplified Arabic"/>
                <w:sz w:val="26"/>
                <w:szCs w:val="26"/>
                <w:rtl/>
              </w:rPr>
            </w:pPr>
            <w:r w:rsidRPr="001361F8">
              <w:rPr>
                <w:rFonts w:ascii="Simplified Arabic" w:hAnsi="Simplified Arabic" w:cs="Simplified Arabic"/>
                <w:sz w:val="26"/>
                <w:szCs w:val="26"/>
                <w:rtl/>
              </w:rPr>
              <w:t>التمويل المحلي غير المصرفي لعجز الموازنة العامة</w:t>
            </w:r>
          </w:p>
          <w:p w14:paraId="31ACCD1D" w14:textId="77777777" w:rsidR="002959BC" w:rsidRPr="001361F8" w:rsidRDefault="002959BC" w:rsidP="00270E6A">
            <w:pPr>
              <w:jc w:val="center"/>
              <w:rPr>
                <w:rFonts w:ascii="Simplified Arabic" w:hAnsi="Simplified Arabic" w:cs="Simplified Arabic"/>
                <w:color w:val="000000"/>
                <w:sz w:val="26"/>
                <w:szCs w:val="26"/>
              </w:rPr>
            </w:pPr>
            <w:r w:rsidRPr="001361F8">
              <w:rPr>
                <w:rFonts w:ascii="Simplified Arabic" w:hAnsi="Simplified Arabic" w:cs="Simplified Arabic"/>
                <w:color w:val="000000"/>
                <w:sz w:val="26"/>
                <w:szCs w:val="26"/>
              </w:rPr>
              <w:t>DNB</w:t>
            </w:r>
          </w:p>
        </w:tc>
        <w:tc>
          <w:tcPr>
            <w:tcW w:w="1928" w:type="dxa"/>
            <w:shd w:val="clear" w:color="auto" w:fill="auto"/>
            <w:noWrap/>
            <w:vAlign w:val="center"/>
            <w:hideMark/>
          </w:tcPr>
          <w:p w14:paraId="4D45AF1F" w14:textId="77777777" w:rsidR="002959BC" w:rsidRPr="001361F8" w:rsidRDefault="002959BC" w:rsidP="00270E6A">
            <w:pPr>
              <w:jc w:val="center"/>
              <w:rPr>
                <w:rFonts w:ascii="Simplified Arabic" w:hAnsi="Simplified Arabic" w:cs="Simplified Arabic"/>
                <w:sz w:val="26"/>
                <w:szCs w:val="26"/>
                <w:rtl/>
              </w:rPr>
            </w:pPr>
            <w:r w:rsidRPr="001361F8">
              <w:rPr>
                <w:rFonts w:ascii="Simplified Arabic" w:hAnsi="Simplified Arabic" w:cs="Simplified Arabic"/>
                <w:sz w:val="26"/>
                <w:szCs w:val="26"/>
                <w:rtl/>
              </w:rPr>
              <w:t>التمويل الخارجي لعجز الموازنة العامة</w:t>
            </w:r>
          </w:p>
          <w:p w14:paraId="055C0D16" w14:textId="77777777" w:rsidR="002959BC" w:rsidRPr="001361F8" w:rsidRDefault="002959BC" w:rsidP="00270E6A">
            <w:pPr>
              <w:jc w:val="center"/>
              <w:rPr>
                <w:rFonts w:ascii="Simplified Arabic" w:hAnsi="Simplified Arabic" w:cs="Simplified Arabic"/>
                <w:color w:val="000000"/>
                <w:sz w:val="26"/>
                <w:szCs w:val="26"/>
              </w:rPr>
            </w:pPr>
            <w:r w:rsidRPr="001361F8">
              <w:rPr>
                <w:rFonts w:ascii="Simplified Arabic" w:hAnsi="Simplified Arabic" w:cs="Simplified Arabic"/>
                <w:color w:val="000000"/>
                <w:sz w:val="26"/>
                <w:szCs w:val="26"/>
              </w:rPr>
              <w:t>XF</w:t>
            </w:r>
          </w:p>
        </w:tc>
      </w:tr>
      <w:tr w:rsidR="002959BC" w:rsidRPr="007F2D91" w14:paraId="45F96DB1" w14:textId="77777777" w:rsidTr="00270E6A">
        <w:trPr>
          <w:trHeight w:val="510"/>
          <w:jc w:val="center"/>
        </w:trPr>
        <w:tc>
          <w:tcPr>
            <w:tcW w:w="907" w:type="dxa"/>
            <w:shd w:val="clear" w:color="auto" w:fill="auto"/>
            <w:noWrap/>
            <w:vAlign w:val="center"/>
            <w:hideMark/>
          </w:tcPr>
          <w:p w14:paraId="2B743E9D" w14:textId="77777777" w:rsidR="002959BC" w:rsidRPr="007F2D91" w:rsidRDefault="002959BC" w:rsidP="00270E6A">
            <w:pPr>
              <w:jc w:val="center"/>
              <w:rPr>
                <w:rFonts w:ascii="Simplified Arabic" w:hAnsi="Simplified Arabic" w:cs="Simplified Arabic"/>
                <w:color w:val="000000"/>
                <w:sz w:val="28"/>
                <w:szCs w:val="28"/>
              </w:rPr>
            </w:pPr>
            <w:r w:rsidRPr="007F2D91">
              <w:rPr>
                <w:rFonts w:ascii="Simplified Arabic" w:hAnsi="Simplified Arabic" w:cs="Simplified Arabic"/>
                <w:color w:val="000000"/>
                <w:sz w:val="28"/>
                <w:szCs w:val="28"/>
              </w:rPr>
              <w:t>CPI</w:t>
            </w:r>
          </w:p>
        </w:tc>
        <w:tc>
          <w:tcPr>
            <w:tcW w:w="1928" w:type="dxa"/>
            <w:shd w:val="clear" w:color="auto" w:fill="D9D9D9" w:themeFill="background1" w:themeFillShade="D9"/>
            <w:noWrap/>
            <w:vAlign w:val="center"/>
            <w:hideMark/>
          </w:tcPr>
          <w:p w14:paraId="2592E886" w14:textId="77777777" w:rsidR="002959BC" w:rsidRPr="007F2D91" w:rsidRDefault="002959BC" w:rsidP="00270E6A">
            <w:pPr>
              <w:jc w:val="center"/>
              <w:rPr>
                <w:rFonts w:ascii="Simplified Arabic" w:hAnsi="Simplified Arabic" w:cs="Simplified Arabic"/>
                <w:color w:val="000000"/>
                <w:sz w:val="28"/>
                <w:szCs w:val="28"/>
              </w:rPr>
            </w:pPr>
            <w:r w:rsidRPr="007F2D91">
              <w:rPr>
                <w:rFonts w:ascii="Simplified Arabic" w:hAnsi="Simplified Arabic" w:cs="Simplified Arabic"/>
                <w:color w:val="000000"/>
                <w:sz w:val="28"/>
                <w:szCs w:val="28"/>
              </w:rPr>
              <w:t>1.00</w:t>
            </w:r>
          </w:p>
        </w:tc>
        <w:tc>
          <w:tcPr>
            <w:tcW w:w="1928" w:type="dxa"/>
            <w:shd w:val="clear" w:color="auto" w:fill="auto"/>
            <w:noWrap/>
            <w:vAlign w:val="center"/>
            <w:hideMark/>
          </w:tcPr>
          <w:p w14:paraId="0FEF2E34" w14:textId="77777777" w:rsidR="002959BC" w:rsidRPr="007F2D91" w:rsidRDefault="002959BC" w:rsidP="00270E6A">
            <w:pPr>
              <w:jc w:val="center"/>
              <w:rPr>
                <w:rFonts w:ascii="Simplified Arabic" w:hAnsi="Simplified Arabic" w:cs="Simplified Arabic"/>
                <w:color w:val="000000"/>
                <w:sz w:val="28"/>
                <w:szCs w:val="28"/>
              </w:rPr>
            </w:pPr>
            <w:r w:rsidRPr="007F2D91">
              <w:rPr>
                <w:rFonts w:ascii="Simplified Arabic" w:hAnsi="Simplified Arabic" w:cs="Simplified Arabic"/>
                <w:color w:val="000000"/>
                <w:sz w:val="28"/>
                <w:szCs w:val="28"/>
              </w:rPr>
              <w:t>0.83</w:t>
            </w:r>
          </w:p>
        </w:tc>
        <w:tc>
          <w:tcPr>
            <w:tcW w:w="1928" w:type="dxa"/>
            <w:shd w:val="clear" w:color="auto" w:fill="auto"/>
            <w:noWrap/>
            <w:vAlign w:val="center"/>
            <w:hideMark/>
          </w:tcPr>
          <w:p w14:paraId="65CC4C57" w14:textId="77777777" w:rsidR="002959BC" w:rsidRPr="007F2D91" w:rsidRDefault="002959BC" w:rsidP="00270E6A">
            <w:pPr>
              <w:jc w:val="center"/>
              <w:rPr>
                <w:rFonts w:ascii="Simplified Arabic" w:hAnsi="Simplified Arabic" w:cs="Simplified Arabic"/>
                <w:color w:val="000000"/>
                <w:sz w:val="28"/>
                <w:szCs w:val="28"/>
              </w:rPr>
            </w:pPr>
            <w:r w:rsidRPr="007F2D91">
              <w:rPr>
                <w:rFonts w:ascii="Simplified Arabic" w:hAnsi="Simplified Arabic" w:cs="Simplified Arabic"/>
                <w:color w:val="000000"/>
                <w:sz w:val="28"/>
                <w:szCs w:val="28"/>
              </w:rPr>
              <w:t>0.92</w:t>
            </w:r>
          </w:p>
        </w:tc>
        <w:tc>
          <w:tcPr>
            <w:tcW w:w="1928" w:type="dxa"/>
            <w:shd w:val="clear" w:color="auto" w:fill="auto"/>
            <w:noWrap/>
            <w:vAlign w:val="center"/>
            <w:hideMark/>
          </w:tcPr>
          <w:p w14:paraId="6999A26F" w14:textId="77777777" w:rsidR="002959BC" w:rsidRPr="007F2D91" w:rsidRDefault="002959BC" w:rsidP="00270E6A">
            <w:pPr>
              <w:jc w:val="center"/>
              <w:rPr>
                <w:rFonts w:ascii="Simplified Arabic" w:hAnsi="Simplified Arabic" w:cs="Simplified Arabic"/>
                <w:color w:val="000000"/>
                <w:sz w:val="28"/>
                <w:szCs w:val="28"/>
              </w:rPr>
            </w:pPr>
            <w:r w:rsidRPr="007F2D91">
              <w:rPr>
                <w:rFonts w:ascii="Simplified Arabic" w:hAnsi="Simplified Arabic" w:cs="Simplified Arabic"/>
                <w:color w:val="000000"/>
                <w:sz w:val="28"/>
                <w:szCs w:val="28"/>
              </w:rPr>
              <w:t>0.81</w:t>
            </w:r>
          </w:p>
        </w:tc>
      </w:tr>
      <w:tr w:rsidR="002959BC" w:rsidRPr="007F2D91" w14:paraId="4A7442D9" w14:textId="77777777" w:rsidTr="00270E6A">
        <w:trPr>
          <w:trHeight w:val="510"/>
          <w:jc w:val="center"/>
        </w:trPr>
        <w:tc>
          <w:tcPr>
            <w:tcW w:w="907" w:type="dxa"/>
            <w:shd w:val="clear" w:color="auto" w:fill="auto"/>
            <w:noWrap/>
            <w:vAlign w:val="center"/>
            <w:hideMark/>
          </w:tcPr>
          <w:p w14:paraId="0CF1F253" w14:textId="77777777" w:rsidR="002959BC" w:rsidRPr="007F2D91" w:rsidRDefault="002959BC" w:rsidP="00270E6A">
            <w:pPr>
              <w:jc w:val="center"/>
              <w:rPr>
                <w:rFonts w:ascii="Simplified Arabic" w:hAnsi="Simplified Arabic" w:cs="Simplified Arabic"/>
                <w:color w:val="000000"/>
                <w:sz w:val="28"/>
                <w:szCs w:val="28"/>
              </w:rPr>
            </w:pPr>
            <w:r w:rsidRPr="007F2D91">
              <w:rPr>
                <w:rFonts w:ascii="Simplified Arabic" w:hAnsi="Simplified Arabic" w:cs="Simplified Arabic"/>
                <w:color w:val="000000"/>
                <w:sz w:val="28"/>
                <w:szCs w:val="28"/>
              </w:rPr>
              <w:t>DB</w:t>
            </w:r>
          </w:p>
        </w:tc>
        <w:tc>
          <w:tcPr>
            <w:tcW w:w="1928" w:type="dxa"/>
            <w:shd w:val="clear" w:color="auto" w:fill="auto"/>
            <w:noWrap/>
            <w:vAlign w:val="center"/>
            <w:hideMark/>
          </w:tcPr>
          <w:p w14:paraId="38EA1785" w14:textId="77777777" w:rsidR="002959BC" w:rsidRPr="007F2D91" w:rsidRDefault="002959BC" w:rsidP="00270E6A">
            <w:pPr>
              <w:jc w:val="center"/>
              <w:rPr>
                <w:rFonts w:ascii="Simplified Arabic" w:hAnsi="Simplified Arabic" w:cs="Simplified Arabic"/>
                <w:color w:val="000000"/>
                <w:sz w:val="28"/>
                <w:szCs w:val="28"/>
              </w:rPr>
            </w:pPr>
            <w:r w:rsidRPr="007F2D91">
              <w:rPr>
                <w:rFonts w:ascii="Simplified Arabic" w:hAnsi="Simplified Arabic" w:cs="Simplified Arabic"/>
                <w:color w:val="000000"/>
                <w:sz w:val="28"/>
                <w:szCs w:val="28"/>
              </w:rPr>
              <w:t>0.83</w:t>
            </w:r>
          </w:p>
        </w:tc>
        <w:tc>
          <w:tcPr>
            <w:tcW w:w="1928" w:type="dxa"/>
            <w:shd w:val="clear" w:color="auto" w:fill="D9D9D9" w:themeFill="background1" w:themeFillShade="D9"/>
            <w:noWrap/>
            <w:vAlign w:val="center"/>
            <w:hideMark/>
          </w:tcPr>
          <w:p w14:paraId="07951A18" w14:textId="77777777" w:rsidR="002959BC" w:rsidRPr="007F2D91" w:rsidRDefault="002959BC" w:rsidP="00270E6A">
            <w:pPr>
              <w:jc w:val="center"/>
              <w:rPr>
                <w:rFonts w:ascii="Simplified Arabic" w:hAnsi="Simplified Arabic" w:cs="Simplified Arabic"/>
                <w:color w:val="000000"/>
                <w:sz w:val="28"/>
                <w:szCs w:val="28"/>
              </w:rPr>
            </w:pPr>
            <w:r w:rsidRPr="007F2D91">
              <w:rPr>
                <w:rFonts w:ascii="Simplified Arabic" w:hAnsi="Simplified Arabic" w:cs="Simplified Arabic"/>
                <w:color w:val="000000"/>
                <w:sz w:val="28"/>
                <w:szCs w:val="28"/>
              </w:rPr>
              <w:t>1.00</w:t>
            </w:r>
          </w:p>
        </w:tc>
        <w:tc>
          <w:tcPr>
            <w:tcW w:w="1928" w:type="dxa"/>
            <w:shd w:val="clear" w:color="auto" w:fill="auto"/>
            <w:noWrap/>
            <w:vAlign w:val="center"/>
            <w:hideMark/>
          </w:tcPr>
          <w:p w14:paraId="7E16B6D9" w14:textId="77777777" w:rsidR="002959BC" w:rsidRPr="007F2D91" w:rsidRDefault="002959BC" w:rsidP="00270E6A">
            <w:pPr>
              <w:jc w:val="center"/>
              <w:rPr>
                <w:rFonts w:ascii="Simplified Arabic" w:hAnsi="Simplified Arabic" w:cs="Simplified Arabic"/>
                <w:color w:val="000000"/>
                <w:sz w:val="28"/>
                <w:szCs w:val="28"/>
              </w:rPr>
            </w:pPr>
            <w:r w:rsidRPr="007F2D91">
              <w:rPr>
                <w:rFonts w:ascii="Simplified Arabic" w:hAnsi="Simplified Arabic" w:cs="Simplified Arabic"/>
                <w:color w:val="000000"/>
                <w:sz w:val="28"/>
                <w:szCs w:val="28"/>
              </w:rPr>
              <w:t>0.62</w:t>
            </w:r>
          </w:p>
        </w:tc>
        <w:tc>
          <w:tcPr>
            <w:tcW w:w="1928" w:type="dxa"/>
            <w:shd w:val="clear" w:color="auto" w:fill="auto"/>
            <w:noWrap/>
            <w:vAlign w:val="center"/>
            <w:hideMark/>
          </w:tcPr>
          <w:p w14:paraId="4871A282" w14:textId="77777777" w:rsidR="002959BC" w:rsidRPr="007F2D91" w:rsidRDefault="002959BC" w:rsidP="00270E6A">
            <w:pPr>
              <w:jc w:val="center"/>
              <w:rPr>
                <w:rFonts w:ascii="Simplified Arabic" w:hAnsi="Simplified Arabic" w:cs="Simplified Arabic"/>
                <w:color w:val="000000"/>
                <w:sz w:val="28"/>
                <w:szCs w:val="28"/>
              </w:rPr>
            </w:pPr>
            <w:r w:rsidRPr="007F2D91">
              <w:rPr>
                <w:rFonts w:ascii="Simplified Arabic" w:hAnsi="Simplified Arabic" w:cs="Simplified Arabic"/>
                <w:color w:val="000000"/>
                <w:sz w:val="28"/>
                <w:szCs w:val="28"/>
              </w:rPr>
              <w:t>0.48</w:t>
            </w:r>
          </w:p>
        </w:tc>
      </w:tr>
      <w:tr w:rsidR="002959BC" w:rsidRPr="007F2D91" w14:paraId="44A499AF" w14:textId="77777777" w:rsidTr="00270E6A">
        <w:trPr>
          <w:trHeight w:val="510"/>
          <w:jc w:val="center"/>
        </w:trPr>
        <w:tc>
          <w:tcPr>
            <w:tcW w:w="907" w:type="dxa"/>
            <w:shd w:val="clear" w:color="auto" w:fill="auto"/>
            <w:noWrap/>
            <w:vAlign w:val="center"/>
            <w:hideMark/>
          </w:tcPr>
          <w:p w14:paraId="69354EB4" w14:textId="77777777" w:rsidR="002959BC" w:rsidRPr="007F2D91" w:rsidRDefault="002959BC" w:rsidP="00270E6A">
            <w:pPr>
              <w:jc w:val="center"/>
              <w:rPr>
                <w:rFonts w:ascii="Simplified Arabic" w:hAnsi="Simplified Arabic" w:cs="Simplified Arabic"/>
                <w:color w:val="000000"/>
                <w:sz w:val="28"/>
                <w:szCs w:val="28"/>
              </w:rPr>
            </w:pPr>
            <w:r w:rsidRPr="007F2D91">
              <w:rPr>
                <w:rFonts w:ascii="Simplified Arabic" w:hAnsi="Simplified Arabic" w:cs="Simplified Arabic"/>
                <w:color w:val="000000"/>
                <w:sz w:val="28"/>
                <w:szCs w:val="28"/>
              </w:rPr>
              <w:t>DNB</w:t>
            </w:r>
          </w:p>
        </w:tc>
        <w:tc>
          <w:tcPr>
            <w:tcW w:w="1928" w:type="dxa"/>
            <w:shd w:val="clear" w:color="auto" w:fill="auto"/>
            <w:noWrap/>
            <w:vAlign w:val="center"/>
            <w:hideMark/>
          </w:tcPr>
          <w:p w14:paraId="3D19415B" w14:textId="77777777" w:rsidR="002959BC" w:rsidRPr="007F2D91" w:rsidRDefault="002959BC" w:rsidP="00270E6A">
            <w:pPr>
              <w:jc w:val="center"/>
              <w:rPr>
                <w:rFonts w:ascii="Simplified Arabic" w:hAnsi="Simplified Arabic" w:cs="Simplified Arabic"/>
                <w:color w:val="000000"/>
                <w:sz w:val="28"/>
                <w:szCs w:val="28"/>
              </w:rPr>
            </w:pPr>
            <w:r w:rsidRPr="007F2D91">
              <w:rPr>
                <w:rFonts w:ascii="Simplified Arabic" w:hAnsi="Simplified Arabic" w:cs="Simplified Arabic"/>
                <w:color w:val="000000"/>
                <w:sz w:val="28"/>
                <w:szCs w:val="28"/>
              </w:rPr>
              <w:t>0.92</w:t>
            </w:r>
          </w:p>
        </w:tc>
        <w:tc>
          <w:tcPr>
            <w:tcW w:w="1928" w:type="dxa"/>
            <w:shd w:val="clear" w:color="auto" w:fill="auto"/>
            <w:noWrap/>
            <w:vAlign w:val="center"/>
            <w:hideMark/>
          </w:tcPr>
          <w:p w14:paraId="0CED2477" w14:textId="77777777" w:rsidR="002959BC" w:rsidRPr="007F2D91" w:rsidRDefault="002959BC" w:rsidP="00270E6A">
            <w:pPr>
              <w:jc w:val="center"/>
              <w:rPr>
                <w:rFonts w:ascii="Simplified Arabic" w:hAnsi="Simplified Arabic" w:cs="Simplified Arabic"/>
                <w:color w:val="000000"/>
                <w:sz w:val="28"/>
                <w:szCs w:val="28"/>
              </w:rPr>
            </w:pPr>
            <w:r w:rsidRPr="007F2D91">
              <w:rPr>
                <w:rFonts w:ascii="Simplified Arabic" w:hAnsi="Simplified Arabic" w:cs="Simplified Arabic"/>
                <w:color w:val="000000"/>
                <w:sz w:val="28"/>
                <w:szCs w:val="28"/>
              </w:rPr>
              <w:t>0.62</w:t>
            </w:r>
          </w:p>
        </w:tc>
        <w:tc>
          <w:tcPr>
            <w:tcW w:w="1928" w:type="dxa"/>
            <w:shd w:val="clear" w:color="auto" w:fill="D9D9D9" w:themeFill="background1" w:themeFillShade="D9"/>
            <w:noWrap/>
            <w:vAlign w:val="center"/>
            <w:hideMark/>
          </w:tcPr>
          <w:p w14:paraId="009CABFF" w14:textId="77777777" w:rsidR="002959BC" w:rsidRPr="007F2D91" w:rsidRDefault="002959BC" w:rsidP="00270E6A">
            <w:pPr>
              <w:jc w:val="center"/>
              <w:rPr>
                <w:rFonts w:ascii="Simplified Arabic" w:hAnsi="Simplified Arabic" w:cs="Simplified Arabic"/>
                <w:color w:val="000000"/>
                <w:sz w:val="28"/>
                <w:szCs w:val="28"/>
              </w:rPr>
            </w:pPr>
            <w:r w:rsidRPr="007F2D91">
              <w:rPr>
                <w:rFonts w:ascii="Simplified Arabic" w:hAnsi="Simplified Arabic" w:cs="Simplified Arabic"/>
                <w:color w:val="000000"/>
                <w:sz w:val="28"/>
                <w:szCs w:val="28"/>
              </w:rPr>
              <w:t>1.00</w:t>
            </w:r>
          </w:p>
        </w:tc>
        <w:tc>
          <w:tcPr>
            <w:tcW w:w="1928" w:type="dxa"/>
            <w:shd w:val="clear" w:color="auto" w:fill="auto"/>
            <w:noWrap/>
            <w:vAlign w:val="center"/>
            <w:hideMark/>
          </w:tcPr>
          <w:p w14:paraId="157F030C" w14:textId="77777777" w:rsidR="002959BC" w:rsidRPr="007F2D91" w:rsidRDefault="002959BC" w:rsidP="00270E6A">
            <w:pPr>
              <w:jc w:val="center"/>
              <w:rPr>
                <w:rFonts w:ascii="Simplified Arabic" w:hAnsi="Simplified Arabic" w:cs="Simplified Arabic"/>
                <w:color w:val="000000"/>
                <w:sz w:val="28"/>
                <w:szCs w:val="28"/>
              </w:rPr>
            </w:pPr>
            <w:r w:rsidRPr="007F2D91">
              <w:rPr>
                <w:rFonts w:ascii="Simplified Arabic" w:hAnsi="Simplified Arabic" w:cs="Simplified Arabic"/>
                <w:color w:val="000000"/>
                <w:sz w:val="28"/>
                <w:szCs w:val="28"/>
              </w:rPr>
              <w:t>0.92</w:t>
            </w:r>
          </w:p>
        </w:tc>
      </w:tr>
      <w:tr w:rsidR="002959BC" w:rsidRPr="007F2D91" w14:paraId="314F7BE0" w14:textId="77777777" w:rsidTr="00270E6A">
        <w:trPr>
          <w:trHeight w:val="510"/>
          <w:jc w:val="center"/>
        </w:trPr>
        <w:tc>
          <w:tcPr>
            <w:tcW w:w="907" w:type="dxa"/>
            <w:shd w:val="clear" w:color="auto" w:fill="auto"/>
            <w:noWrap/>
            <w:vAlign w:val="center"/>
            <w:hideMark/>
          </w:tcPr>
          <w:p w14:paraId="79A8A7FF" w14:textId="77777777" w:rsidR="002959BC" w:rsidRPr="007F2D91" w:rsidRDefault="002959BC" w:rsidP="00270E6A">
            <w:pPr>
              <w:jc w:val="center"/>
              <w:rPr>
                <w:rFonts w:ascii="Simplified Arabic" w:hAnsi="Simplified Arabic" w:cs="Simplified Arabic"/>
                <w:color w:val="000000"/>
                <w:sz w:val="28"/>
                <w:szCs w:val="28"/>
              </w:rPr>
            </w:pPr>
            <w:r w:rsidRPr="007F2D91">
              <w:rPr>
                <w:rFonts w:ascii="Simplified Arabic" w:hAnsi="Simplified Arabic" w:cs="Simplified Arabic"/>
                <w:color w:val="000000"/>
                <w:sz w:val="28"/>
                <w:szCs w:val="28"/>
              </w:rPr>
              <w:t>XF</w:t>
            </w:r>
          </w:p>
        </w:tc>
        <w:tc>
          <w:tcPr>
            <w:tcW w:w="1928" w:type="dxa"/>
            <w:shd w:val="clear" w:color="auto" w:fill="auto"/>
            <w:noWrap/>
            <w:vAlign w:val="center"/>
            <w:hideMark/>
          </w:tcPr>
          <w:p w14:paraId="5641ECDA" w14:textId="77777777" w:rsidR="002959BC" w:rsidRPr="007F2D91" w:rsidRDefault="002959BC" w:rsidP="00270E6A">
            <w:pPr>
              <w:jc w:val="center"/>
              <w:rPr>
                <w:rFonts w:ascii="Simplified Arabic" w:hAnsi="Simplified Arabic" w:cs="Simplified Arabic"/>
                <w:color w:val="000000"/>
                <w:sz w:val="28"/>
                <w:szCs w:val="28"/>
              </w:rPr>
            </w:pPr>
            <w:r w:rsidRPr="007F2D91">
              <w:rPr>
                <w:rFonts w:ascii="Simplified Arabic" w:hAnsi="Simplified Arabic" w:cs="Simplified Arabic"/>
                <w:color w:val="000000"/>
                <w:sz w:val="28"/>
                <w:szCs w:val="28"/>
              </w:rPr>
              <w:t>0.81</w:t>
            </w:r>
          </w:p>
        </w:tc>
        <w:tc>
          <w:tcPr>
            <w:tcW w:w="1928" w:type="dxa"/>
            <w:shd w:val="clear" w:color="auto" w:fill="auto"/>
            <w:noWrap/>
            <w:vAlign w:val="center"/>
            <w:hideMark/>
          </w:tcPr>
          <w:p w14:paraId="3A2853EB" w14:textId="77777777" w:rsidR="002959BC" w:rsidRPr="007F2D91" w:rsidRDefault="002959BC" w:rsidP="00270E6A">
            <w:pPr>
              <w:jc w:val="center"/>
              <w:rPr>
                <w:rFonts w:ascii="Simplified Arabic" w:hAnsi="Simplified Arabic" w:cs="Simplified Arabic"/>
                <w:color w:val="000000"/>
                <w:sz w:val="28"/>
                <w:szCs w:val="28"/>
              </w:rPr>
            </w:pPr>
            <w:r w:rsidRPr="007F2D91">
              <w:rPr>
                <w:rFonts w:ascii="Simplified Arabic" w:hAnsi="Simplified Arabic" w:cs="Simplified Arabic"/>
                <w:color w:val="000000"/>
                <w:sz w:val="28"/>
                <w:szCs w:val="28"/>
              </w:rPr>
              <w:t>0.48</w:t>
            </w:r>
          </w:p>
        </w:tc>
        <w:tc>
          <w:tcPr>
            <w:tcW w:w="1928" w:type="dxa"/>
            <w:shd w:val="clear" w:color="auto" w:fill="auto"/>
            <w:noWrap/>
            <w:vAlign w:val="center"/>
            <w:hideMark/>
          </w:tcPr>
          <w:p w14:paraId="3828275A" w14:textId="77777777" w:rsidR="002959BC" w:rsidRPr="007F2D91" w:rsidRDefault="002959BC" w:rsidP="00270E6A">
            <w:pPr>
              <w:jc w:val="center"/>
              <w:rPr>
                <w:rFonts w:ascii="Simplified Arabic" w:hAnsi="Simplified Arabic" w:cs="Simplified Arabic"/>
                <w:color w:val="000000"/>
                <w:sz w:val="28"/>
                <w:szCs w:val="28"/>
              </w:rPr>
            </w:pPr>
            <w:r w:rsidRPr="007F2D91">
              <w:rPr>
                <w:rFonts w:ascii="Simplified Arabic" w:hAnsi="Simplified Arabic" w:cs="Simplified Arabic"/>
                <w:color w:val="000000"/>
                <w:sz w:val="28"/>
                <w:szCs w:val="28"/>
              </w:rPr>
              <w:t>0.92</w:t>
            </w:r>
          </w:p>
        </w:tc>
        <w:tc>
          <w:tcPr>
            <w:tcW w:w="1928" w:type="dxa"/>
            <w:shd w:val="clear" w:color="auto" w:fill="D9D9D9" w:themeFill="background1" w:themeFillShade="D9"/>
            <w:noWrap/>
            <w:vAlign w:val="center"/>
            <w:hideMark/>
          </w:tcPr>
          <w:p w14:paraId="777A7E62" w14:textId="77777777" w:rsidR="002959BC" w:rsidRPr="007F2D91" w:rsidRDefault="002959BC" w:rsidP="00270E6A">
            <w:pPr>
              <w:jc w:val="center"/>
              <w:rPr>
                <w:rFonts w:ascii="Simplified Arabic" w:hAnsi="Simplified Arabic" w:cs="Simplified Arabic"/>
                <w:color w:val="000000"/>
                <w:sz w:val="28"/>
                <w:szCs w:val="28"/>
              </w:rPr>
            </w:pPr>
            <w:r w:rsidRPr="007F2D91">
              <w:rPr>
                <w:rFonts w:ascii="Simplified Arabic" w:hAnsi="Simplified Arabic" w:cs="Simplified Arabic"/>
                <w:color w:val="000000"/>
                <w:sz w:val="28"/>
                <w:szCs w:val="28"/>
              </w:rPr>
              <w:t>1.00</w:t>
            </w:r>
          </w:p>
        </w:tc>
      </w:tr>
    </w:tbl>
    <w:p w14:paraId="51500708" w14:textId="77777777" w:rsidR="002959BC" w:rsidRPr="007F2D91" w:rsidRDefault="002959BC" w:rsidP="002959BC">
      <w:pPr>
        <w:ind w:firstLine="28"/>
        <w:jc w:val="both"/>
        <w:rPr>
          <w:rFonts w:ascii="Simplified Arabic" w:hAnsi="Simplified Arabic" w:cs="Simplified Arabic"/>
          <w:color w:val="000000"/>
          <w:sz w:val="26"/>
          <w:szCs w:val="26"/>
          <w:rtl/>
        </w:rPr>
      </w:pPr>
      <w:r w:rsidRPr="007F2D91">
        <w:rPr>
          <w:rFonts w:ascii="Simplified Arabic" w:hAnsi="Simplified Arabic" w:cs="Simplified Arabic"/>
          <w:sz w:val="26"/>
          <w:szCs w:val="26"/>
          <w:rtl/>
        </w:rPr>
        <w:t xml:space="preserve">المصدر: من إعداد الباحث باستخدام برنامج </w:t>
      </w:r>
      <w:r w:rsidRPr="007F2D91">
        <w:rPr>
          <w:rFonts w:ascii="Simplified Arabic" w:hAnsi="Simplified Arabic" w:cs="Simplified Arabic"/>
          <w:sz w:val="26"/>
          <w:szCs w:val="26"/>
        </w:rPr>
        <w:t>EViews</w:t>
      </w:r>
      <w:r w:rsidRPr="007F2D91">
        <w:rPr>
          <w:rFonts w:ascii="Simplified Arabic" w:hAnsi="Simplified Arabic" w:cs="Simplified Arabic"/>
          <w:sz w:val="26"/>
          <w:szCs w:val="26"/>
          <w:rtl/>
          <w:lang w:bidi="ar-EG"/>
        </w:rPr>
        <w:t xml:space="preserve"> وب</w:t>
      </w:r>
      <w:r w:rsidRPr="007F2D91">
        <w:rPr>
          <w:rFonts w:ascii="Simplified Arabic" w:hAnsi="Simplified Arabic" w:cs="Simplified Arabic"/>
          <w:sz w:val="26"/>
          <w:szCs w:val="26"/>
          <w:rtl/>
        </w:rPr>
        <w:t>الاعتماد على بيانات الجداول السابقة.</w:t>
      </w:r>
    </w:p>
    <w:p w14:paraId="062AA2C3" w14:textId="77777777" w:rsidR="002959BC" w:rsidRPr="007F2D91" w:rsidRDefault="002959BC" w:rsidP="002959BC">
      <w:pPr>
        <w:ind w:firstLine="454"/>
        <w:jc w:val="both"/>
        <w:rPr>
          <w:rFonts w:ascii="Simplified Arabic" w:hAnsi="Simplified Arabic" w:cs="Simplified Arabic"/>
          <w:sz w:val="28"/>
          <w:szCs w:val="28"/>
          <w:rtl/>
          <w:lang w:bidi="ar-EG"/>
        </w:rPr>
      </w:pPr>
      <w:r w:rsidRPr="007F2D91">
        <w:rPr>
          <w:rFonts w:ascii="Simplified Arabic" w:hAnsi="Simplified Arabic" w:cs="Simplified Arabic"/>
          <w:sz w:val="28"/>
          <w:szCs w:val="28"/>
          <w:rtl/>
          <w:lang w:bidi="ar-EG"/>
        </w:rPr>
        <w:t>كما يتضح من الجدول رقم (2-2) أن معامل الارتباط بين التمويل المحلي المصرفي والرقم القياسي لأسعار المستهلكين يبلغ 0.83 ويدل ذلك على أن العلاقة بينهما هي علاقة طردية قوية، أما معامل الارتباط بين التمويل المحلي غير المصرفي والرقم القياسي لأسعار المستهلكين بلغ 0.92 وهو ما يعني أن العلاقة بينهما هي علاقة طردية قوية، وكذا بلغ معامل الارتباط بين التمويل الخارجي والرقم القياسي لأسعار المستهلكين 0.81 مما يعني أن العلاقة بينهما هي علاقة طردية قوية، ويدل ذلك على أن هناك ارتباط طردي قوي بين الرقم القياسي لأسعار المستهلكين من جهة وبين الآليات المالية لتمويل عجز الموازنة العامة للدولة من جهة أخرى، وذلك خلال الفترة من العام المالي 1991/1992 وحتى العام المالي 2018/2019.</w:t>
      </w:r>
    </w:p>
    <w:p w14:paraId="318D45DE" w14:textId="1E9C4FD4" w:rsidR="002959BC" w:rsidRDefault="002959BC">
      <w:pPr>
        <w:bidi w:val="0"/>
        <w:spacing w:after="160" w:line="259" w:lineRule="auto"/>
        <w:rPr>
          <w:rtl/>
          <w:lang w:bidi="ar-EG"/>
        </w:rPr>
      </w:pPr>
      <w:r>
        <w:rPr>
          <w:rtl/>
          <w:lang w:bidi="ar-EG"/>
        </w:rPr>
        <w:br w:type="page"/>
      </w:r>
    </w:p>
    <w:p w14:paraId="2BEA3F67" w14:textId="77777777" w:rsidR="002959BC" w:rsidRPr="00D9513C" w:rsidRDefault="002959BC" w:rsidP="002959BC">
      <w:pPr>
        <w:shd w:val="clear" w:color="auto" w:fill="C5E0B3" w:themeFill="accent6" w:themeFillTint="66"/>
        <w:ind w:firstLine="28"/>
        <w:jc w:val="center"/>
        <w:rPr>
          <w:rFonts w:ascii="Simplified Arabic" w:hAnsi="Simplified Arabic" w:cs="Simplified Arabic"/>
          <w:b/>
          <w:bCs/>
          <w:sz w:val="32"/>
          <w:szCs w:val="32"/>
          <w:rtl/>
          <w:lang w:bidi="ar-EG"/>
        </w:rPr>
      </w:pPr>
      <w:r w:rsidRPr="00D9513C">
        <w:rPr>
          <w:rFonts w:ascii="Simplified Arabic" w:hAnsi="Simplified Arabic" w:cs="Simplified Arabic"/>
          <w:b/>
          <w:bCs/>
          <w:sz w:val="32"/>
          <w:szCs w:val="32"/>
          <w:rtl/>
          <w:lang w:bidi="ar-EG"/>
        </w:rPr>
        <w:lastRenderedPageBreak/>
        <w:t>المبحث الثاني: ثانياً:</w:t>
      </w:r>
    </w:p>
    <w:p w14:paraId="548F0F8F" w14:textId="77777777" w:rsidR="002959BC" w:rsidRPr="00D9513C" w:rsidRDefault="002959BC" w:rsidP="002959BC">
      <w:pPr>
        <w:shd w:val="clear" w:color="auto" w:fill="C5E0B3" w:themeFill="accent6" w:themeFillTint="66"/>
        <w:ind w:firstLine="28"/>
        <w:jc w:val="center"/>
        <w:rPr>
          <w:rFonts w:ascii="Simplified Arabic" w:hAnsi="Simplified Arabic" w:cs="Simplified Arabic"/>
          <w:b/>
          <w:bCs/>
          <w:sz w:val="30"/>
          <w:szCs w:val="30"/>
          <w:rtl/>
          <w:lang w:bidi="ar-EG"/>
        </w:rPr>
      </w:pPr>
      <w:r w:rsidRPr="00D9513C">
        <w:rPr>
          <w:rFonts w:ascii="Simplified Arabic" w:hAnsi="Simplified Arabic" w:cs="Simplified Arabic"/>
          <w:b/>
          <w:bCs/>
          <w:sz w:val="30"/>
          <w:szCs w:val="30"/>
          <w:rtl/>
          <w:lang w:bidi="ar-EG"/>
        </w:rPr>
        <w:t>نظرة عامة على العلاقة بين مصادر تمويل عجز الموازنة العامة والتضخم 1991-2019</w:t>
      </w:r>
    </w:p>
    <w:p w14:paraId="0F54C32F" w14:textId="77777777" w:rsidR="002959BC" w:rsidRDefault="002959BC" w:rsidP="002959BC">
      <w:pPr>
        <w:ind w:left="453" w:hanging="283"/>
        <w:jc w:val="both"/>
        <w:rPr>
          <w:rFonts w:ascii="Simplified Arabic" w:hAnsi="Simplified Arabic" w:cs="Simplified Arabic"/>
          <w:b/>
          <w:bCs/>
          <w:sz w:val="30"/>
          <w:szCs w:val="30"/>
          <w:u w:val="single"/>
          <w:rtl/>
          <w:lang w:bidi="ar-EG"/>
        </w:rPr>
      </w:pPr>
    </w:p>
    <w:p w14:paraId="41D09A92" w14:textId="77777777" w:rsidR="002959BC" w:rsidRPr="00D9513C" w:rsidRDefault="002959BC" w:rsidP="002959BC">
      <w:pPr>
        <w:ind w:left="453" w:hanging="283"/>
        <w:jc w:val="both"/>
        <w:rPr>
          <w:rFonts w:ascii="Simplified Arabic" w:hAnsi="Simplified Arabic" w:cs="Simplified Arabic"/>
          <w:b/>
          <w:bCs/>
          <w:sz w:val="30"/>
          <w:szCs w:val="30"/>
          <w:u w:val="single"/>
          <w:rtl/>
          <w:lang w:bidi="ar-EG"/>
        </w:rPr>
      </w:pPr>
      <w:r w:rsidRPr="00D9513C">
        <w:rPr>
          <w:rFonts w:ascii="Simplified Arabic" w:hAnsi="Simplified Arabic" w:cs="Simplified Arabic"/>
          <w:b/>
          <w:bCs/>
          <w:sz w:val="30"/>
          <w:szCs w:val="30"/>
          <w:u w:val="single"/>
          <w:rtl/>
          <w:lang w:bidi="ar-EG"/>
        </w:rPr>
        <w:t xml:space="preserve">نظرة عامة على العلاقة بين مصادر تمويل عجز الموازنة العامة والتضخم 1991 - 2019: </w:t>
      </w:r>
    </w:p>
    <w:p w14:paraId="7AC6AB3A" w14:textId="77777777" w:rsidR="002959BC" w:rsidRPr="003B5BAA" w:rsidRDefault="002959BC" w:rsidP="002959BC">
      <w:pPr>
        <w:ind w:firstLine="453"/>
        <w:jc w:val="both"/>
        <w:rPr>
          <w:rFonts w:ascii="Simplified Arabic" w:hAnsi="Simplified Arabic" w:cs="Simplified Arabic"/>
          <w:sz w:val="28"/>
          <w:szCs w:val="28"/>
          <w:rtl/>
          <w:lang w:bidi="ar-EG"/>
        </w:rPr>
      </w:pPr>
      <w:r w:rsidRPr="003B5BAA">
        <w:rPr>
          <w:rFonts w:ascii="Simplified Arabic" w:hAnsi="Simplified Arabic" w:cs="Simplified Arabic"/>
          <w:sz w:val="28"/>
          <w:szCs w:val="28"/>
          <w:rtl/>
          <w:lang w:bidi="ar-EG"/>
        </w:rPr>
        <w:t>وإجمالاً فإنه خلال فترة التحليل – من العام المالي 1991/1992 إلى العام المالي 2018/2019 – بلغ المتوسط السنوي للنفقات العامة 30% نسبة إلى الناتج المحلي الإجمالي بينما كان المتوسط السنوي للإيرادات العامة 23% نسبة إلى الناتج المحلي الإجمالي، وعليه فقد بلغ المتوسط السنوي للعجز الكلي للموازنة العامة للدولة 7% نسبة إلى الناتج المحلي الإجمالي خلال فترة التحليل وهو معدل مرتفع يزيد قليلاً عن ضعف النسبة القصوى للعجز المسموح به وفقاً للمعايير المعمول بها في الاتحاد الأوروبي (3% من الناتج المحلي الإجمالي)</w:t>
      </w:r>
      <w:r w:rsidRPr="003B5BAA">
        <w:rPr>
          <w:rFonts w:ascii="Simplified Arabic" w:hAnsi="Simplified Arabic" w:cs="Simplified Arabic"/>
          <w:sz w:val="28"/>
          <w:szCs w:val="28"/>
          <w:vertAlign w:val="superscript"/>
          <w:rtl/>
          <w:lang w:bidi="ar-EG"/>
        </w:rPr>
        <w:t xml:space="preserve"> (</w:t>
      </w:r>
      <w:r w:rsidRPr="003B5BAA">
        <w:rPr>
          <w:rFonts w:ascii="Simplified Arabic" w:hAnsi="Simplified Arabic" w:cs="Simplified Arabic"/>
          <w:sz w:val="28"/>
          <w:szCs w:val="28"/>
          <w:vertAlign w:val="superscript"/>
          <w:rtl/>
          <w:lang w:bidi="ar-EG"/>
        </w:rPr>
        <w:footnoteReference w:id="102"/>
      </w:r>
      <w:r w:rsidRPr="003B5BAA">
        <w:rPr>
          <w:rFonts w:ascii="Simplified Arabic" w:hAnsi="Simplified Arabic" w:cs="Simplified Arabic"/>
          <w:sz w:val="28"/>
          <w:szCs w:val="28"/>
          <w:vertAlign w:val="superscript"/>
          <w:rtl/>
          <w:lang w:bidi="ar-EG"/>
        </w:rPr>
        <w:t>)</w:t>
      </w:r>
      <w:r w:rsidRPr="003B5BAA">
        <w:rPr>
          <w:rFonts w:ascii="Simplified Arabic" w:hAnsi="Simplified Arabic" w:cs="Simplified Arabic"/>
          <w:sz w:val="28"/>
          <w:szCs w:val="28"/>
          <w:rtl/>
          <w:lang w:bidi="ar-EG"/>
        </w:rPr>
        <w:t>.</w:t>
      </w:r>
    </w:p>
    <w:p w14:paraId="32A3C842" w14:textId="77777777" w:rsidR="002959BC" w:rsidRPr="000F4C7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0F4C76">
        <w:rPr>
          <w:rFonts w:ascii="Simplified Arabic" w:eastAsia="Times New Roman" w:hAnsi="Simplified Arabic" w:cs="Simplified Arabic"/>
          <w:b/>
          <w:bCs/>
          <w:sz w:val="24"/>
          <w:szCs w:val="24"/>
          <w:rtl/>
        </w:rPr>
        <w:t>شكل رقم (2-28)</w:t>
      </w:r>
    </w:p>
    <w:p w14:paraId="50464CF0" w14:textId="77777777" w:rsidR="002959BC" w:rsidRPr="000F4C7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0F4C76">
        <w:rPr>
          <w:rFonts w:ascii="Simplified Arabic" w:eastAsia="Times New Roman" w:hAnsi="Simplified Arabic" w:cs="Simplified Arabic"/>
          <w:b/>
          <w:bCs/>
          <w:sz w:val="24"/>
          <w:szCs w:val="24"/>
          <w:rtl/>
        </w:rPr>
        <w:t>تطور نسبة العجز الكلي للموازنة ونسبة المصروفات والإيرادات إلى الناتج</w:t>
      </w:r>
    </w:p>
    <w:p w14:paraId="34027F89" w14:textId="77777777" w:rsidR="002959BC" w:rsidRPr="000F4C7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Pr>
      </w:pPr>
      <w:r w:rsidRPr="000F4C76">
        <w:rPr>
          <w:rFonts w:ascii="Simplified Arabic" w:eastAsia="Times New Roman" w:hAnsi="Simplified Arabic" w:cs="Simplified Arabic"/>
          <w:b/>
          <w:bCs/>
          <w:sz w:val="24"/>
          <w:szCs w:val="24"/>
          <w:rtl/>
        </w:rPr>
        <w:t>خلال الفترة (1991/1992 إلى 2018/2019)</w:t>
      </w:r>
    </w:p>
    <w:p w14:paraId="1A509362" w14:textId="1715947E" w:rsidR="002959BC" w:rsidRPr="00D9513C" w:rsidRDefault="002959BC" w:rsidP="00131C6C">
      <w:pPr>
        <w:jc w:val="both"/>
        <w:rPr>
          <w:rFonts w:ascii="Simplified Arabic" w:hAnsi="Simplified Arabic" w:cs="Simplified Arabic"/>
          <w:sz w:val="24"/>
          <w:szCs w:val="24"/>
          <w:vertAlign w:val="subscript"/>
          <w:rtl/>
          <w:lang w:bidi="ar-EG"/>
        </w:rPr>
      </w:pPr>
      <w:r w:rsidRPr="003B5BAA">
        <w:rPr>
          <w:rFonts w:ascii="Simplified Arabic" w:hAnsi="Simplified Arabic" w:cs="Simplified Arabic"/>
          <w:sz w:val="28"/>
          <w:szCs w:val="28"/>
        </w:rPr>
        <w:drawing>
          <wp:anchor distT="0" distB="0" distL="114300" distR="114300" simplePos="0" relativeHeight="251710464" behindDoc="1" locked="0" layoutInCell="1" allowOverlap="1" wp14:anchorId="13E15B82" wp14:editId="47804C77">
            <wp:simplePos x="0" y="0"/>
            <wp:positionH relativeFrom="margin">
              <wp:posOffset>6985</wp:posOffset>
            </wp:positionH>
            <wp:positionV relativeFrom="paragraph">
              <wp:posOffset>6985</wp:posOffset>
            </wp:positionV>
            <wp:extent cx="5507990" cy="2933700"/>
            <wp:effectExtent l="0" t="0" r="16510" b="0"/>
            <wp:wrapTight wrapText="bothSides">
              <wp:wrapPolygon edited="0">
                <wp:start x="0" y="0"/>
                <wp:lineTo x="0" y="21460"/>
                <wp:lineTo x="21590" y="21460"/>
                <wp:lineTo x="21590" y="0"/>
                <wp:lineTo x="0" y="0"/>
              </wp:wrapPolygon>
            </wp:wrapTight>
            <wp:docPr id="140" name="Chart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page">
              <wp14:pctWidth>0</wp14:pctWidth>
            </wp14:sizeRelH>
            <wp14:sizeRelV relativeFrom="page">
              <wp14:pctHeight>0</wp14:pctHeight>
            </wp14:sizeRelV>
          </wp:anchor>
        </w:drawing>
      </w:r>
      <w:r w:rsidRPr="00D9513C">
        <w:rPr>
          <w:rFonts w:ascii="Simplified Arabic" w:hAnsi="Simplified Arabic" w:cs="Simplified Arabic"/>
          <w:sz w:val="24"/>
          <w:szCs w:val="24"/>
          <w:vertAlign w:val="subscript"/>
          <w:rtl/>
        </w:rPr>
        <mc:AlternateContent>
          <mc:Choice Requires="wps">
            <w:drawing>
              <wp:anchor distT="0" distB="0" distL="114300" distR="114300" simplePos="0" relativeHeight="251711488" behindDoc="0" locked="0" layoutInCell="1" allowOverlap="1" wp14:anchorId="20023A96" wp14:editId="108E5FAA">
                <wp:simplePos x="0" y="0"/>
                <wp:positionH relativeFrom="margin">
                  <wp:align>center</wp:align>
                </wp:positionH>
                <wp:positionV relativeFrom="paragraph">
                  <wp:posOffset>2519045</wp:posOffset>
                </wp:positionV>
                <wp:extent cx="1200647" cy="326004"/>
                <wp:effectExtent l="0" t="0" r="0" b="0"/>
                <wp:wrapNone/>
                <wp:docPr id="136" name="Text Box 136"/>
                <wp:cNvGraphicFramePr/>
                <a:graphic xmlns:a="http://schemas.openxmlformats.org/drawingml/2006/main">
                  <a:graphicData uri="http://schemas.microsoft.com/office/word/2010/wordprocessingShape">
                    <wps:wsp>
                      <wps:cNvSpPr txBox="1"/>
                      <wps:spPr>
                        <a:xfrm>
                          <a:off x="0" y="0"/>
                          <a:ext cx="1200647" cy="326004"/>
                        </a:xfrm>
                        <a:prstGeom prst="rect">
                          <a:avLst/>
                        </a:prstGeom>
                        <a:noFill/>
                        <a:ln w="6350">
                          <a:noFill/>
                        </a:ln>
                      </wps:spPr>
                      <wps:txbx>
                        <w:txbxContent>
                          <w:p w14:paraId="7D3FDC2F" w14:textId="77777777" w:rsidR="00270E6A" w:rsidRPr="000F4C76" w:rsidRDefault="00270E6A" w:rsidP="002959BC">
                            <w:pPr>
                              <w:jc w:val="center"/>
                              <w:rPr>
                                <w:rFonts w:ascii="Simplified Arabic" w:hAnsi="Simplified Arabic" w:cs="Simplified Arabic"/>
                                <w:b/>
                                <w:bCs/>
                                <w:rtl/>
                                <w:lang w:bidi="ar-EG"/>
                              </w:rPr>
                            </w:pPr>
                            <w:r w:rsidRPr="000F4C76">
                              <w:rPr>
                                <w:rFonts w:ascii="Simplified Arabic" w:hAnsi="Simplified Arabic" w:cs="Simplified Arabic"/>
                                <w:b/>
                                <w:bCs/>
                                <w:rtl/>
                                <w:lang w:bidi="ar-EG"/>
                              </w:rPr>
                              <w:t xml:space="preserve">- </w:t>
                            </w:r>
                            <w:r>
                              <w:rPr>
                                <w:rFonts w:ascii="Simplified Arabic" w:hAnsi="Simplified Arabic" w:cs="Simplified Arabic" w:hint="cs"/>
                                <w:b/>
                                <w:bCs/>
                                <w:rtl/>
                                <w:lang w:bidi="ar-EG"/>
                              </w:rPr>
                              <w:t>72</w:t>
                            </w:r>
                            <w:r w:rsidRPr="000F4C76">
                              <w:rPr>
                                <w:rFonts w:ascii="Simplified Arabic" w:hAnsi="Simplified Arabic" w:cs="Simplified Arabic"/>
                                <w:b/>
                                <w:bCs/>
                                <w:rtl/>
                                <w:lang w:bidi="ar-EG"/>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023A96" id="Text Box 136" o:spid="_x0000_s1130" type="#_x0000_t202" style="position:absolute;left:0;text-align:left;margin-left:0;margin-top:198.35pt;width:94.55pt;height:25.65pt;z-index:2517114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" filled="f" stroked="f" strokeweight=".5pt">
                <v:textbox>
                  <w:txbxContent>
                    <w:p w14:paraId="7D3FDC2F" w14:textId="77777777" w:rsidR="00270E6A" w:rsidRPr="000F4C76" w:rsidRDefault="00270E6A" w:rsidP="002959BC">
                      <w:pPr>
                        <w:jc w:val="center"/>
                        <w:rPr>
                          <w:rFonts w:ascii="Simplified Arabic" w:hAnsi="Simplified Arabic" w:cs="Simplified Arabic"/>
                          <w:b/>
                          <w:bCs/>
                          <w:rtl/>
                          <w:lang w:bidi="ar-EG"/>
                        </w:rPr>
                      </w:pPr>
                      <w:r w:rsidRPr="000F4C76">
                        <w:rPr>
                          <w:rFonts w:ascii="Simplified Arabic" w:hAnsi="Simplified Arabic" w:cs="Simplified Arabic"/>
                          <w:b/>
                          <w:bCs/>
                          <w:rtl/>
                          <w:lang w:bidi="ar-EG"/>
                        </w:rPr>
                        <w:t xml:space="preserve">- </w:t>
                      </w:r>
                      <w:r>
                        <w:rPr>
                          <w:rFonts w:ascii="Simplified Arabic" w:hAnsi="Simplified Arabic" w:cs="Simplified Arabic" w:hint="cs"/>
                          <w:b/>
                          <w:bCs/>
                          <w:rtl/>
                          <w:lang w:bidi="ar-EG"/>
                        </w:rPr>
                        <w:t>72</w:t>
                      </w:r>
                      <w:r w:rsidRPr="000F4C76">
                        <w:rPr>
                          <w:rFonts w:ascii="Simplified Arabic" w:hAnsi="Simplified Arabic" w:cs="Simplified Arabic"/>
                          <w:b/>
                          <w:bCs/>
                          <w:rtl/>
                          <w:lang w:bidi="ar-EG"/>
                        </w:rPr>
                        <w:t xml:space="preserve"> -</w:t>
                      </w:r>
                    </w:p>
                  </w:txbxContent>
                </v:textbox>
                <w10:wrap anchorx="margin"/>
              </v:shape>
            </w:pict>
          </mc:Fallback>
        </mc:AlternateContent>
      </w:r>
      <w:r w:rsidRPr="00D9513C">
        <w:rPr>
          <w:rFonts w:ascii="Simplified Arabic" w:hAnsi="Simplified Arabic" w:cs="Simplified Arabic"/>
          <w:sz w:val="24"/>
          <w:szCs w:val="24"/>
          <w:vertAlign w:val="subscript"/>
          <w:rtl/>
        </w:rPr>
        <w:t>المصدر: من إعداد الباحث بالاعتماد على بيانات الجداول أرقام (2-1)، (2-5)، (2-10).</w:t>
      </w:r>
    </w:p>
    <w:p w14:paraId="2032D1B9" w14:textId="77777777" w:rsidR="002959BC" w:rsidRPr="003B5BAA" w:rsidRDefault="002959BC" w:rsidP="002959BC">
      <w:pPr>
        <w:ind w:firstLine="454"/>
        <w:jc w:val="both"/>
        <w:rPr>
          <w:rFonts w:ascii="Simplified Arabic" w:hAnsi="Simplified Arabic" w:cs="Simplified Arabic"/>
          <w:sz w:val="28"/>
          <w:szCs w:val="28"/>
          <w:rtl/>
          <w:lang w:bidi="ar-EG"/>
        </w:rPr>
      </w:pPr>
      <w:r w:rsidRPr="003B5BAA">
        <w:rPr>
          <w:rFonts w:ascii="Simplified Arabic" w:hAnsi="Simplified Arabic" w:cs="Simplified Arabic"/>
          <w:sz w:val="28"/>
          <w:szCs w:val="28"/>
          <w:rtl/>
          <w:lang w:bidi="ar-EG"/>
        </w:rPr>
        <w:t xml:space="preserve">ويتضح من الشكل رقم (2-28) أن العجز الكلي للموازنة كنسبة إلى الناتج المحلي الإجمالي اتخذ مساراً تصاعدياً خلال فترة الدراسة – فيما عدا الفترة من العام المالي 1991/1992 وحتى العام المالي 1997/1998 نتيجة تطبيق السياسة المالية الانكماشية خلال تلك الفترة - حيث زاد العجز الكلي من </w:t>
      </w:r>
      <w:r w:rsidRPr="003B5BAA">
        <w:rPr>
          <w:rFonts w:ascii="Simplified Arabic" w:hAnsi="Simplified Arabic" w:cs="Simplified Arabic"/>
          <w:sz w:val="28"/>
          <w:szCs w:val="28"/>
          <w:rtl/>
          <w:lang w:bidi="ar-EG"/>
        </w:rPr>
        <w:lastRenderedPageBreak/>
        <w:t>4.7% نسبة إلى الناتج المحلي خلال العام المالي 1991/1992 إلى 8.1% خلال العام المالي 2018/2019. ورغم أن المصروفات قد انخفضت من 36.3% نسبة إلى الناتج المحلي خلال العام المالي 1991/1992 إلى 25.7% خلال العام المالي 2018/2019 إلا إن الإيرادات قد انخفضت بنسبة أكبر خلال تلك الفترة حيث انخفضت من 31.6% نسبة إلى الناتج المحلي خلال العام المالي 1991/1992 إلى 17.7% خلال العام المالي 2018/2019، وهو ما أدى إلى ازدياد العجز الكلي للموازنة العامة للدولة خلال الفترة محل الدراسة.</w:t>
      </w:r>
    </w:p>
    <w:p w14:paraId="58A465BF" w14:textId="77777777" w:rsidR="002959BC" w:rsidRPr="003B5BAA" w:rsidRDefault="002959BC" w:rsidP="002959BC">
      <w:pPr>
        <w:ind w:firstLine="453"/>
        <w:jc w:val="both"/>
        <w:rPr>
          <w:rFonts w:ascii="Simplified Arabic" w:hAnsi="Simplified Arabic" w:cs="Simplified Arabic"/>
          <w:sz w:val="28"/>
          <w:szCs w:val="28"/>
          <w:rtl/>
          <w:lang w:bidi="ar-EG"/>
        </w:rPr>
      </w:pPr>
    </w:p>
    <w:p w14:paraId="35E02B6D" w14:textId="77777777" w:rsidR="002959BC" w:rsidRPr="003B5BAA" w:rsidRDefault="002959BC" w:rsidP="002959BC">
      <w:pPr>
        <w:ind w:firstLine="454"/>
        <w:jc w:val="both"/>
        <w:rPr>
          <w:rFonts w:ascii="Simplified Arabic" w:hAnsi="Simplified Arabic" w:cs="Simplified Arabic"/>
          <w:sz w:val="28"/>
          <w:szCs w:val="28"/>
          <w:rtl/>
          <w:lang w:bidi="ar-EG"/>
        </w:rPr>
      </w:pPr>
      <w:r w:rsidRPr="003B5BAA">
        <w:rPr>
          <w:rFonts w:ascii="Simplified Arabic" w:hAnsi="Simplified Arabic" w:cs="Simplified Arabic"/>
          <w:sz w:val="28"/>
          <w:szCs w:val="28"/>
          <w:rtl/>
          <w:lang w:bidi="ar-EG"/>
        </w:rPr>
        <w:t xml:space="preserve">كما يتضح اتجاه كل من الإيرادات العامة والنفقات العامة إلى الانخفاض كنسبة إلى الناتج المحلي الإجمالي حيث بدأت النفقات العامة عند نسبة 36.3% في العام المالي 1991/1992 ووصلت في العام المالي 2018/2019 إلى نسبة 25.7% إلى الناتج المحلي الإجمالي، وهو ما يوضح انخفاض مساهمة القطاع الحكومي في الاقتصاد المصري خلال تلك الفترة، كما بدأت الإيرادات العامة في العام المالي 1991/1992 عند نسبة 31.6% كنسبة إلى الناتج المحلي الإجمالي، وانخفضت حتى وصلت في العام المالي 2018/2019 إلى 17.7% نسبة إلى الناتج المحلي الإجمالي، مما يعني اتساع رقعة الاقتصاد غير الرسمي والذي لا يتم تحصيل منه الإيرادات الضريبية المتناسبة مع حجم أعماله </w:t>
      </w:r>
      <w:r w:rsidRPr="003B5BAA">
        <w:rPr>
          <w:rFonts w:ascii="Simplified Arabic" w:hAnsi="Simplified Arabic" w:cs="Simplified Arabic"/>
          <w:sz w:val="28"/>
          <w:szCs w:val="28"/>
          <w:vertAlign w:val="superscript"/>
          <w:rtl/>
          <w:lang w:bidi="ar-EG"/>
        </w:rPr>
        <w:t>(</w:t>
      </w:r>
      <w:r w:rsidRPr="003B5BAA">
        <w:rPr>
          <w:rStyle w:val="FootnoteReference"/>
          <w:rFonts w:ascii="Simplified Arabic" w:eastAsiaTheme="minorEastAsia" w:hAnsi="Simplified Arabic" w:cs="Simplified Arabic"/>
          <w:sz w:val="28"/>
          <w:szCs w:val="28"/>
          <w:rtl/>
          <w:lang w:bidi="ar-EG"/>
        </w:rPr>
        <w:footnoteReference w:id="103"/>
      </w:r>
      <w:r w:rsidRPr="003B5BAA">
        <w:rPr>
          <w:rFonts w:ascii="Simplified Arabic" w:hAnsi="Simplified Arabic" w:cs="Simplified Arabic"/>
          <w:sz w:val="28"/>
          <w:szCs w:val="28"/>
          <w:vertAlign w:val="superscript"/>
          <w:rtl/>
          <w:lang w:bidi="ar-EG"/>
        </w:rPr>
        <w:t>)</w:t>
      </w:r>
      <w:r w:rsidRPr="003B5BAA">
        <w:rPr>
          <w:rFonts w:ascii="Simplified Arabic" w:hAnsi="Simplified Arabic" w:cs="Simplified Arabic"/>
          <w:sz w:val="28"/>
          <w:szCs w:val="28"/>
          <w:rtl/>
          <w:lang w:bidi="ar-EG"/>
        </w:rPr>
        <w:t>.</w:t>
      </w:r>
    </w:p>
    <w:p w14:paraId="73EEC2AC" w14:textId="77777777" w:rsidR="002959BC" w:rsidRPr="003B5BAA" w:rsidRDefault="002959BC" w:rsidP="002959BC">
      <w:pPr>
        <w:ind w:firstLine="453"/>
        <w:jc w:val="both"/>
        <w:rPr>
          <w:rFonts w:ascii="Simplified Arabic" w:hAnsi="Simplified Arabic" w:cs="Simplified Arabic"/>
          <w:sz w:val="28"/>
          <w:szCs w:val="28"/>
          <w:rtl/>
          <w:lang w:bidi="ar-EG"/>
        </w:rPr>
      </w:pPr>
    </w:p>
    <w:p w14:paraId="29AF24AA" w14:textId="77777777" w:rsidR="002959BC" w:rsidRPr="003B5BAA" w:rsidRDefault="002959BC" w:rsidP="002959BC">
      <w:pPr>
        <w:ind w:firstLine="454"/>
        <w:jc w:val="both"/>
        <w:rPr>
          <w:rFonts w:ascii="Simplified Arabic" w:hAnsi="Simplified Arabic" w:cs="Simplified Arabic"/>
          <w:sz w:val="28"/>
          <w:szCs w:val="28"/>
          <w:rtl/>
          <w:lang w:bidi="ar-EG"/>
        </w:rPr>
      </w:pPr>
      <w:r w:rsidRPr="003B5BAA">
        <w:rPr>
          <w:rFonts w:ascii="Simplified Arabic" w:hAnsi="Simplified Arabic" w:cs="Simplified Arabic"/>
          <w:sz w:val="28"/>
          <w:szCs w:val="28"/>
          <w:rtl/>
          <w:lang w:bidi="ar-EG"/>
        </w:rPr>
        <w:t>ويلاحظ وجود ارتباط طردي قوي بين كلاً من الإيرادات العامة والمصروفات العامة خلال فترة التحليل، حيث نلاحظ أنه في السنوات التي شهدت زيادة في المصروفات العامة كانت هناك زيادة – وإن كانت بدرجة أقل - في الإيرادات العامة، وأيضاً في السنوات التي شهدت تشديد مالي وانخفاض المصروفات العامة شهدت انخفاض في الإيرادات العامة، وربما يفسر هذا بأهمية الإنفاق الحكومي في إنعاش النمو الاقتصادي وتحفيز القطاعات الأخرى على الإنتاج، وذلك كله ينعكس إيجابياً على زيادة إيرادات الحكومة من الضرائب وغيرها من الرسوم.</w:t>
      </w:r>
    </w:p>
    <w:p w14:paraId="3F1E620D" w14:textId="77777777" w:rsidR="002959BC" w:rsidRPr="003B5BAA" w:rsidRDefault="002959BC" w:rsidP="002959BC">
      <w:pPr>
        <w:ind w:firstLine="453"/>
        <w:jc w:val="both"/>
        <w:rPr>
          <w:rFonts w:ascii="Simplified Arabic" w:hAnsi="Simplified Arabic" w:cs="Simplified Arabic"/>
          <w:sz w:val="28"/>
          <w:szCs w:val="28"/>
          <w:rtl/>
          <w:lang w:bidi="ar-EG"/>
        </w:rPr>
      </w:pPr>
    </w:p>
    <w:p w14:paraId="0BA473D4" w14:textId="77777777" w:rsidR="002959BC" w:rsidRPr="003B5BAA" w:rsidRDefault="002959BC" w:rsidP="002959BC">
      <w:pPr>
        <w:ind w:firstLine="453"/>
        <w:jc w:val="both"/>
        <w:rPr>
          <w:rFonts w:ascii="Simplified Arabic" w:hAnsi="Simplified Arabic" w:cs="Simplified Arabic"/>
          <w:sz w:val="28"/>
          <w:szCs w:val="28"/>
          <w:rtl/>
          <w:lang w:bidi="ar-EG"/>
        </w:rPr>
      </w:pPr>
      <w:r w:rsidRPr="003B5BAA">
        <w:rPr>
          <w:rFonts w:ascii="Simplified Arabic" w:hAnsi="Simplified Arabic" w:cs="Simplified Arabic"/>
          <w:sz w:val="28"/>
          <w:szCs w:val="28"/>
          <w:rtl/>
          <w:lang w:bidi="ar-EG"/>
        </w:rPr>
        <w:t xml:space="preserve">واستثناءً من ذلك فإن الارتباط بين المصروفات العامة والإيرادات العامة قد تحول إلى ارتباط عكسي وذلك خلال الفترة من العام المالي 1998/1999 وحتى العام المالي 2001/2002 حيث شهدت تلك الفترة زيادة في المصروفات العامة مع انخفاض في الإيرادات العامة، ويرجع ذلك إلى تبنى الحكومة لعدة مشروعات قومية أدت إلى زيادة النفقات العامة بصورة كبيرة ولم تأتي تلك المشروعات بالعائد المرجو منها، </w:t>
      </w:r>
      <w:r w:rsidRPr="003B5BAA">
        <w:rPr>
          <w:rFonts w:ascii="Simplified Arabic" w:hAnsi="Simplified Arabic" w:cs="Simplified Arabic"/>
          <w:sz w:val="28"/>
          <w:szCs w:val="28"/>
          <w:rtl/>
          <w:lang w:bidi="ar-EG"/>
        </w:rPr>
        <w:lastRenderedPageBreak/>
        <w:t xml:space="preserve">كما انخفضت الإيرادات العامة نتيجة الصدمات الخارجية التي أثرت سلباً على أداء الاقتصاد المصري في تلك الفترة كما سبق الإشارة إليها. </w:t>
      </w:r>
    </w:p>
    <w:p w14:paraId="3EFC3D18" w14:textId="77777777" w:rsidR="002959BC" w:rsidRDefault="002959BC" w:rsidP="002959BC">
      <w:pPr>
        <w:ind w:firstLine="453"/>
        <w:jc w:val="both"/>
        <w:rPr>
          <w:rFonts w:ascii="Simplified Arabic" w:hAnsi="Simplified Arabic" w:cs="Simplified Arabic"/>
          <w:sz w:val="28"/>
          <w:szCs w:val="28"/>
          <w:rtl/>
          <w:lang w:bidi="ar-EG"/>
        </w:rPr>
      </w:pPr>
      <w:r>
        <w:rPr>
          <w:rFonts w:ascii="Simplified Arabic" w:hAnsi="Simplified Arabic" w:cs="Simplified Arabic" w:hint="cs"/>
          <w:rtl/>
          <w:lang w:bidi="ar-EG"/>
        </w:rPr>
        <w:softHyphen/>
      </w:r>
    </w:p>
    <w:p w14:paraId="6DC09A95" w14:textId="77777777" w:rsidR="002959BC" w:rsidRPr="003B5BAA" w:rsidRDefault="002959BC" w:rsidP="002959BC">
      <w:pPr>
        <w:ind w:firstLine="453"/>
        <w:jc w:val="both"/>
        <w:rPr>
          <w:rFonts w:ascii="Simplified Arabic" w:hAnsi="Simplified Arabic" w:cs="Simplified Arabic"/>
          <w:sz w:val="28"/>
          <w:szCs w:val="28"/>
          <w:rtl/>
          <w:lang w:bidi="ar-EG"/>
        </w:rPr>
      </w:pPr>
      <w:r w:rsidRPr="003B5BAA">
        <w:rPr>
          <w:rFonts w:ascii="Simplified Arabic" w:hAnsi="Simplified Arabic" w:cs="Simplified Arabic"/>
          <w:sz w:val="28"/>
          <w:szCs w:val="28"/>
          <w:rtl/>
          <w:lang w:bidi="ar-EG"/>
        </w:rPr>
        <w:t>أما فيما يخص الآليات المالية لتمويل عجز الموازنة العامة للدولة خلال فترة التحليل – من العام المالي 1991/1992 إلى العام المالي 2018/2019 – فقد بلغت نسبة مساهمة التمويل الخارجي في تمويل عجز الموازنة العامة خلال تلك الفترة مبلغ 680 مليار جنيه (بنسبة 16.7% إلى إجمالي التمويل)، بينما ساهم التمويل المحلي في تمويل عجز الموازنة العامة خلال تلك الفترة بمبلغ 3386.2 مليون جنيه (بنسبة 83.3% من إجمالي التمويل)، حيث ساهم التمويل المحلي غير المصرفي بمبلغ 1327.7 مليار جنيه (بنسبة  32.7% إلى إجمالي التمويل)، وساهم التمويل المحلي المصرفي بمبلغ 2058.5 مليار جنيه (بنسبة 50.6% إلى إجمالي التمويل) وهو ما يعكس الاعتماد بشكل كبير على التمويل المحلي المصرفي لتمويل عجز الموازنة العامة خلال تلك الفترة وهو ما كان له آثار سلبية على زيادة معدلات التضخم.</w:t>
      </w:r>
    </w:p>
    <w:p w14:paraId="10F7304E" w14:textId="77777777" w:rsidR="002959BC" w:rsidRPr="000F4C7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0F4C76">
        <w:rPr>
          <w:rFonts w:ascii="Simplified Arabic" w:eastAsia="Times New Roman" w:hAnsi="Simplified Arabic" w:cs="Simplified Arabic"/>
          <w:b/>
          <w:bCs/>
          <w:sz w:val="24"/>
          <w:szCs w:val="24"/>
          <w:rtl/>
        </w:rPr>
        <w:t>شكل رقم (2-29)</w:t>
      </w:r>
    </w:p>
    <w:p w14:paraId="7604E2A5" w14:textId="77777777" w:rsidR="002959BC" w:rsidRPr="000F4C7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0F4C76">
        <w:rPr>
          <w:rFonts w:ascii="Simplified Arabic" w:eastAsia="Times New Roman" w:hAnsi="Simplified Arabic" w:cs="Simplified Arabic"/>
          <w:b/>
          <w:bCs/>
          <w:sz w:val="24"/>
          <w:szCs w:val="24"/>
          <w:rtl/>
        </w:rPr>
        <w:t>تطور الرقم القياسي لأسعار المستهلكين وآليات تمويل عجز الموازنة العامة</w:t>
      </w:r>
    </w:p>
    <w:p w14:paraId="3477CAA1" w14:textId="77777777" w:rsidR="002959BC" w:rsidRPr="000F4C76" w:rsidRDefault="002959BC" w:rsidP="002959BC">
      <w:pPr>
        <w:pStyle w:val="ListParagraph"/>
        <w:spacing w:after="0" w:line="240" w:lineRule="auto"/>
        <w:ind w:left="1083" w:hanging="1174"/>
        <w:contextualSpacing w:val="0"/>
        <w:jc w:val="center"/>
        <w:rPr>
          <w:rFonts w:ascii="Simplified Arabic" w:eastAsia="Times New Roman" w:hAnsi="Simplified Arabic" w:cs="Simplified Arabic"/>
          <w:b/>
          <w:bCs/>
          <w:sz w:val="24"/>
          <w:szCs w:val="24"/>
          <w:rtl/>
        </w:rPr>
      </w:pPr>
      <w:r w:rsidRPr="000F4C76">
        <w:rPr>
          <w:rFonts w:ascii="Simplified Arabic" w:eastAsia="Times New Roman" w:hAnsi="Simplified Arabic" w:cs="Simplified Arabic"/>
          <w:b/>
          <w:bCs/>
          <w:sz w:val="24"/>
          <w:szCs w:val="24"/>
          <w:rtl/>
        </w:rPr>
        <w:t>خلال الفترة (1991/1992 إلى 2018/2019)</w:t>
      </w:r>
    </w:p>
    <w:p w14:paraId="4B35E6CF" w14:textId="38008A1A" w:rsidR="002959BC" w:rsidRPr="003B5BAA" w:rsidRDefault="002959BC" w:rsidP="00131C6C">
      <w:pPr>
        <w:jc w:val="both"/>
        <w:rPr>
          <w:rFonts w:ascii="Simplified Arabic" w:hAnsi="Simplified Arabic" w:cs="Simplified Arabic"/>
          <w:sz w:val="24"/>
          <w:szCs w:val="24"/>
          <w:rtl/>
        </w:rPr>
      </w:pPr>
      <w:r w:rsidRPr="003B5BAA">
        <w:rPr>
          <w:rFonts w:ascii="Simplified Arabic" w:hAnsi="Simplified Arabic" w:cs="Simplified Arabic"/>
          <w:color w:val="000000"/>
          <w:sz w:val="28"/>
          <w:szCs w:val="28"/>
          <w:rtl/>
        </w:rPr>
        <mc:AlternateContent>
          <mc:Choice Requires="wpg">
            <w:drawing>
              <wp:anchor distT="0" distB="0" distL="114300" distR="114300" simplePos="0" relativeHeight="251712512" behindDoc="0" locked="0" layoutInCell="1" allowOverlap="1" wp14:anchorId="40F8C810" wp14:editId="231FD658">
                <wp:simplePos x="0" y="0"/>
                <wp:positionH relativeFrom="column">
                  <wp:posOffset>13335</wp:posOffset>
                </wp:positionH>
                <wp:positionV relativeFrom="paragraph">
                  <wp:posOffset>69850</wp:posOffset>
                </wp:positionV>
                <wp:extent cx="5471795" cy="2857500"/>
                <wp:effectExtent l="0" t="0" r="14605" b="0"/>
                <wp:wrapTight wrapText="bothSides">
                  <wp:wrapPolygon edited="0">
                    <wp:start x="0" y="0"/>
                    <wp:lineTo x="0" y="21456"/>
                    <wp:lineTo x="21582" y="21456"/>
                    <wp:lineTo x="21582" y="0"/>
                    <wp:lineTo x="0" y="0"/>
                  </wp:wrapPolygon>
                </wp:wrapTight>
                <wp:docPr id="137" name="مجموعة 2"/>
                <wp:cNvGraphicFramePr/>
                <a:graphic xmlns:a="http://schemas.openxmlformats.org/drawingml/2006/main">
                  <a:graphicData uri="http://schemas.microsoft.com/office/word/2010/wordprocessingGroup">
                    <wpg:wgp>
                      <wpg:cNvGrpSpPr/>
                      <wpg:grpSpPr>
                        <a:xfrm>
                          <a:off x="0" y="0"/>
                          <a:ext cx="5471795" cy="2857500"/>
                          <a:chOff x="0" y="0"/>
                          <a:chExt cx="5471795" cy="3239770"/>
                        </a:xfrm>
                      </wpg:grpSpPr>
                      <wpg:graphicFrame>
                        <wpg:cNvPr id="138" name="Chart 138"/>
                        <wpg:cNvFrPr/>
                        <wpg:xfrm>
                          <a:off x="0" y="0"/>
                          <a:ext cx="5471795" cy="3239770"/>
                        </wpg:xfrm>
                        <a:graphic>
                          <a:graphicData uri="http://schemas.openxmlformats.org/drawingml/2006/chart">
                            <c:chart xmlns:c="http://schemas.openxmlformats.org/drawingml/2006/chart" xmlns:r="http://schemas.openxmlformats.org/officeDocument/2006/relationships" r:id="rId43"/>
                          </a:graphicData>
                        </a:graphic>
                      </wpg:graphicFrame>
                      <wps:wsp>
                        <wps:cNvPr id="139" name="مربع نص 8"/>
                        <wps:cNvSpPr txBox="1"/>
                        <wps:spPr>
                          <a:xfrm>
                            <a:off x="3244133" y="2918128"/>
                            <a:ext cx="2133600" cy="2159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E1D882" w14:textId="77777777" w:rsidR="00270E6A" w:rsidRPr="004D597A" w:rsidRDefault="00270E6A" w:rsidP="002959BC">
                              <w:pPr>
                                <w:jc w:val="center"/>
                                <w:rPr>
                                  <w:rFonts w:asciiTheme="minorBidi" w:hAnsiTheme="minorBidi"/>
                                  <w:sz w:val="18"/>
                                  <w:szCs w:val="18"/>
                                  <w:rtl/>
                                  <w:lang w:bidi="ar-EG"/>
                                </w:rPr>
                              </w:pPr>
                              <w:r w:rsidRPr="004D597A">
                                <w:rPr>
                                  <w:rFonts w:asciiTheme="minorBidi" w:hAnsiTheme="minorBidi"/>
                                  <w:sz w:val="18"/>
                                  <w:szCs w:val="18"/>
                                  <w:rtl/>
                                  <w:lang w:bidi="ar-EG"/>
                                </w:rPr>
                                <w:t>الرقم القياسي لأسعار المستهلكين (2010=100)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0F8C810" id="مجموعة 2" o:spid="_x0000_s1131" style="position:absolute;left:0;text-align:left;margin-left:1.05pt;margin-top:5.5pt;width:430.85pt;height:225pt;z-index:251712512;mso-height-relative:margin" coordsize="54717,32397" o:gfxdata="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">
                <v:shape id="Chart 138" o:spid="_x0000_s1132" type="#_x0000_t75" style="position:absolute;left:-121;top:-138;width:54985;height:32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">
                  <v:imagedata r:id="rId44" o:title=""/>
                  <o:lock v:ext="edit" aspectratio="f"/>
                </v:shape>
                <v:shape id="مربع نص 8" o:spid="_x0000_s1133" type="#_x0000_t202" style="position:absolute;left:32441;top:29181;width:21336;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" fillcolor="white [3212]" stroked="f" strokeweight=".5pt">
                  <v:textbox>
                    <w:txbxContent>
                      <w:p w14:paraId="0AE1D882" w14:textId="77777777" w:rsidR="00270E6A" w:rsidRPr="004D597A" w:rsidRDefault="00270E6A" w:rsidP="002959BC">
                        <w:pPr>
                          <w:jc w:val="center"/>
                          <w:rPr>
                            <w:rFonts w:asciiTheme="minorBidi" w:hAnsiTheme="minorBidi"/>
                            <w:sz w:val="18"/>
                            <w:szCs w:val="18"/>
                            <w:rtl/>
                            <w:lang w:bidi="ar-EG"/>
                          </w:rPr>
                        </w:pPr>
                        <w:r w:rsidRPr="004D597A">
                          <w:rPr>
                            <w:rFonts w:asciiTheme="minorBidi" w:hAnsiTheme="minorBidi"/>
                            <w:sz w:val="18"/>
                            <w:szCs w:val="18"/>
                            <w:rtl/>
                            <w:lang w:bidi="ar-EG"/>
                          </w:rPr>
                          <w:t>الرقم القياسي لأسعار المستهلكين (2010=100)</w:t>
                        </w:r>
                      </w:p>
                    </w:txbxContent>
                  </v:textbox>
                </v:shape>
                <w10:wrap type="tight"/>
              </v:group>
            </w:pict>
          </mc:Fallback>
        </mc:AlternateContent>
      </w:r>
      <w:r>
        <w:rPr>
          <w:rFonts w:ascii="Simplified Arabic" w:hAnsi="Simplified Arabic" w:cs="Simplified Arabic" w:hint="cs"/>
          <w:color w:val="000000"/>
          <w:sz w:val="28"/>
          <w:szCs w:val="28"/>
          <w:rtl/>
        </w:rPr>
        <w:softHyphen/>
      </w:r>
      <w:r>
        <w:rPr>
          <w:rFonts w:ascii="Simplified Arabic" w:hAnsi="Simplified Arabic" w:cs="Simplified Arabic"/>
          <w:color w:val="000000"/>
          <w:sz w:val="28"/>
          <w:szCs w:val="28"/>
          <w:rtl/>
        </w:rPr>
        <w:softHyphen/>
      </w:r>
      <w:r w:rsidRPr="003B5BAA">
        <w:rPr>
          <w:rFonts w:ascii="Simplified Arabic" w:hAnsi="Simplified Arabic" w:cs="Simplified Arabic"/>
          <w:sz w:val="24"/>
          <w:szCs w:val="24"/>
          <w:rtl/>
        </w:rPr>
        <w:t>المصدر: من إعداد الباحث بالاعتماد على بيانات جداول سابقة.</w:t>
      </w:r>
    </w:p>
    <w:p w14:paraId="6DE47EB8" w14:textId="77777777" w:rsidR="002959BC" w:rsidRPr="003B5BAA" w:rsidRDefault="002959BC" w:rsidP="002959BC">
      <w:pPr>
        <w:ind w:firstLine="454"/>
        <w:jc w:val="both"/>
        <w:rPr>
          <w:rFonts w:ascii="Simplified Arabic" w:hAnsi="Simplified Arabic" w:cs="Simplified Arabic"/>
          <w:sz w:val="28"/>
          <w:szCs w:val="28"/>
          <w:rtl/>
          <w:lang w:bidi="ar-EG"/>
        </w:rPr>
      </w:pPr>
      <w:r w:rsidRPr="003B5BAA">
        <w:rPr>
          <w:rFonts w:ascii="Simplified Arabic" w:hAnsi="Simplified Arabic" w:cs="Simplified Arabic"/>
          <w:sz w:val="28"/>
          <w:szCs w:val="28"/>
          <w:rtl/>
          <w:lang w:bidi="ar-EG"/>
        </w:rPr>
        <w:t xml:space="preserve">ويتضح من الشكل رقم (2-29) أنه خلال الفترة من العام المالي 1991/1992 إلى العام المالي 1997/1998 كان استخدام التمويل المحلي والخارجي يتم بشكل ضئيل للغاية نظراً للسياسة المالية الانكماشية التي اتبعت خلال تلك الفترة وفقاً للاتفاق مع صندوق النقد الدولي، وبداية من العام المالي 1998/1999 تم استخدام التمويل المحلي المصرفي والتمويل المحلي غير المصرفي بشكل كبير ومتزايد حتى وصل التمويل المحلي المصرفي في العام المالي 2018/2019 إلى مبلغ 203.4 مليار جنيه بينما </w:t>
      </w:r>
      <w:r w:rsidRPr="003B5BAA">
        <w:rPr>
          <w:rFonts w:ascii="Simplified Arabic" w:hAnsi="Simplified Arabic" w:cs="Simplified Arabic"/>
          <w:sz w:val="28"/>
          <w:szCs w:val="28"/>
          <w:rtl/>
          <w:lang w:bidi="ar-EG"/>
        </w:rPr>
        <w:lastRenderedPageBreak/>
        <w:t>بلغ التمويل المحلي غير المصرفي في العام المالي 2018/2019 إلى مبلغ 264.5 مليار جنيه ليشكلا معاً ما جملته 467.9 مليار جنيه بنسبة 72% إلى جملة التمويل في العام المالي 2018/2019.</w:t>
      </w:r>
    </w:p>
    <w:p w14:paraId="71DE4BC8" w14:textId="77777777" w:rsidR="002959BC" w:rsidRPr="003B5BAA" w:rsidRDefault="002959BC" w:rsidP="002959BC">
      <w:pPr>
        <w:ind w:firstLine="454"/>
        <w:jc w:val="both"/>
        <w:rPr>
          <w:rFonts w:ascii="Simplified Arabic" w:hAnsi="Simplified Arabic" w:cs="Simplified Arabic"/>
          <w:sz w:val="28"/>
          <w:szCs w:val="28"/>
          <w:rtl/>
          <w:lang w:bidi="ar-EG"/>
        </w:rPr>
      </w:pPr>
    </w:p>
    <w:p w14:paraId="780E2A12" w14:textId="77777777" w:rsidR="002959BC" w:rsidRPr="003B5BAA" w:rsidRDefault="002959BC" w:rsidP="002959BC">
      <w:pPr>
        <w:ind w:firstLine="453"/>
        <w:jc w:val="both"/>
        <w:rPr>
          <w:rFonts w:ascii="Simplified Arabic" w:hAnsi="Simplified Arabic" w:cs="Simplified Arabic"/>
          <w:sz w:val="28"/>
          <w:szCs w:val="28"/>
          <w:rtl/>
          <w:lang w:bidi="ar-EG"/>
        </w:rPr>
      </w:pPr>
      <w:r w:rsidRPr="003B5BAA">
        <w:rPr>
          <w:rFonts w:ascii="Simplified Arabic" w:hAnsi="Simplified Arabic" w:cs="Simplified Arabic"/>
          <w:sz w:val="28"/>
          <w:szCs w:val="28"/>
          <w:rtl/>
          <w:lang w:bidi="ar-EG"/>
        </w:rPr>
        <w:t>أما التمويل الخارجي فقد كان يتذبذب صعوداً وهبوطاً خلال معظم سنوات التحليل فقد بلغ أكبر قيمة للتمويل الخارجي مبلغ 20.2 مليار جنيه في العام المالي 2012/2013 بينما بلغت أقل قيمة للتمويل الخارجي مبلغ -25.1 مليار جنيه في العام المالي 2014/2015، إلا أنه تزايد في السنوات الأخيرة بشكل كبير إلى أن وصل في العام المالي 2018/2019 إلى مبلغ 178.6 مليار جنيه وبما نسبته 28% إلى جملة التمويل في ذلك العام المالي وهو ما يزيد كثيراً عن متوسط نسبة مساهمته في إجمالي التمويل خلال فترة التحليل (كان متوسط مساهمة التمويل الخارجي 16.7% إلى إجمالي التمويل)، مما يدل على تزايد استخدام التمويل الخارجي وكان لهذا الأمر مردود سلبي يتمثل في زيادة إجمالي الدين العام الخارجي بصورة كبيرة حيث كان يبلغ في العام المالي 1991/1992 مبلغ 31.1 مليار دولار ليصل في يونيو 2019 لمبلغ 108.6 مليار دولار.</w:t>
      </w:r>
    </w:p>
    <w:p w14:paraId="5270DC77" w14:textId="77777777" w:rsidR="002959BC" w:rsidRPr="003B5BAA" w:rsidRDefault="002959BC" w:rsidP="002959BC">
      <w:pPr>
        <w:ind w:firstLine="453"/>
        <w:jc w:val="both"/>
        <w:rPr>
          <w:rFonts w:ascii="Simplified Arabic" w:hAnsi="Simplified Arabic" w:cs="Simplified Arabic"/>
          <w:sz w:val="28"/>
          <w:szCs w:val="28"/>
          <w:rtl/>
          <w:lang w:bidi="ar-EG"/>
        </w:rPr>
      </w:pPr>
    </w:p>
    <w:p w14:paraId="4EC698AC" w14:textId="77777777" w:rsidR="002959BC" w:rsidRPr="003B5BAA" w:rsidRDefault="002959BC" w:rsidP="002959BC">
      <w:pPr>
        <w:ind w:firstLine="453"/>
        <w:jc w:val="both"/>
        <w:rPr>
          <w:rFonts w:ascii="Simplified Arabic" w:hAnsi="Simplified Arabic" w:cs="Simplified Arabic"/>
          <w:sz w:val="28"/>
          <w:szCs w:val="28"/>
          <w:rtl/>
          <w:lang w:bidi="ar-EG"/>
        </w:rPr>
      </w:pPr>
      <w:r w:rsidRPr="003B5BAA">
        <w:rPr>
          <w:rFonts w:ascii="Simplified Arabic" w:hAnsi="Simplified Arabic" w:cs="Simplified Arabic"/>
          <w:sz w:val="28"/>
          <w:szCs w:val="28"/>
          <w:rtl/>
          <w:lang w:bidi="ar-EG"/>
        </w:rPr>
        <w:t>أما فيما يخص الرقم القياسي لأسعار المستهلكين فقد ارتفع من نسبة 22.9% خلال العام المالي 1991/1992 لتصل إلى نسبة 264.3% خلال العام المالي 2018/2019، ويلاحظ أن كان هناك نمو بطئ للتضخم من العام المالي 1991/1992 وحتى العام المالي 2002/2003 ثم بدأ هذا المعدل في ازدياد كبير حتى العام المالي 2018/2019، ومما يفسر هذا الارتفاع الكبير ازدياد عجز الموازنة خلال تلك الفترة، وكذا خفض قيمة العملة المحلية أكثر من مرة (في عام 2003 وفي عام 2016) مما أحدث صدمات تضخمية، وتأثر الاقتصاد المصري بالصدمات الخارجية التي سبق الإشارة إليها.</w:t>
      </w:r>
    </w:p>
    <w:p w14:paraId="33DBD75A" w14:textId="77777777" w:rsidR="002959BC" w:rsidRPr="003B5BAA" w:rsidRDefault="002959BC" w:rsidP="002959BC">
      <w:pPr>
        <w:ind w:firstLine="453"/>
        <w:jc w:val="both"/>
        <w:rPr>
          <w:rFonts w:ascii="Simplified Arabic" w:hAnsi="Simplified Arabic" w:cs="Simplified Arabic"/>
          <w:sz w:val="28"/>
          <w:szCs w:val="28"/>
          <w:lang w:bidi="ar-EG"/>
        </w:rPr>
      </w:pPr>
    </w:p>
    <w:p w14:paraId="6DAF3ED2" w14:textId="4B551766" w:rsidR="002959BC" w:rsidRDefault="002959BC">
      <w:pPr>
        <w:bidi w:val="0"/>
        <w:spacing w:after="160" w:line="259" w:lineRule="auto"/>
        <w:rPr>
          <w:rtl/>
          <w:lang w:bidi="ar-EG"/>
        </w:rPr>
      </w:pPr>
      <w:r>
        <w:rPr>
          <w:rtl/>
          <w:lang w:bidi="ar-EG"/>
        </w:rPr>
        <w:br w:type="page"/>
      </w:r>
    </w:p>
    <w:p w14:paraId="7C27EE4F" w14:textId="77777777" w:rsidR="002959BC" w:rsidRPr="00755327" w:rsidRDefault="002959BC" w:rsidP="002959BC">
      <w:pPr>
        <w:jc w:val="both"/>
        <w:rPr>
          <w:rFonts w:ascii="Simplified Arabic" w:hAnsi="Simplified Arabic" w:cs="Simplified Arabic"/>
          <w:b/>
          <w:bCs/>
          <w:sz w:val="36"/>
          <w:szCs w:val="36"/>
          <w:lang w:bidi="ar-EG"/>
        </w:rPr>
      </w:pPr>
    </w:p>
    <w:p w14:paraId="22EE487C" w14:textId="77777777" w:rsidR="002959BC" w:rsidRPr="00755327" w:rsidRDefault="002959BC" w:rsidP="002959BC">
      <w:pPr>
        <w:jc w:val="both"/>
        <w:rPr>
          <w:rFonts w:ascii="Simplified Arabic" w:hAnsi="Simplified Arabic" w:cs="Simplified Arabic"/>
          <w:b/>
          <w:bCs/>
          <w:sz w:val="36"/>
          <w:szCs w:val="36"/>
          <w:rtl/>
          <w:lang w:bidi="ar-EG"/>
        </w:rPr>
      </w:pPr>
    </w:p>
    <w:p w14:paraId="2A5F7339" w14:textId="77777777" w:rsidR="002959BC" w:rsidRPr="00755327" w:rsidRDefault="002959BC" w:rsidP="002959BC">
      <w:pPr>
        <w:jc w:val="both"/>
        <w:rPr>
          <w:rFonts w:ascii="Simplified Arabic" w:hAnsi="Simplified Arabic" w:cs="Simplified Arabic"/>
          <w:b/>
          <w:bCs/>
          <w:sz w:val="36"/>
          <w:szCs w:val="36"/>
          <w:rtl/>
          <w:lang w:bidi="ar-EG"/>
        </w:rPr>
      </w:pPr>
    </w:p>
    <w:p w14:paraId="2AD411B3" w14:textId="77777777" w:rsidR="002959BC" w:rsidRPr="00755327" w:rsidRDefault="002959BC" w:rsidP="002959BC">
      <w:pPr>
        <w:jc w:val="both"/>
        <w:rPr>
          <w:rFonts w:ascii="Simplified Arabic" w:hAnsi="Simplified Arabic" w:cs="Simplified Arabic"/>
          <w:b/>
          <w:bCs/>
          <w:color w:val="FF0000"/>
          <w:sz w:val="32"/>
          <w:szCs w:val="32"/>
          <w:rtl/>
          <w:lang w:bidi="ar-EG"/>
        </w:rPr>
      </w:pPr>
    </w:p>
    <w:p w14:paraId="24B7B827" w14:textId="77777777" w:rsidR="002959BC" w:rsidRPr="00755327" w:rsidRDefault="002959BC" w:rsidP="002959BC">
      <w:pPr>
        <w:jc w:val="both"/>
        <w:rPr>
          <w:rFonts w:ascii="Simplified Arabic" w:hAnsi="Simplified Arabic" w:cs="Simplified Arabic"/>
          <w:b/>
          <w:bCs/>
          <w:sz w:val="36"/>
          <w:szCs w:val="36"/>
          <w:rtl/>
          <w:lang w:bidi="ar-EG"/>
        </w:rPr>
      </w:pPr>
      <w:r w:rsidRPr="00755327">
        <w:rPr>
          <w:rFonts w:ascii="Simplified Arabic" w:hAnsi="Simplified Arabic" w:cs="Simplified Arabic"/>
          <w:b/>
          <w:bCs/>
          <w:color w:val="FF0000"/>
          <w:sz w:val="32"/>
          <w:szCs w:val="32"/>
          <w:rtl/>
        </w:rPr>
        <mc:AlternateContent>
          <mc:Choice Requires="wps">
            <w:drawing>
              <wp:anchor distT="0" distB="0" distL="114300" distR="114300" simplePos="0" relativeHeight="251714560" behindDoc="0" locked="0" layoutInCell="1" allowOverlap="1" wp14:anchorId="1A00D31F" wp14:editId="2CB011F2">
                <wp:simplePos x="0" y="0"/>
                <wp:positionH relativeFrom="margin">
                  <wp:align>center</wp:align>
                </wp:positionH>
                <wp:positionV relativeFrom="margin">
                  <wp:align>center</wp:align>
                </wp:positionV>
                <wp:extent cx="5370830" cy="1240155"/>
                <wp:effectExtent l="0" t="0" r="39370" b="55245"/>
                <wp:wrapNone/>
                <wp:docPr id="141"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0830" cy="1240403"/>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6C190B07" w14:textId="77777777" w:rsidR="00270E6A" w:rsidRPr="00755327" w:rsidRDefault="00270E6A" w:rsidP="002959BC">
                            <w:pPr>
                              <w:jc w:val="center"/>
                              <w:rPr>
                                <w:rFonts w:ascii="Simplified Arabic" w:hAnsi="Simplified Arabic" w:cs="Simplified Arabic"/>
                                <w:b/>
                                <w:bCs/>
                                <w:color w:val="222A35" w:themeColor="text2" w:themeShade="80"/>
                                <w:sz w:val="32"/>
                                <w:szCs w:val="32"/>
                                <w:rtl/>
                                <w:lang w:bidi="ar-EG"/>
                              </w:rPr>
                            </w:pPr>
                            <w:r w:rsidRPr="00755327">
                              <w:rPr>
                                <w:rFonts w:ascii="Simplified Arabic" w:hAnsi="Simplified Arabic" w:cs="Simplified Arabic"/>
                                <w:b/>
                                <w:bCs/>
                                <w:color w:val="222A35" w:themeColor="text2" w:themeShade="80"/>
                                <w:sz w:val="32"/>
                                <w:szCs w:val="32"/>
                                <w:rtl/>
                                <w:lang w:bidi="ar-EG"/>
                              </w:rPr>
                              <w:t>الفصـــل الثالث:</w:t>
                            </w:r>
                          </w:p>
                          <w:p w14:paraId="17C905D4" w14:textId="77777777" w:rsidR="00270E6A" w:rsidRPr="00755327" w:rsidRDefault="00270E6A" w:rsidP="002959BC">
                            <w:pPr>
                              <w:jc w:val="center"/>
                              <w:rPr>
                                <w:rFonts w:ascii="Simplified Arabic" w:hAnsi="Simplified Arabic" w:cs="Simplified Arabic"/>
                                <w:b/>
                                <w:bCs/>
                                <w:color w:val="222A35" w:themeColor="text2" w:themeShade="80"/>
                                <w:sz w:val="32"/>
                                <w:szCs w:val="32"/>
                                <w:rtl/>
                                <w:lang w:bidi="ar-EG"/>
                              </w:rPr>
                            </w:pPr>
                            <w:r w:rsidRPr="00755327">
                              <w:rPr>
                                <w:rFonts w:ascii="Simplified Arabic" w:hAnsi="Simplified Arabic" w:cs="Simplified Arabic"/>
                                <w:b/>
                                <w:bCs/>
                                <w:color w:val="222A35" w:themeColor="text2" w:themeShade="80"/>
                                <w:sz w:val="32"/>
                                <w:szCs w:val="32"/>
                                <w:rtl/>
                                <w:lang w:bidi="ar-EG"/>
                              </w:rPr>
                              <w:t>الدراسة التطبيقية للعلاقة بين</w:t>
                            </w:r>
                          </w:p>
                          <w:p w14:paraId="15F15A47" w14:textId="77777777" w:rsidR="00270E6A" w:rsidRPr="00755327" w:rsidRDefault="00270E6A" w:rsidP="002959BC">
                            <w:pPr>
                              <w:jc w:val="center"/>
                              <w:rPr>
                                <w:rFonts w:ascii="Simplified Arabic" w:hAnsi="Simplified Arabic" w:cs="Simplified Arabic"/>
                                <w:b/>
                                <w:bCs/>
                                <w:color w:val="222A35" w:themeColor="text2" w:themeShade="80"/>
                                <w:sz w:val="32"/>
                                <w:szCs w:val="32"/>
                                <w:lang w:bidi="ar-EG"/>
                              </w:rPr>
                            </w:pPr>
                            <w:r w:rsidRPr="00755327">
                              <w:rPr>
                                <w:rFonts w:ascii="Simplified Arabic" w:hAnsi="Simplified Arabic" w:cs="Simplified Arabic"/>
                                <w:b/>
                                <w:bCs/>
                                <w:color w:val="222A35" w:themeColor="text2" w:themeShade="80"/>
                                <w:sz w:val="32"/>
                                <w:szCs w:val="32"/>
                                <w:rtl/>
                                <w:lang w:bidi="ar-EG"/>
                              </w:rPr>
                              <w:t xml:space="preserve">آليات تمويل عجز الموازنة العامة والتضخم في مصر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00D31F" id="_x0000_s1134" style="position:absolute;left:0;text-align:left;margin-left:0;margin-top:0;width:422.9pt;height:97.65pt;z-index:2517145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" fillcolor="white [3201]" strokecolor="#c9c9c9 [1942]" strokeweight="1pt">
                <v:fill color2="#dbdbdb [1302]" focus="100%" type="gradient"/>
                <v:shadow on="t" color="#525252 [1606]" opacity=".5" offset="1pt"/>
                <v:textbox>
                  <w:txbxContent>
                    <w:p w14:paraId="6C190B07" w14:textId="77777777" w:rsidR="00270E6A" w:rsidRPr="00755327" w:rsidRDefault="00270E6A" w:rsidP="002959BC">
                      <w:pPr>
                        <w:jc w:val="center"/>
                        <w:rPr>
                          <w:rFonts w:ascii="Simplified Arabic" w:hAnsi="Simplified Arabic" w:cs="Simplified Arabic"/>
                          <w:b/>
                          <w:bCs/>
                          <w:color w:val="222A35" w:themeColor="text2" w:themeShade="80"/>
                          <w:sz w:val="32"/>
                          <w:szCs w:val="32"/>
                          <w:rtl/>
                          <w:lang w:bidi="ar-EG"/>
                        </w:rPr>
                      </w:pPr>
                      <w:r w:rsidRPr="00755327">
                        <w:rPr>
                          <w:rFonts w:ascii="Simplified Arabic" w:hAnsi="Simplified Arabic" w:cs="Simplified Arabic"/>
                          <w:b/>
                          <w:bCs/>
                          <w:color w:val="222A35" w:themeColor="text2" w:themeShade="80"/>
                          <w:sz w:val="32"/>
                          <w:szCs w:val="32"/>
                          <w:rtl/>
                          <w:lang w:bidi="ar-EG"/>
                        </w:rPr>
                        <w:t>الفصـــل الثالث:</w:t>
                      </w:r>
                    </w:p>
                    <w:p w14:paraId="17C905D4" w14:textId="77777777" w:rsidR="00270E6A" w:rsidRPr="00755327" w:rsidRDefault="00270E6A" w:rsidP="002959BC">
                      <w:pPr>
                        <w:jc w:val="center"/>
                        <w:rPr>
                          <w:rFonts w:ascii="Simplified Arabic" w:hAnsi="Simplified Arabic" w:cs="Simplified Arabic"/>
                          <w:b/>
                          <w:bCs/>
                          <w:color w:val="222A35" w:themeColor="text2" w:themeShade="80"/>
                          <w:sz w:val="32"/>
                          <w:szCs w:val="32"/>
                          <w:rtl/>
                          <w:lang w:bidi="ar-EG"/>
                        </w:rPr>
                      </w:pPr>
                      <w:r w:rsidRPr="00755327">
                        <w:rPr>
                          <w:rFonts w:ascii="Simplified Arabic" w:hAnsi="Simplified Arabic" w:cs="Simplified Arabic"/>
                          <w:b/>
                          <w:bCs/>
                          <w:color w:val="222A35" w:themeColor="text2" w:themeShade="80"/>
                          <w:sz w:val="32"/>
                          <w:szCs w:val="32"/>
                          <w:rtl/>
                          <w:lang w:bidi="ar-EG"/>
                        </w:rPr>
                        <w:t>الدراسة التطبيقية للعلاقة بين</w:t>
                      </w:r>
                    </w:p>
                    <w:p w14:paraId="15F15A47" w14:textId="77777777" w:rsidR="00270E6A" w:rsidRPr="00755327" w:rsidRDefault="00270E6A" w:rsidP="002959BC">
                      <w:pPr>
                        <w:jc w:val="center"/>
                        <w:rPr>
                          <w:rFonts w:ascii="Simplified Arabic" w:hAnsi="Simplified Arabic" w:cs="Simplified Arabic"/>
                          <w:b/>
                          <w:bCs/>
                          <w:color w:val="222A35" w:themeColor="text2" w:themeShade="80"/>
                          <w:sz w:val="32"/>
                          <w:szCs w:val="32"/>
                          <w:lang w:bidi="ar-EG"/>
                        </w:rPr>
                      </w:pPr>
                      <w:r w:rsidRPr="00755327">
                        <w:rPr>
                          <w:rFonts w:ascii="Simplified Arabic" w:hAnsi="Simplified Arabic" w:cs="Simplified Arabic"/>
                          <w:b/>
                          <w:bCs/>
                          <w:color w:val="222A35" w:themeColor="text2" w:themeShade="80"/>
                          <w:sz w:val="32"/>
                          <w:szCs w:val="32"/>
                          <w:rtl/>
                          <w:lang w:bidi="ar-EG"/>
                        </w:rPr>
                        <w:t xml:space="preserve">آليات تمويل عجز الموازنة العامة والتضخم في مصر </w:t>
                      </w:r>
                    </w:p>
                  </w:txbxContent>
                </v:textbox>
                <w10:wrap anchorx="margin" anchory="margin"/>
              </v:roundrect>
            </w:pict>
          </mc:Fallback>
        </mc:AlternateContent>
      </w:r>
    </w:p>
    <w:p w14:paraId="37206585" w14:textId="77777777" w:rsidR="002959BC" w:rsidRPr="00755327" w:rsidRDefault="002959BC" w:rsidP="002959BC">
      <w:pPr>
        <w:jc w:val="both"/>
        <w:rPr>
          <w:rFonts w:ascii="Simplified Arabic" w:hAnsi="Simplified Arabic" w:cs="Simplified Arabic"/>
          <w:b/>
          <w:bCs/>
          <w:sz w:val="28"/>
          <w:szCs w:val="28"/>
          <w:rtl/>
          <w:lang w:bidi="ar-EG"/>
        </w:rPr>
      </w:pPr>
    </w:p>
    <w:p w14:paraId="70E35F61" w14:textId="77777777" w:rsidR="002959BC" w:rsidRPr="00755327" w:rsidRDefault="002959BC" w:rsidP="002959BC">
      <w:pPr>
        <w:jc w:val="both"/>
        <w:rPr>
          <w:rFonts w:ascii="Simplified Arabic" w:hAnsi="Simplified Arabic" w:cs="Simplified Arabic"/>
          <w:b/>
          <w:bCs/>
          <w:sz w:val="28"/>
          <w:szCs w:val="28"/>
          <w:lang w:bidi="ar-EG"/>
        </w:rPr>
      </w:pPr>
    </w:p>
    <w:p w14:paraId="5DCEF1B1" w14:textId="77777777" w:rsidR="002959BC" w:rsidRPr="00755327" w:rsidRDefault="002959BC" w:rsidP="002959BC">
      <w:pPr>
        <w:ind w:left="709"/>
        <w:jc w:val="both"/>
        <w:rPr>
          <w:rFonts w:ascii="Simplified Arabic" w:hAnsi="Simplified Arabic" w:cs="Simplified Arabic"/>
          <w:b/>
          <w:bCs/>
          <w:sz w:val="28"/>
          <w:szCs w:val="28"/>
          <w:lang w:bidi="ar-KW"/>
        </w:rPr>
      </w:pPr>
    </w:p>
    <w:p w14:paraId="671AEB0A" w14:textId="77777777" w:rsidR="002959BC" w:rsidRPr="00755327" w:rsidRDefault="002959BC" w:rsidP="002959BC">
      <w:pPr>
        <w:jc w:val="both"/>
        <w:rPr>
          <w:rFonts w:ascii="Simplified Arabic" w:hAnsi="Simplified Arabic" w:cs="Simplified Arabic"/>
          <w:color w:val="FF0000"/>
          <w:rtl/>
          <w:lang w:bidi="ar-EG"/>
        </w:rPr>
      </w:pPr>
    </w:p>
    <w:p w14:paraId="0EB7D360" w14:textId="77777777" w:rsidR="002959BC" w:rsidRPr="00755327" w:rsidRDefault="002959BC" w:rsidP="002959BC">
      <w:pPr>
        <w:jc w:val="both"/>
        <w:rPr>
          <w:rFonts w:ascii="Simplified Arabic" w:hAnsi="Simplified Arabic" w:cs="Simplified Arabic"/>
          <w:color w:val="FF0000"/>
          <w:rtl/>
          <w:lang w:bidi="ar-EG"/>
        </w:rPr>
      </w:pPr>
    </w:p>
    <w:p w14:paraId="3D34BD34" w14:textId="77777777" w:rsidR="002959BC" w:rsidRPr="00755327" w:rsidRDefault="002959BC" w:rsidP="002959BC">
      <w:pPr>
        <w:jc w:val="both"/>
        <w:rPr>
          <w:rFonts w:ascii="Simplified Arabic" w:hAnsi="Simplified Arabic" w:cs="Simplified Arabic"/>
          <w:color w:val="FF0000"/>
          <w:rtl/>
          <w:lang w:bidi="ar-EG"/>
        </w:rPr>
      </w:pPr>
    </w:p>
    <w:p w14:paraId="2B4B37A1" w14:textId="77777777" w:rsidR="002959BC" w:rsidRPr="00755327" w:rsidRDefault="002959BC" w:rsidP="002959BC">
      <w:pPr>
        <w:jc w:val="both"/>
        <w:rPr>
          <w:rFonts w:ascii="Simplified Arabic" w:hAnsi="Simplified Arabic" w:cs="Simplified Arabic"/>
          <w:color w:val="FF0000"/>
          <w:lang w:bidi="ar-EG"/>
        </w:rPr>
      </w:pPr>
    </w:p>
    <w:p w14:paraId="7FA1D6C1" w14:textId="77777777" w:rsidR="002959BC" w:rsidRPr="00755327" w:rsidRDefault="002959BC" w:rsidP="002959BC">
      <w:pPr>
        <w:jc w:val="both"/>
        <w:rPr>
          <w:rFonts w:ascii="Simplified Arabic" w:hAnsi="Simplified Arabic" w:cs="Simplified Arabic"/>
          <w:color w:val="FF0000"/>
          <w:rtl/>
          <w:lang w:bidi="ar-EG"/>
        </w:rPr>
      </w:pPr>
    </w:p>
    <w:p w14:paraId="7EB89DF3" w14:textId="77777777" w:rsidR="002959BC" w:rsidRPr="00755327" w:rsidRDefault="002959BC" w:rsidP="002959BC">
      <w:pPr>
        <w:jc w:val="both"/>
        <w:rPr>
          <w:rFonts w:ascii="Simplified Arabic" w:hAnsi="Simplified Arabic" w:cs="Simplified Arabic"/>
          <w:color w:val="FF0000"/>
          <w:rtl/>
          <w:lang w:bidi="ar-EG"/>
        </w:rPr>
      </w:pPr>
    </w:p>
    <w:p w14:paraId="0B906C97" w14:textId="77777777" w:rsidR="002959BC" w:rsidRPr="00755327" w:rsidRDefault="002959BC" w:rsidP="002959BC">
      <w:pPr>
        <w:jc w:val="both"/>
        <w:rPr>
          <w:rFonts w:ascii="Simplified Arabic" w:hAnsi="Simplified Arabic" w:cs="Simplified Arabic"/>
          <w:color w:val="FF0000"/>
          <w:rtl/>
          <w:lang w:bidi="ar-EG"/>
        </w:rPr>
      </w:pPr>
    </w:p>
    <w:p w14:paraId="3EA29354" w14:textId="77777777" w:rsidR="002959BC" w:rsidRPr="00755327" w:rsidRDefault="002959BC" w:rsidP="002959BC">
      <w:pPr>
        <w:jc w:val="both"/>
        <w:rPr>
          <w:rFonts w:ascii="Simplified Arabic" w:hAnsi="Simplified Arabic" w:cs="Simplified Arabic"/>
          <w:color w:val="FF0000"/>
          <w:rtl/>
          <w:lang w:bidi="ar-EG"/>
        </w:rPr>
      </w:pPr>
    </w:p>
    <w:p w14:paraId="7DFAD960" w14:textId="77777777" w:rsidR="002959BC" w:rsidRPr="00755327" w:rsidRDefault="002959BC" w:rsidP="002959BC">
      <w:pPr>
        <w:jc w:val="both"/>
        <w:rPr>
          <w:rFonts w:ascii="Simplified Arabic" w:hAnsi="Simplified Arabic" w:cs="Simplified Arabic"/>
          <w:color w:val="FF0000"/>
          <w:rtl/>
          <w:lang w:bidi="ar-EG"/>
        </w:rPr>
      </w:pPr>
    </w:p>
    <w:p w14:paraId="1B722C3E" w14:textId="77777777" w:rsidR="002959BC" w:rsidRPr="00755327" w:rsidRDefault="002959BC" w:rsidP="002959BC">
      <w:pPr>
        <w:jc w:val="both"/>
        <w:rPr>
          <w:rFonts w:ascii="Simplified Arabic" w:hAnsi="Simplified Arabic" w:cs="Simplified Arabic"/>
          <w:b/>
          <w:bCs/>
          <w:sz w:val="28"/>
          <w:szCs w:val="28"/>
          <w:lang w:bidi="ar-EG"/>
        </w:rPr>
      </w:pPr>
      <w:r w:rsidRPr="00755327">
        <w:rPr>
          <w:rFonts w:ascii="Simplified Arabic" w:hAnsi="Simplified Arabic" w:cs="Simplified Arabic"/>
          <w:b/>
          <w:bCs/>
          <w:sz w:val="28"/>
          <w:szCs w:val="28"/>
          <w:rtl/>
          <w:lang w:bidi="ar-EG"/>
        </w:rPr>
        <w:br w:type="page"/>
      </w:r>
    </w:p>
    <w:p w14:paraId="0617FD73" w14:textId="77777777" w:rsidR="002959BC" w:rsidRPr="00755327" w:rsidRDefault="002959BC" w:rsidP="002959BC">
      <w:pPr>
        <w:jc w:val="both"/>
        <w:rPr>
          <w:rFonts w:ascii="Simplified Arabic" w:hAnsi="Simplified Arabic" w:cs="Simplified Arabic"/>
          <w:b/>
          <w:bCs/>
          <w:sz w:val="30"/>
          <w:szCs w:val="30"/>
          <w:rtl/>
          <w:lang w:bidi="ar-EG"/>
        </w:rPr>
      </w:pPr>
      <w:r w:rsidRPr="00755327">
        <w:rPr>
          <w:rFonts w:ascii="Simplified Arabic" w:hAnsi="Simplified Arabic" w:cs="Simplified Arabic"/>
          <w:b/>
          <w:bCs/>
          <w:sz w:val="30"/>
          <w:szCs w:val="30"/>
          <w:rtl/>
          <w:lang w:bidi="ar-EG"/>
        </w:rPr>
        <w:lastRenderedPageBreak/>
        <w:t>تمهيد:</w:t>
      </w:r>
    </w:p>
    <w:p w14:paraId="6162DDB9" w14:textId="77777777" w:rsidR="002959BC" w:rsidRPr="00755327" w:rsidRDefault="002959BC" w:rsidP="002959BC">
      <w:pPr>
        <w:ind w:firstLine="454"/>
        <w:jc w:val="both"/>
        <w:rPr>
          <w:rFonts w:ascii="Simplified Arabic" w:hAnsi="Simplified Arabic" w:cs="Simplified Arabic"/>
          <w:sz w:val="28"/>
          <w:szCs w:val="28"/>
          <w:rtl/>
          <w:lang w:bidi="ar-EG"/>
        </w:rPr>
      </w:pPr>
      <w:r w:rsidRPr="00755327">
        <w:rPr>
          <w:rFonts w:ascii="Simplified Arabic" w:hAnsi="Simplified Arabic" w:cs="Simplified Arabic"/>
          <w:sz w:val="28"/>
          <w:szCs w:val="28"/>
          <w:rtl/>
          <w:lang w:bidi="ar-EG"/>
        </w:rPr>
        <w:t>وكما اتضح سابقاً فقد ظهر ارتباط قوي بين الآليات المختلفة لتمويل عجز الموازنة العامة للدولة والتضخم، إلا أن هذا الارتباط لا يدلل على وجود علاقة سببية بين المتغيرات فهو وإن كان يوضح مدى اقتران التغير في أحد المتغيرات بالتغير في متغير آخر، إلا أنه لا يحدد ما إذا كانت تغيرات أحدهما هي السبب في تغيرات الآخر، كما أن معرفة معامل الارتباط لا تمكننا من التنبؤ بقيمة أحد المتغيرين بدلالة آخر</w:t>
      </w:r>
      <w:r w:rsidRPr="00755327">
        <w:rPr>
          <w:rFonts w:ascii="Simplified Arabic" w:hAnsi="Simplified Arabic" w:cs="Simplified Arabic"/>
          <w:vertAlign w:val="superscript"/>
          <w:rtl/>
          <w:lang w:bidi="ar-EG"/>
        </w:rPr>
        <w:t>(</w:t>
      </w:r>
      <w:r w:rsidRPr="00755327">
        <w:rPr>
          <w:rStyle w:val="FootnoteReference"/>
          <w:rFonts w:ascii="Simplified Arabic" w:eastAsiaTheme="minorEastAsia" w:hAnsi="Simplified Arabic" w:cs="Simplified Arabic"/>
          <w:rtl/>
          <w:lang w:bidi="ar-EG"/>
        </w:rPr>
        <w:footnoteReference w:id="104"/>
      </w:r>
      <w:r w:rsidRPr="00755327">
        <w:rPr>
          <w:rFonts w:ascii="Simplified Arabic" w:hAnsi="Simplified Arabic" w:cs="Simplified Arabic"/>
          <w:vertAlign w:val="superscript"/>
          <w:rtl/>
          <w:lang w:bidi="ar-EG"/>
        </w:rPr>
        <w:t>)</w:t>
      </w:r>
      <w:r w:rsidRPr="00755327">
        <w:rPr>
          <w:rFonts w:ascii="Simplified Arabic" w:hAnsi="Simplified Arabic" w:cs="Simplified Arabic"/>
          <w:sz w:val="28"/>
          <w:szCs w:val="28"/>
          <w:rtl/>
          <w:lang w:bidi="ar-EG"/>
        </w:rPr>
        <w:t>.</w:t>
      </w:r>
    </w:p>
    <w:p w14:paraId="28E0DDD9" w14:textId="77777777" w:rsidR="002959BC" w:rsidRPr="00755327" w:rsidRDefault="002959BC" w:rsidP="002959BC">
      <w:pPr>
        <w:ind w:firstLine="454"/>
        <w:jc w:val="both"/>
        <w:rPr>
          <w:rFonts w:ascii="Simplified Arabic" w:hAnsi="Simplified Arabic" w:cs="Simplified Arabic"/>
          <w:sz w:val="24"/>
          <w:szCs w:val="24"/>
          <w:rtl/>
          <w:lang w:bidi="ar-EG"/>
        </w:rPr>
      </w:pPr>
    </w:p>
    <w:p w14:paraId="55AB86ED" w14:textId="77777777" w:rsidR="002959BC" w:rsidRPr="00755327" w:rsidRDefault="002959BC" w:rsidP="002959BC">
      <w:pPr>
        <w:ind w:firstLine="454"/>
        <w:jc w:val="both"/>
        <w:rPr>
          <w:rFonts w:ascii="Simplified Arabic" w:hAnsi="Simplified Arabic" w:cs="Simplified Arabic"/>
          <w:sz w:val="28"/>
          <w:szCs w:val="28"/>
          <w:rtl/>
          <w:lang w:bidi="ar-EG"/>
        </w:rPr>
      </w:pPr>
      <w:r w:rsidRPr="00755327">
        <w:rPr>
          <w:rFonts w:ascii="Simplified Arabic" w:hAnsi="Simplified Arabic" w:cs="Simplified Arabic"/>
          <w:sz w:val="28"/>
          <w:szCs w:val="28"/>
          <w:rtl/>
        </w:rPr>
        <w:t xml:space="preserve">ولما كان الهدف من إجراء هذا البحث هو اختبار فرضية أن هناك تأثير معنوي للآليات المالية المستخدمة لتمويل عجز الموازنة العامة على التضخم في مصر خلال فترة الدراسة وصولاً للإجابة على التساؤل الخاص بما هي أفضل آلية يمكن استخدامها لتمويل عجز الموازنة ويكون لها أقل تأثير ممكن على التضخم، </w:t>
      </w:r>
      <w:r w:rsidRPr="00755327">
        <w:rPr>
          <w:rFonts w:ascii="Simplified Arabic" w:hAnsi="Simplified Arabic" w:cs="Simplified Arabic"/>
          <w:sz w:val="28"/>
          <w:szCs w:val="28"/>
          <w:rtl/>
          <w:lang w:bidi="ar-EG"/>
        </w:rPr>
        <w:t>فسوف يتم استخدام المنهج القياسي لاختبار فرضية العلاقة بين آليات تمويل عجز الموازنة العامة للدولة والتضخم.</w:t>
      </w:r>
    </w:p>
    <w:p w14:paraId="30641BAC" w14:textId="77777777" w:rsidR="002959BC" w:rsidRPr="00755327" w:rsidRDefault="002959BC" w:rsidP="002959BC">
      <w:pPr>
        <w:ind w:firstLine="454"/>
        <w:jc w:val="both"/>
        <w:rPr>
          <w:rFonts w:ascii="Simplified Arabic" w:hAnsi="Simplified Arabic" w:cs="Simplified Arabic"/>
          <w:sz w:val="24"/>
          <w:szCs w:val="24"/>
          <w:rtl/>
          <w:lang w:bidi="ar-EG"/>
        </w:rPr>
      </w:pPr>
    </w:p>
    <w:p w14:paraId="0B866CB4" w14:textId="77777777" w:rsidR="002959BC" w:rsidRPr="00755327" w:rsidRDefault="002959BC" w:rsidP="002959BC">
      <w:pPr>
        <w:ind w:firstLine="454"/>
        <w:jc w:val="both"/>
        <w:rPr>
          <w:rFonts w:ascii="Simplified Arabic" w:hAnsi="Simplified Arabic" w:cs="Simplified Arabic"/>
          <w:sz w:val="28"/>
          <w:szCs w:val="28"/>
          <w:rtl/>
        </w:rPr>
      </w:pPr>
      <w:r w:rsidRPr="00755327">
        <w:rPr>
          <w:rFonts w:ascii="Simplified Arabic" w:hAnsi="Simplified Arabic" w:cs="Simplified Arabic"/>
          <w:sz w:val="28"/>
          <w:szCs w:val="28"/>
          <w:rtl/>
          <w:lang w:bidi="ar-EG"/>
        </w:rPr>
        <w:t>وبالتالي سوف يتم تقسيم هذا الفصل إلى مبحثين يتناول المبحث الأول استعراض مؤشرات أهم محددات التضخم في مصر خلال فترة الدراسة، وهي مجموعة العوامل التي يمكنها إحداث تغير ما في معدل التضخم خلال فترة زمنية معينة وذلك بالاعتماد على النظرية الاقتصادية والدراسات التطبيقية السابقة التي تناولت ظاهرة التضخم في مصر.</w:t>
      </w:r>
    </w:p>
    <w:p w14:paraId="3F04F95A" w14:textId="77777777" w:rsidR="002959BC" w:rsidRPr="00755327" w:rsidRDefault="002959BC" w:rsidP="002959BC">
      <w:pPr>
        <w:ind w:firstLine="454"/>
        <w:jc w:val="both"/>
        <w:rPr>
          <w:rFonts w:ascii="Simplified Arabic" w:hAnsi="Simplified Arabic" w:cs="Simplified Arabic"/>
          <w:sz w:val="24"/>
          <w:szCs w:val="24"/>
          <w:rtl/>
          <w:lang w:bidi="ar-EG"/>
        </w:rPr>
      </w:pPr>
    </w:p>
    <w:p w14:paraId="3CDEC1DE" w14:textId="77777777" w:rsidR="002959BC" w:rsidRPr="00755327" w:rsidRDefault="002959BC" w:rsidP="002959BC">
      <w:pPr>
        <w:ind w:firstLine="454"/>
        <w:jc w:val="both"/>
        <w:rPr>
          <w:rFonts w:ascii="Simplified Arabic" w:hAnsi="Simplified Arabic" w:cs="Simplified Arabic"/>
          <w:sz w:val="28"/>
          <w:szCs w:val="28"/>
          <w:rtl/>
          <w:lang w:bidi="ar-EG"/>
        </w:rPr>
      </w:pPr>
      <w:r w:rsidRPr="00755327">
        <w:rPr>
          <w:rFonts w:ascii="Simplified Arabic" w:hAnsi="Simplified Arabic" w:cs="Simplified Arabic"/>
          <w:sz w:val="28"/>
          <w:szCs w:val="28"/>
          <w:rtl/>
          <w:lang w:bidi="ar-EG"/>
        </w:rPr>
        <w:t>في حين يتناول المبحث الثاني الدراسة القياسية للعلاقة بين آليات تمويل عجز الموازنة العامة للدولة والتضخم، حيث سوف يتضمن النموذج القياسي التضخم معبراً عنه بالرقم القياسي لأسعار المستهلكين (كمتغير تابع) والآليات المالية المستخدمة لتمويل عجز الموازنة العامة للدولة (كمتغيرات مستقلة)، بالإضافة إلى أهم المتغيرات المستقلة الأخرى التي تؤثر على التضخم.</w:t>
      </w:r>
    </w:p>
    <w:p w14:paraId="48C04920" w14:textId="77777777" w:rsidR="002959BC" w:rsidRPr="00755327" w:rsidRDefault="002959BC" w:rsidP="002959BC">
      <w:pPr>
        <w:ind w:firstLine="454"/>
        <w:jc w:val="both"/>
        <w:rPr>
          <w:rFonts w:ascii="Simplified Arabic" w:hAnsi="Simplified Arabic" w:cs="Simplified Arabic"/>
          <w:sz w:val="24"/>
          <w:szCs w:val="24"/>
          <w:rtl/>
          <w:lang w:bidi="ar-EG"/>
        </w:rPr>
      </w:pPr>
    </w:p>
    <w:p w14:paraId="13C2248C" w14:textId="77777777" w:rsidR="002959BC" w:rsidRPr="00755327" w:rsidRDefault="002959BC" w:rsidP="002959BC">
      <w:pPr>
        <w:ind w:firstLine="454"/>
        <w:jc w:val="both"/>
        <w:rPr>
          <w:rFonts w:ascii="Simplified Arabic" w:hAnsi="Simplified Arabic" w:cs="Simplified Arabic"/>
          <w:b/>
          <w:bCs/>
          <w:sz w:val="28"/>
          <w:szCs w:val="28"/>
          <w:rtl/>
          <w:lang w:bidi="ar-EG"/>
        </w:rPr>
      </w:pPr>
      <w:r w:rsidRPr="00755327">
        <w:rPr>
          <w:rFonts w:ascii="Simplified Arabic" w:hAnsi="Simplified Arabic" w:cs="Simplified Arabic"/>
          <w:sz w:val="28"/>
          <w:szCs w:val="28"/>
          <w:rtl/>
          <w:lang w:bidi="ar-EG"/>
        </w:rPr>
        <w:t>وأخيراً فسوف يتم استعراض أهم النتائج التي توصلت إليها الدراسة سواء من خلال ما تناولته الدراسة في الإطار النظري أو من خلال ما قامت به الدراسة من تحليل للبيانات أو من خلال الدراسة التطبيقية، ثم يتم استعراض أهم التوصيات وفقاً لنتائج الدراسة.</w:t>
      </w:r>
    </w:p>
    <w:p w14:paraId="1A6F82EB" w14:textId="44B591AA" w:rsidR="002959BC" w:rsidRDefault="002959BC">
      <w:pPr>
        <w:bidi w:val="0"/>
        <w:spacing w:after="160" w:line="259" w:lineRule="auto"/>
        <w:rPr>
          <w:rtl/>
          <w:lang w:bidi="ar-EG"/>
        </w:rPr>
      </w:pPr>
      <w:r>
        <w:rPr>
          <w:rtl/>
          <w:lang w:bidi="ar-EG"/>
        </w:rPr>
        <w:br w:type="page"/>
      </w:r>
    </w:p>
    <w:p w14:paraId="56649AC0" w14:textId="77777777" w:rsidR="002959BC" w:rsidRPr="005E1C8B" w:rsidRDefault="002959BC" w:rsidP="002959BC">
      <w:pPr>
        <w:shd w:val="clear" w:color="auto" w:fill="C5E0B3" w:themeFill="accent6" w:themeFillTint="66"/>
        <w:ind w:firstLine="28"/>
        <w:jc w:val="center"/>
        <w:rPr>
          <w:rFonts w:ascii="Simplified Arabic" w:hAnsi="Simplified Arabic" w:cs="Simplified Arabic"/>
          <w:b/>
          <w:bCs/>
          <w:sz w:val="32"/>
          <w:szCs w:val="32"/>
          <w:rtl/>
          <w:lang w:bidi="ar-EG"/>
        </w:rPr>
      </w:pPr>
      <w:r w:rsidRPr="005E1C8B">
        <w:rPr>
          <w:rFonts w:ascii="Simplified Arabic" w:hAnsi="Simplified Arabic" w:cs="Simplified Arabic"/>
          <w:b/>
          <w:bCs/>
          <w:sz w:val="32"/>
          <w:szCs w:val="32"/>
          <w:rtl/>
          <w:lang w:bidi="ar-EG"/>
        </w:rPr>
        <w:lastRenderedPageBreak/>
        <w:t>المبحث الأول:</w:t>
      </w:r>
    </w:p>
    <w:p w14:paraId="6C91A6A4" w14:textId="77777777" w:rsidR="002959BC" w:rsidRPr="005E1C8B" w:rsidRDefault="002959BC" w:rsidP="002959BC">
      <w:pPr>
        <w:shd w:val="clear" w:color="auto" w:fill="C5E0B3" w:themeFill="accent6" w:themeFillTint="66"/>
        <w:ind w:firstLine="28"/>
        <w:jc w:val="center"/>
        <w:rPr>
          <w:rFonts w:ascii="Simplified Arabic" w:hAnsi="Simplified Arabic" w:cs="Simplified Arabic"/>
          <w:b/>
          <w:bCs/>
          <w:sz w:val="32"/>
          <w:szCs w:val="32"/>
          <w:rtl/>
          <w:lang w:bidi="ar-EG"/>
        </w:rPr>
      </w:pPr>
      <w:r w:rsidRPr="005E1C8B">
        <w:rPr>
          <w:rFonts w:ascii="Simplified Arabic" w:hAnsi="Simplified Arabic" w:cs="Simplified Arabic"/>
          <w:b/>
          <w:bCs/>
          <w:sz w:val="32"/>
          <w:szCs w:val="32"/>
          <w:rtl/>
          <w:lang w:bidi="ar-EG"/>
        </w:rPr>
        <w:t>العوامل الأساسية المؤثرة على التضخم في مصر</w:t>
      </w:r>
    </w:p>
    <w:p w14:paraId="2AB2DB30" w14:textId="77777777" w:rsidR="002959BC" w:rsidRPr="005E1C8B" w:rsidRDefault="002959BC" w:rsidP="002959BC">
      <w:pPr>
        <w:jc w:val="both"/>
        <w:rPr>
          <w:rFonts w:ascii="Simplified Arabic" w:hAnsi="Simplified Arabic" w:cs="Simplified Arabic"/>
          <w:b/>
          <w:bCs/>
          <w:sz w:val="30"/>
          <w:szCs w:val="30"/>
          <w:rtl/>
          <w:lang w:bidi="ar-EG"/>
        </w:rPr>
      </w:pPr>
      <w:r w:rsidRPr="005E1C8B">
        <w:rPr>
          <w:rFonts w:ascii="Simplified Arabic" w:hAnsi="Simplified Arabic" w:cs="Simplified Arabic"/>
          <w:b/>
          <w:bCs/>
          <w:sz w:val="30"/>
          <w:szCs w:val="30"/>
          <w:rtl/>
          <w:lang w:bidi="ar-EG"/>
        </w:rPr>
        <w:t>تمهيد:</w:t>
      </w:r>
    </w:p>
    <w:p w14:paraId="2A8F92C9" w14:textId="77777777" w:rsidR="002959BC" w:rsidRDefault="002959BC" w:rsidP="002959BC">
      <w:pPr>
        <w:ind w:firstLine="454"/>
        <w:jc w:val="both"/>
        <w:rPr>
          <w:rFonts w:ascii="Simplified Arabic" w:hAnsi="Simplified Arabic" w:cs="Simplified Arabic"/>
          <w:sz w:val="28"/>
          <w:szCs w:val="28"/>
          <w:rtl/>
          <w:lang w:bidi="ar-EG"/>
        </w:rPr>
      </w:pPr>
      <w:r w:rsidRPr="005E1C8B">
        <w:rPr>
          <w:rFonts w:ascii="Simplified Arabic" w:hAnsi="Simplified Arabic" w:cs="Simplified Arabic"/>
          <w:sz w:val="28"/>
          <w:szCs w:val="28"/>
          <w:rtl/>
          <w:lang w:bidi="ar-EG"/>
        </w:rPr>
        <w:t>وفقاً للنظرية الاقتصادية ومن واقع الدراسات السابقة وفي إطار أهداف هذا البحث سوف يتم تقدير العلاقة بين التضخم معبراً عنه بالرقم القياسي لأسعار المستهلكين</w:t>
      </w:r>
      <w:r w:rsidRPr="005E1C8B">
        <w:rPr>
          <w:rFonts w:ascii="Simplified Arabic" w:hAnsi="Simplified Arabic" w:cs="Simplified Arabic"/>
          <w:sz w:val="28"/>
          <w:szCs w:val="28"/>
          <w:vertAlign w:val="superscript"/>
          <w:rtl/>
          <w:lang w:bidi="ar-EG"/>
        </w:rPr>
        <w:t>(</w:t>
      </w:r>
      <w:r w:rsidRPr="005E1C8B">
        <w:rPr>
          <w:rStyle w:val="FootnoteReference"/>
          <w:rFonts w:ascii="Simplified Arabic" w:eastAsiaTheme="minorEastAsia" w:hAnsi="Simplified Arabic" w:cs="Simplified Arabic"/>
          <w:sz w:val="28"/>
          <w:szCs w:val="28"/>
          <w:rtl/>
          <w:lang w:bidi="ar-EG"/>
        </w:rPr>
        <w:footnoteReference w:id="105"/>
      </w:r>
      <w:r w:rsidRPr="005E1C8B">
        <w:rPr>
          <w:rFonts w:ascii="Simplified Arabic" w:hAnsi="Simplified Arabic" w:cs="Simplified Arabic"/>
          <w:sz w:val="28"/>
          <w:szCs w:val="28"/>
          <w:vertAlign w:val="superscript"/>
          <w:rtl/>
          <w:lang w:bidi="ar-EG"/>
        </w:rPr>
        <w:t>)</w:t>
      </w:r>
      <w:r w:rsidRPr="005E1C8B">
        <w:rPr>
          <w:rFonts w:ascii="Simplified Arabic" w:hAnsi="Simplified Arabic" w:cs="Simplified Arabic"/>
          <w:sz w:val="28"/>
          <w:szCs w:val="28"/>
          <w:rtl/>
          <w:lang w:bidi="ar-EG"/>
        </w:rPr>
        <w:t xml:space="preserve"> (المتغير التابع) وعدداً من المتغيرات الاقتصادية (المتغيرات المستقلة) وهي الآليات المالية المستخدمة في تمويل عجز الموازنة العامة للدولة، وأسعار الواردات </w:t>
      </w:r>
      <w:r w:rsidRPr="005E1C8B">
        <w:rPr>
          <w:rFonts w:ascii="Simplified Arabic" w:hAnsi="Simplified Arabic" w:cs="Simplified Arabic"/>
          <w:sz w:val="28"/>
          <w:szCs w:val="28"/>
          <w:rtl/>
        </w:rPr>
        <w:t>بالأسعار المحلية الثابتة،</w:t>
      </w:r>
      <w:r w:rsidRPr="005E1C8B">
        <w:rPr>
          <w:rFonts w:ascii="Simplified Arabic" w:hAnsi="Simplified Arabic" w:cs="Simplified Arabic"/>
          <w:sz w:val="28"/>
          <w:szCs w:val="28"/>
          <w:rtl/>
          <w:lang w:bidi="ar-EG"/>
        </w:rPr>
        <w:t xml:space="preserve"> وعرض النقود نسبة إلى الناتج المحلي الإجمالي، وسعر صرف الجنيه مقابل الدولار</w:t>
      </w:r>
      <w:r w:rsidRPr="005E1C8B">
        <w:rPr>
          <w:rFonts w:ascii="Simplified Arabic" w:hAnsi="Simplified Arabic" w:cs="Simplified Arabic"/>
          <w:sz w:val="28"/>
          <w:szCs w:val="28"/>
          <w:rtl/>
        </w:rPr>
        <w:t>،</w:t>
      </w:r>
      <w:r w:rsidRPr="005E1C8B">
        <w:rPr>
          <w:rFonts w:ascii="Simplified Arabic" w:hAnsi="Simplified Arabic" w:cs="Simplified Arabic"/>
          <w:sz w:val="28"/>
          <w:szCs w:val="28"/>
          <w:rtl/>
          <w:lang w:bidi="ar-EG"/>
        </w:rPr>
        <w:t xml:space="preserve"> ومتغير وهمي يشير إلى الاستقرار السياسي، وسوف نتناول هذه المتغيرات ومؤشراتها خلال الفترة من عام 1991 وحتى عام 2016.</w:t>
      </w:r>
    </w:p>
    <w:p w14:paraId="60FEF465" w14:textId="77777777" w:rsidR="002959BC" w:rsidRPr="005E1C8B" w:rsidRDefault="002959BC" w:rsidP="002959BC">
      <w:pPr>
        <w:ind w:firstLine="454"/>
        <w:jc w:val="both"/>
        <w:rPr>
          <w:rFonts w:ascii="Simplified Arabic" w:hAnsi="Simplified Arabic" w:cs="Simplified Arabic"/>
          <w:sz w:val="28"/>
          <w:szCs w:val="28"/>
          <w:rtl/>
          <w:lang w:bidi="ar-EG"/>
        </w:rPr>
      </w:pPr>
    </w:p>
    <w:p w14:paraId="2FF2BC8E" w14:textId="77777777" w:rsidR="002959BC" w:rsidRPr="00B8576D" w:rsidRDefault="002959BC" w:rsidP="0041332D">
      <w:pPr>
        <w:pStyle w:val="ListParagraph"/>
        <w:numPr>
          <w:ilvl w:val="0"/>
          <w:numId w:val="36"/>
        </w:numPr>
        <w:spacing w:after="0" w:line="240" w:lineRule="auto"/>
        <w:ind w:left="357" w:hanging="357"/>
        <w:contextualSpacing w:val="0"/>
        <w:jc w:val="both"/>
        <w:rPr>
          <w:rFonts w:ascii="Simplified Arabic" w:hAnsi="Simplified Arabic" w:cs="Simplified Arabic"/>
          <w:b/>
          <w:bCs/>
          <w:sz w:val="28"/>
          <w:szCs w:val="28"/>
          <w:u w:val="single"/>
          <w:lang w:bidi="ar-EG"/>
        </w:rPr>
      </w:pPr>
      <w:r w:rsidRPr="00B8576D">
        <w:rPr>
          <w:rFonts w:ascii="Simplified Arabic" w:hAnsi="Simplified Arabic" w:cs="Simplified Arabic"/>
          <w:b/>
          <w:bCs/>
          <w:sz w:val="28"/>
          <w:szCs w:val="28"/>
          <w:u w:val="single"/>
          <w:rtl/>
          <w:lang w:bidi="ar-EG"/>
        </w:rPr>
        <w:t>الرقم القياسي لأسعار المستهلكين (</w:t>
      </w:r>
      <w:r w:rsidRPr="00B8576D">
        <w:rPr>
          <w:rFonts w:ascii="Simplified Arabic" w:hAnsi="Simplified Arabic" w:cs="Simplified Arabic"/>
          <w:b/>
          <w:bCs/>
          <w:sz w:val="28"/>
          <w:szCs w:val="28"/>
          <w:u w:val="single"/>
          <w:lang w:bidi="ar-EG"/>
        </w:rPr>
        <w:t>CPI</w:t>
      </w:r>
      <w:r w:rsidRPr="00B8576D">
        <w:rPr>
          <w:rFonts w:ascii="Simplified Arabic" w:hAnsi="Simplified Arabic" w:cs="Simplified Arabic"/>
          <w:b/>
          <w:bCs/>
          <w:sz w:val="28"/>
          <w:szCs w:val="28"/>
          <w:u w:val="single"/>
          <w:rtl/>
          <w:lang w:bidi="ar-EG"/>
        </w:rPr>
        <w:t>):</w:t>
      </w:r>
    </w:p>
    <w:p w14:paraId="0E3862B7" w14:textId="77777777" w:rsidR="002959BC" w:rsidRPr="005E1C8B" w:rsidRDefault="002959BC" w:rsidP="002959BC">
      <w:pPr>
        <w:ind w:firstLine="45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وحيث أن معدلات التضخم تعتمد على التغيير السنوي في الرقم القياسي لأسعار المستهلكين، فسوف يمثل</w:t>
      </w:r>
      <w:r w:rsidRPr="005E1C8B">
        <w:rPr>
          <w:rFonts w:ascii="Simplified Arabic" w:hAnsi="Simplified Arabic" w:cs="Simplified Arabic"/>
          <w:sz w:val="28"/>
          <w:szCs w:val="28"/>
          <w:rtl/>
          <w:lang w:bidi="ar-EG"/>
        </w:rPr>
        <w:t xml:space="preserve"> التضخم معبراً عنه بالرقم القياسي لأسعار المستهلكين المتغير التابع المطلوب اختبار معنوية تأثره بالآليات المالية المستخدمة لتمويل عجز الموازنة العامة للدولة، وقد تم تناول بياناته تفصيلاً وتحليلاً بالفصل الثاني من هذه الدراسة. </w:t>
      </w:r>
    </w:p>
    <w:p w14:paraId="242FB2C4" w14:textId="77777777" w:rsidR="002959BC" w:rsidRPr="001C5D9B"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r w:rsidRPr="001C5D9B">
        <w:rPr>
          <w:rFonts w:ascii="Simplified Arabic" w:eastAsia="Times New Roman" w:hAnsi="Simplified Arabic" w:cs="Simplified Arabic"/>
          <w:b/>
          <w:bCs/>
          <w:sz w:val="24"/>
          <w:szCs w:val="24"/>
          <w:rtl/>
        </w:rPr>
        <w:t>شكل رقم (3-1)</w:t>
      </w:r>
    </w:p>
    <w:p w14:paraId="54E9CA17" w14:textId="77777777" w:rsidR="002959BC" w:rsidRPr="001C5D9B"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r w:rsidRPr="001C5D9B">
        <w:rPr>
          <w:rFonts w:ascii="Simplified Arabic" w:eastAsia="Times New Roman" w:hAnsi="Simplified Arabic" w:cs="Simplified Arabic"/>
          <w:b/>
          <w:bCs/>
          <w:sz w:val="24"/>
          <w:szCs w:val="24"/>
          <w:rtl/>
        </w:rPr>
        <w:t>تطور الرقم القياسي لأسعار المستهلكين في مصر</w:t>
      </w:r>
    </w:p>
    <w:p w14:paraId="27FAB9BC" w14:textId="77777777" w:rsidR="002959BC" w:rsidRPr="001C5D9B"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r w:rsidRPr="001C5D9B">
        <w:rPr>
          <w:rFonts w:ascii="Simplified Arabic" w:eastAsia="Times New Roman" w:hAnsi="Simplified Arabic" w:cs="Simplified Arabic"/>
          <w:b/>
          <w:bCs/>
          <w:sz w:val="24"/>
          <w:szCs w:val="24"/>
          <w:rtl/>
        </w:rPr>
        <w:t>خلال الفترة من العام المالي 1991/1992 إلى العام المالي 2018/2019</w:t>
      </w:r>
    </w:p>
    <w:p w14:paraId="58B431EB" w14:textId="77777777" w:rsidR="002959BC" w:rsidRPr="005E1C8B" w:rsidRDefault="002959BC" w:rsidP="002959BC">
      <w:pPr>
        <w:jc w:val="both"/>
        <w:rPr>
          <w:rFonts w:ascii="Simplified Arabic" w:hAnsi="Simplified Arabic" w:cs="Simplified Arabic"/>
          <w:sz w:val="28"/>
          <w:szCs w:val="28"/>
          <w:rtl/>
        </w:rPr>
      </w:pPr>
      <w:r w:rsidRPr="005E1C8B">
        <w:rPr>
          <w:rFonts w:ascii="Simplified Arabic" w:hAnsi="Simplified Arabic" w:cs="Simplified Arabic"/>
          <w:sz w:val="28"/>
          <w:szCs w:val="28"/>
        </w:rPr>
        <w:drawing>
          <wp:inline distT="0" distB="0" distL="0" distR="0" wp14:anchorId="6F5377F4" wp14:editId="702DC53F">
            <wp:extent cx="5396948" cy="2733261"/>
            <wp:effectExtent l="0" t="0" r="13335" b="10160"/>
            <wp:docPr id="144" name="Chart 144">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3EBEF4C" w14:textId="089AE00B" w:rsidR="002959BC" w:rsidRPr="00B8576D" w:rsidRDefault="002959BC" w:rsidP="002959BC">
      <w:pPr>
        <w:jc w:val="both"/>
        <w:rPr>
          <w:rFonts w:ascii="Simplified Arabic" w:hAnsi="Simplified Arabic" w:cs="Simplified Arabic"/>
          <w:sz w:val="24"/>
          <w:szCs w:val="24"/>
          <w:rtl/>
        </w:rPr>
      </w:pPr>
      <w:r w:rsidRPr="00B8576D">
        <w:rPr>
          <w:rFonts w:ascii="Simplified Arabic" w:hAnsi="Simplified Arabic" w:cs="Simplified Arabic"/>
          <w:sz w:val="24"/>
          <w:szCs w:val="24"/>
          <w:rtl/>
        </w:rPr>
        <w:t>المصدر: من إعداد الباحث بالاعتماد على بيانات الجدول رقم (4-5) من الملحق الإحصائي.</w:t>
      </w:r>
    </w:p>
    <w:p w14:paraId="5D47F1CD" w14:textId="77777777" w:rsidR="002959BC" w:rsidRDefault="002959BC" w:rsidP="002959BC">
      <w:pPr>
        <w:pStyle w:val="ListParagraph"/>
        <w:spacing w:after="0" w:line="240" w:lineRule="auto"/>
        <w:ind w:left="357"/>
        <w:contextualSpacing w:val="0"/>
        <w:jc w:val="both"/>
        <w:rPr>
          <w:rFonts w:ascii="Simplified Arabic" w:hAnsi="Simplified Arabic" w:cs="Simplified Arabic"/>
          <w:b/>
          <w:bCs/>
          <w:sz w:val="28"/>
          <w:szCs w:val="28"/>
          <w:u w:val="single"/>
          <w:lang w:bidi="ar-EG"/>
        </w:rPr>
      </w:pPr>
    </w:p>
    <w:p w14:paraId="2C143258" w14:textId="77777777" w:rsidR="002959BC" w:rsidRPr="00B8576D" w:rsidRDefault="002959BC" w:rsidP="0041332D">
      <w:pPr>
        <w:pStyle w:val="ListParagraph"/>
        <w:numPr>
          <w:ilvl w:val="0"/>
          <w:numId w:val="36"/>
        </w:numPr>
        <w:spacing w:after="0" w:line="240" w:lineRule="auto"/>
        <w:ind w:left="357" w:hanging="357"/>
        <w:contextualSpacing w:val="0"/>
        <w:jc w:val="both"/>
        <w:rPr>
          <w:rFonts w:ascii="Simplified Arabic" w:hAnsi="Simplified Arabic" w:cs="Simplified Arabic"/>
          <w:b/>
          <w:bCs/>
          <w:sz w:val="28"/>
          <w:szCs w:val="28"/>
          <w:u w:val="single"/>
          <w:lang w:bidi="ar-EG"/>
        </w:rPr>
      </w:pPr>
      <w:r w:rsidRPr="00B8576D">
        <w:rPr>
          <w:rFonts w:ascii="Simplified Arabic" w:hAnsi="Simplified Arabic" w:cs="Simplified Arabic"/>
          <w:b/>
          <w:bCs/>
          <w:sz w:val="28"/>
          <w:szCs w:val="28"/>
          <w:u w:val="single"/>
          <w:rtl/>
          <w:lang w:bidi="ar-EG"/>
        </w:rPr>
        <w:lastRenderedPageBreak/>
        <w:t>الآليات المالية المستخدمة في تمويل عجز الموازنة العامة للدولة:</w:t>
      </w:r>
    </w:p>
    <w:p w14:paraId="1DDC30E3" w14:textId="77777777" w:rsidR="002959BC" w:rsidRPr="005E1C8B" w:rsidRDefault="002959BC" w:rsidP="002959BC">
      <w:pPr>
        <w:ind w:firstLine="454"/>
        <w:jc w:val="both"/>
        <w:rPr>
          <w:rFonts w:ascii="Simplified Arabic" w:hAnsi="Simplified Arabic" w:cs="Simplified Arabic"/>
          <w:sz w:val="28"/>
          <w:szCs w:val="28"/>
          <w:rtl/>
        </w:rPr>
      </w:pPr>
      <w:r w:rsidRPr="005E1C8B">
        <w:rPr>
          <w:rFonts w:ascii="Simplified Arabic" w:hAnsi="Simplified Arabic" w:cs="Simplified Arabic"/>
          <w:sz w:val="28"/>
          <w:szCs w:val="28"/>
          <w:rtl/>
        </w:rPr>
        <w:t>تتعدد الآليات المالية المستخدمة في تمويل عجز الموازنة العامة للدولة ما بين التمويل المحلي المصرفي (</w:t>
      </w:r>
      <w:r w:rsidRPr="005E1C8B">
        <w:rPr>
          <w:rFonts w:ascii="Simplified Arabic" w:hAnsi="Simplified Arabic" w:cs="Simplified Arabic"/>
          <w:sz w:val="28"/>
          <w:szCs w:val="28"/>
          <w:lang w:bidi="ar-EG"/>
        </w:rPr>
        <w:t>DB</w:t>
      </w:r>
      <w:r w:rsidRPr="005E1C8B">
        <w:rPr>
          <w:rFonts w:ascii="Simplified Arabic" w:hAnsi="Simplified Arabic" w:cs="Simplified Arabic"/>
          <w:sz w:val="28"/>
          <w:szCs w:val="28"/>
          <w:rtl/>
        </w:rPr>
        <w:t>)، والتمويل المحلي غير المصرفي (</w:t>
      </w:r>
      <w:r w:rsidRPr="005E1C8B">
        <w:rPr>
          <w:rFonts w:ascii="Simplified Arabic" w:hAnsi="Simplified Arabic" w:cs="Simplified Arabic"/>
          <w:sz w:val="28"/>
          <w:szCs w:val="28"/>
          <w:lang w:bidi="ar-EG"/>
        </w:rPr>
        <w:t>DNB</w:t>
      </w:r>
      <w:r w:rsidRPr="005E1C8B">
        <w:rPr>
          <w:rFonts w:ascii="Simplified Arabic" w:hAnsi="Simplified Arabic" w:cs="Simplified Arabic"/>
          <w:sz w:val="28"/>
          <w:szCs w:val="28"/>
          <w:rtl/>
        </w:rPr>
        <w:t>)، والتمويل الخارجي (</w:t>
      </w:r>
      <w:r w:rsidRPr="005E1C8B">
        <w:rPr>
          <w:rFonts w:ascii="Simplified Arabic" w:hAnsi="Simplified Arabic" w:cs="Simplified Arabic"/>
          <w:sz w:val="28"/>
          <w:szCs w:val="28"/>
          <w:lang w:bidi="ar-EG"/>
        </w:rPr>
        <w:t>XF</w:t>
      </w:r>
      <w:r w:rsidRPr="005E1C8B">
        <w:rPr>
          <w:rFonts w:ascii="Simplified Arabic" w:hAnsi="Simplified Arabic" w:cs="Simplified Arabic"/>
          <w:sz w:val="28"/>
          <w:szCs w:val="28"/>
          <w:rtl/>
        </w:rPr>
        <w:t>)، ويتم الاعتماد على هذه الآليات وفقاً لمحددات إتاحة كل مصدر من هذه المصادر والتكلفة الناتجة عن استخدامها، كما أن لكل من هذه المصادر آثاراً سلبية على متغيرات الاقتصاد الكلي وخاصة التضخم.</w:t>
      </w:r>
    </w:p>
    <w:p w14:paraId="234C42EB" w14:textId="77777777" w:rsidR="002959BC" w:rsidRPr="005E1C8B" w:rsidRDefault="002959BC" w:rsidP="002959BC">
      <w:pPr>
        <w:ind w:firstLine="454"/>
        <w:jc w:val="both"/>
        <w:rPr>
          <w:rFonts w:ascii="Simplified Arabic" w:hAnsi="Simplified Arabic" w:cs="Simplified Arabic"/>
          <w:sz w:val="28"/>
          <w:szCs w:val="28"/>
          <w:rtl/>
        </w:rPr>
      </w:pPr>
      <w:r w:rsidRPr="005E1C8B">
        <w:rPr>
          <w:rFonts w:ascii="Simplified Arabic" w:hAnsi="Simplified Arabic" w:cs="Simplified Arabic"/>
          <w:sz w:val="28"/>
          <w:szCs w:val="28"/>
          <w:rtl/>
        </w:rPr>
        <w:t xml:space="preserve"> </w:t>
      </w:r>
    </w:p>
    <w:p w14:paraId="3FAFEBAA" w14:textId="77777777" w:rsidR="002959BC" w:rsidRDefault="002959BC" w:rsidP="002959BC">
      <w:pPr>
        <w:ind w:firstLine="454"/>
        <w:jc w:val="both"/>
        <w:rPr>
          <w:rFonts w:ascii="Simplified Arabic" w:hAnsi="Simplified Arabic" w:cs="Simplified Arabic"/>
          <w:sz w:val="28"/>
          <w:szCs w:val="28"/>
          <w:rtl/>
        </w:rPr>
      </w:pPr>
      <w:r w:rsidRPr="005E1C8B">
        <w:rPr>
          <w:rFonts w:ascii="Simplified Arabic" w:hAnsi="Simplified Arabic" w:cs="Simplified Arabic"/>
          <w:sz w:val="28"/>
          <w:szCs w:val="28"/>
          <w:rtl/>
        </w:rPr>
        <w:t>وكما سبق بيانه فإن التأثير التضخمي لعجز الموازنة العامة للدولة إنما يعتمد على أثر هذا العجز على الطلب الكلي وعلى الطريقة التي يتم بها تمويل العجز</w:t>
      </w:r>
      <w:r w:rsidRPr="005E1C8B">
        <w:rPr>
          <w:rFonts w:ascii="Simplified Arabic" w:hAnsi="Simplified Arabic" w:cs="Simplified Arabic"/>
          <w:sz w:val="28"/>
          <w:szCs w:val="28"/>
          <w:vertAlign w:val="superscript"/>
          <w:rtl/>
          <w:lang w:bidi="ar-EG"/>
        </w:rPr>
        <w:t>(</w:t>
      </w:r>
      <w:r w:rsidRPr="005E1C8B">
        <w:rPr>
          <w:rStyle w:val="FootnoteReference"/>
          <w:rFonts w:ascii="Simplified Arabic" w:eastAsiaTheme="minorEastAsia" w:hAnsi="Simplified Arabic" w:cs="Simplified Arabic"/>
          <w:sz w:val="28"/>
          <w:szCs w:val="28"/>
          <w:rtl/>
          <w:lang w:bidi="ar-EG"/>
        </w:rPr>
        <w:footnoteReference w:id="106"/>
      </w:r>
      <w:r w:rsidRPr="005E1C8B">
        <w:rPr>
          <w:rFonts w:ascii="Simplified Arabic" w:hAnsi="Simplified Arabic" w:cs="Simplified Arabic"/>
          <w:sz w:val="28"/>
          <w:szCs w:val="28"/>
          <w:vertAlign w:val="superscript"/>
          <w:rtl/>
          <w:lang w:bidi="ar-EG"/>
        </w:rPr>
        <w:t>)</w:t>
      </w:r>
      <w:r w:rsidRPr="005E1C8B">
        <w:rPr>
          <w:rFonts w:ascii="Simplified Arabic" w:hAnsi="Simplified Arabic" w:cs="Simplified Arabic"/>
          <w:sz w:val="28"/>
          <w:szCs w:val="28"/>
          <w:rtl/>
        </w:rPr>
        <w:t xml:space="preserve">. ولذلك فسوف يتضمن النموذج القياسي آليات </w:t>
      </w:r>
      <w:r w:rsidRPr="005E1C8B">
        <w:rPr>
          <w:rFonts w:ascii="Simplified Arabic" w:hAnsi="Simplified Arabic" w:cs="Simplified Arabic"/>
          <w:sz w:val="28"/>
          <w:szCs w:val="28"/>
          <w:rtl/>
          <w:lang w:bidi="ar-EG"/>
        </w:rPr>
        <w:t>التمويل</w:t>
      </w:r>
      <w:r w:rsidRPr="005E1C8B">
        <w:rPr>
          <w:rFonts w:ascii="Simplified Arabic" w:hAnsi="Simplified Arabic" w:cs="Simplified Arabic"/>
          <w:sz w:val="28"/>
          <w:szCs w:val="28"/>
          <w:rtl/>
        </w:rPr>
        <w:t xml:space="preserve"> المستخدمة في تمويل عجز الموازنة العامة للدولة وذلك لمعرفة أياً من هذه الآليات له أقل تأثير ممكن على </w:t>
      </w:r>
      <w:r w:rsidRPr="005E1C8B">
        <w:rPr>
          <w:rFonts w:ascii="Simplified Arabic" w:hAnsi="Simplified Arabic" w:cs="Simplified Arabic"/>
          <w:sz w:val="28"/>
          <w:szCs w:val="28"/>
          <w:rtl/>
          <w:lang w:bidi="ar-EG"/>
        </w:rPr>
        <w:t xml:space="preserve">التضخم معبراً عنه بالرقم القياسي لأسعار المستهلكين </w:t>
      </w:r>
      <w:r w:rsidRPr="005E1C8B">
        <w:rPr>
          <w:rFonts w:ascii="Simplified Arabic" w:hAnsi="Simplified Arabic" w:cs="Simplified Arabic"/>
          <w:sz w:val="28"/>
          <w:szCs w:val="28"/>
          <w:rtl/>
        </w:rPr>
        <w:t>وبالتالي يمكن الاعتماد عليه أكثر من غيره في تمويل عجز الموازنة العامة للدولة للحد من خطر التضخم وما يرتبط به من آثار سلبية، وقد سبق تناول هذه الآليات تفصيلاً وتحليلاً بالفصل الثاني من هذه الدراسة.</w:t>
      </w:r>
    </w:p>
    <w:p w14:paraId="5AF0BEBC" w14:textId="77777777" w:rsidR="002959BC" w:rsidRPr="005E1C8B" w:rsidRDefault="002959BC" w:rsidP="002959BC">
      <w:pPr>
        <w:ind w:firstLine="454"/>
        <w:jc w:val="both"/>
        <w:rPr>
          <w:rFonts w:ascii="Simplified Arabic" w:hAnsi="Simplified Arabic" w:cs="Simplified Arabic"/>
          <w:sz w:val="28"/>
          <w:szCs w:val="28"/>
          <w:rtl/>
        </w:rPr>
      </w:pPr>
    </w:p>
    <w:p w14:paraId="60D2144D" w14:textId="77777777" w:rsidR="002959BC" w:rsidRPr="00B8576D" w:rsidRDefault="002959BC" w:rsidP="002959BC">
      <w:pPr>
        <w:ind w:firstLine="454"/>
        <w:jc w:val="both"/>
        <w:rPr>
          <w:rFonts w:ascii="Simplified Arabic" w:hAnsi="Simplified Arabic" w:cs="Simplified Arabic"/>
          <w:sz w:val="8"/>
          <w:szCs w:val="8"/>
          <w:rtl/>
        </w:rPr>
      </w:pPr>
    </w:p>
    <w:p w14:paraId="7661BE4A" w14:textId="77777777" w:rsidR="002959BC" w:rsidRPr="001C5D9B"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r w:rsidRPr="001C5D9B">
        <w:rPr>
          <w:rFonts w:ascii="Simplified Arabic" w:eastAsia="Times New Roman" w:hAnsi="Simplified Arabic" w:cs="Simplified Arabic"/>
          <w:b/>
          <w:bCs/>
          <w:sz w:val="24"/>
          <w:szCs w:val="24"/>
          <w:rtl/>
        </w:rPr>
        <w:t>شكل رقم (3-2)</w:t>
      </w:r>
    </w:p>
    <w:p w14:paraId="1ECE0170" w14:textId="77777777" w:rsidR="002959BC" w:rsidRPr="001C5D9B"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Pr>
      </w:pPr>
      <w:r w:rsidRPr="001C5D9B">
        <w:rPr>
          <w:rFonts w:ascii="Simplified Arabic" w:eastAsia="Times New Roman" w:hAnsi="Simplified Arabic" w:cs="Simplified Arabic"/>
          <w:b/>
          <w:bCs/>
          <w:sz w:val="24"/>
          <w:szCs w:val="24"/>
          <w:rtl/>
        </w:rPr>
        <w:t>تطور آليات تمويل عجز الموازنة العامة للدولة والرقم القياسي لأسعار المستهلكين</w:t>
      </w:r>
    </w:p>
    <w:p w14:paraId="6019F689" w14:textId="77777777" w:rsidR="002959BC" w:rsidRPr="001C5D9B"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r w:rsidRPr="001C5D9B">
        <w:rPr>
          <w:rFonts w:ascii="Simplified Arabic" w:eastAsia="Times New Roman" w:hAnsi="Simplified Arabic" w:cs="Simplified Arabic"/>
          <w:b/>
          <w:bCs/>
          <w:sz w:val="24"/>
          <w:szCs w:val="24"/>
          <w:rtl/>
        </w:rPr>
        <w:t>خلال الفترة من العام المالي 1991/1992 إلى العام المالي 2018/2019</w:t>
      </w:r>
    </w:p>
    <w:p w14:paraId="5F13BF3B" w14:textId="77777777" w:rsidR="002959BC" w:rsidRPr="005E1C8B" w:rsidRDefault="002959BC" w:rsidP="002959BC">
      <w:pPr>
        <w:ind w:firstLine="28"/>
        <w:jc w:val="both"/>
        <w:rPr>
          <w:rFonts w:ascii="Simplified Arabic" w:hAnsi="Simplified Arabic" w:cs="Simplified Arabic"/>
          <w:sz w:val="28"/>
          <w:szCs w:val="28"/>
          <w:rtl/>
        </w:rPr>
      </w:pPr>
      <w:r w:rsidRPr="005E1C8B">
        <w:rPr>
          <w:rFonts w:ascii="Simplified Arabic" w:hAnsi="Simplified Arabic" w:cs="Simplified Arabic"/>
          <w:sz w:val="28"/>
          <w:szCs w:val="28"/>
        </w:rPr>
        <w:drawing>
          <wp:inline distT="0" distB="0" distL="0" distR="0" wp14:anchorId="3D68AEBD" wp14:editId="740453A9">
            <wp:extent cx="5505450" cy="3059430"/>
            <wp:effectExtent l="0" t="0" r="0" b="7620"/>
            <wp:docPr id="145" name="Chart 145">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39C35FE" w14:textId="77777777" w:rsidR="002959BC" w:rsidRPr="00B8576D" w:rsidRDefault="002959BC" w:rsidP="002959BC">
      <w:pPr>
        <w:ind w:firstLine="28"/>
        <w:jc w:val="both"/>
        <w:rPr>
          <w:rFonts w:ascii="Simplified Arabic" w:hAnsi="Simplified Arabic" w:cs="Simplified Arabic"/>
          <w:sz w:val="24"/>
          <w:szCs w:val="24"/>
          <w:rtl/>
        </w:rPr>
      </w:pPr>
      <w:r w:rsidRPr="00B8576D">
        <w:rPr>
          <w:rFonts w:ascii="Simplified Arabic" w:hAnsi="Simplified Arabic" w:cs="Simplified Arabic"/>
          <w:sz w:val="24"/>
          <w:szCs w:val="24"/>
          <w:rtl/>
        </w:rPr>
        <w:t>المصدر: من إعداد الباحث بالاعتماد على بيانات الجدول رقم (4-5) من الملحق الإحصائي</w:t>
      </w:r>
      <w:r w:rsidRPr="00B8576D">
        <w:rPr>
          <w:rFonts w:ascii="Simplified Arabic" w:hAnsi="Simplified Arabic" w:cs="Simplified Arabic"/>
          <w:sz w:val="24"/>
          <w:szCs w:val="24"/>
          <w:vertAlign w:val="superscript"/>
          <w:rtl/>
          <w:lang w:bidi="ar-EG"/>
        </w:rPr>
        <w:t>(</w:t>
      </w:r>
      <w:r w:rsidRPr="00B8576D">
        <w:rPr>
          <w:rStyle w:val="FootnoteReference"/>
          <w:rFonts w:ascii="Simplified Arabic" w:eastAsiaTheme="minorEastAsia" w:hAnsi="Simplified Arabic" w:cs="Simplified Arabic"/>
          <w:sz w:val="24"/>
          <w:szCs w:val="24"/>
          <w:rtl/>
          <w:lang w:bidi="ar-EG"/>
        </w:rPr>
        <w:footnoteReference w:id="107"/>
      </w:r>
      <w:r w:rsidRPr="00B8576D">
        <w:rPr>
          <w:rFonts w:ascii="Simplified Arabic" w:hAnsi="Simplified Arabic" w:cs="Simplified Arabic"/>
          <w:sz w:val="24"/>
          <w:szCs w:val="24"/>
          <w:vertAlign w:val="superscript"/>
          <w:rtl/>
          <w:lang w:bidi="ar-EG"/>
        </w:rPr>
        <w:t>)</w:t>
      </w:r>
      <w:r w:rsidRPr="00B8576D">
        <w:rPr>
          <w:rFonts w:ascii="Simplified Arabic" w:hAnsi="Simplified Arabic" w:cs="Simplified Arabic"/>
          <w:sz w:val="24"/>
          <w:szCs w:val="24"/>
          <w:rtl/>
        </w:rPr>
        <w:t>.</w:t>
      </w:r>
    </w:p>
    <w:p w14:paraId="6AD018E7" w14:textId="77777777" w:rsidR="002959BC" w:rsidRPr="001C5D9B" w:rsidRDefault="002959BC" w:rsidP="002959BC">
      <w:pPr>
        <w:jc w:val="both"/>
        <w:rPr>
          <w:rFonts w:ascii="Simplified Arabic" w:hAnsi="Simplified Arabic" w:cs="Simplified Arabic"/>
          <w:b/>
          <w:bCs/>
          <w:sz w:val="28"/>
          <w:szCs w:val="28"/>
          <w:u w:val="single"/>
          <w:lang w:bidi="ar-EG"/>
        </w:rPr>
      </w:pPr>
    </w:p>
    <w:p w14:paraId="4C5848A2" w14:textId="77777777" w:rsidR="002959BC" w:rsidRPr="00B8576D" w:rsidRDefault="002959BC" w:rsidP="0041332D">
      <w:pPr>
        <w:pStyle w:val="ListParagraph"/>
        <w:numPr>
          <w:ilvl w:val="0"/>
          <w:numId w:val="36"/>
        </w:numPr>
        <w:spacing w:after="0" w:line="240" w:lineRule="auto"/>
        <w:ind w:left="357" w:hanging="357"/>
        <w:contextualSpacing w:val="0"/>
        <w:jc w:val="both"/>
        <w:rPr>
          <w:rFonts w:ascii="Simplified Arabic" w:hAnsi="Simplified Arabic" w:cs="Simplified Arabic"/>
          <w:b/>
          <w:bCs/>
          <w:sz w:val="28"/>
          <w:szCs w:val="28"/>
          <w:u w:val="single"/>
          <w:lang w:bidi="ar-EG"/>
        </w:rPr>
      </w:pPr>
      <w:r w:rsidRPr="00B8576D">
        <w:rPr>
          <w:rFonts w:ascii="Simplified Arabic" w:hAnsi="Simplified Arabic" w:cs="Simplified Arabic"/>
          <w:b/>
          <w:bCs/>
          <w:sz w:val="28"/>
          <w:szCs w:val="28"/>
          <w:u w:val="single"/>
          <w:rtl/>
          <w:lang w:bidi="ar-EG"/>
        </w:rPr>
        <w:t>أسعار الواردات بالأسعار المحلية الثابتة (</w:t>
      </w:r>
      <w:r w:rsidRPr="00B8576D">
        <w:rPr>
          <w:rFonts w:ascii="Simplified Arabic" w:hAnsi="Simplified Arabic" w:cs="Simplified Arabic"/>
          <w:b/>
          <w:bCs/>
          <w:sz w:val="28"/>
          <w:szCs w:val="28"/>
          <w:u w:val="single"/>
          <w:lang w:bidi="ar-EG"/>
        </w:rPr>
        <w:t>XP</w:t>
      </w:r>
      <w:r w:rsidRPr="00B8576D">
        <w:rPr>
          <w:rFonts w:ascii="Simplified Arabic" w:hAnsi="Simplified Arabic" w:cs="Simplified Arabic"/>
          <w:b/>
          <w:bCs/>
          <w:sz w:val="28"/>
          <w:szCs w:val="28"/>
          <w:u w:val="single"/>
          <w:rtl/>
          <w:lang w:bidi="ar-EG"/>
        </w:rPr>
        <w:t xml:space="preserve">): </w:t>
      </w:r>
    </w:p>
    <w:p w14:paraId="71E74C49" w14:textId="77777777" w:rsidR="002959BC" w:rsidRPr="005E1C8B" w:rsidRDefault="002959BC" w:rsidP="002959BC">
      <w:pPr>
        <w:ind w:firstLine="454"/>
        <w:jc w:val="both"/>
        <w:rPr>
          <w:rFonts w:ascii="Simplified Arabic" w:hAnsi="Simplified Arabic" w:cs="Simplified Arabic"/>
          <w:sz w:val="28"/>
          <w:szCs w:val="28"/>
          <w:rtl/>
        </w:rPr>
      </w:pPr>
      <w:r w:rsidRPr="005E1C8B">
        <w:rPr>
          <w:rFonts w:ascii="Simplified Arabic" w:hAnsi="Simplified Arabic" w:cs="Simplified Arabic"/>
          <w:sz w:val="28"/>
          <w:szCs w:val="28"/>
          <w:rtl/>
        </w:rPr>
        <w:lastRenderedPageBreak/>
        <w:t xml:space="preserve">تلعب أسعار الواردات دوراً هاماً في زيادة معدلات التضخم في الدول النامية ومن بينها مصر حيث تعتمد تلك الدول بشكل كبير على واردات السلع الاستهلاكية والسلع الوسيطة والسلع الرأسمالية لسد الفجوة بين الطلب والعرض بأسواقها المحلية، وتتأثر أسعار الواردات بمعدل التضخم لدى الشركاء التجاريين </w:t>
      </w:r>
      <w:r w:rsidRPr="005E1C8B">
        <w:rPr>
          <w:rFonts w:ascii="Simplified Arabic" w:hAnsi="Simplified Arabic" w:cs="Simplified Arabic"/>
          <w:sz w:val="28"/>
          <w:szCs w:val="28"/>
          <w:rtl/>
          <w:lang w:bidi="ar-EG"/>
        </w:rPr>
        <w:t>مما</w:t>
      </w:r>
      <w:r w:rsidRPr="005E1C8B">
        <w:rPr>
          <w:rFonts w:ascii="Simplified Arabic" w:hAnsi="Simplified Arabic" w:cs="Simplified Arabic"/>
          <w:sz w:val="28"/>
          <w:szCs w:val="28"/>
          <w:rtl/>
        </w:rPr>
        <w:t xml:space="preserve"> يؤدي إلى انتقال هذا الأثر إلى الأسواق المحلية. </w:t>
      </w:r>
    </w:p>
    <w:p w14:paraId="516679C4" w14:textId="77777777" w:rsidR="002959BC" w:rsidRDefault="002959BC" w:rsidP="002959BC">
      <w:pPr>
        <w:ind w:firstLine="454"/>
        <w:jc w:val="both"/>
        <w:rPr>
          <w:rFonts w:ascii="Simplified Arabic" w:hAnsi="Simplified Arabic" w:cs="Simplified Arabic"/>
          <w:sz w:val="28"/>
          <w:szCs w:val="28"/>
          <w:rtl/>
        </w:rPr>
      </w:pPr>
    </w:p>
    <w:p w14:paraId="635A27BF" w14:textId="77777777" w:rsidR="002959BC" w:rsidRPr="005E1C8B" w:rsidRDefault="002959BC" w:rsidP="002959BC">
      <w:pPr>
        <w:ind w:firstLine="454"/>
        <w:jc w:val="both"/>
        <w:rPr>
          <w:rFonts w:ascii="Simplified Arabic" w:hAnsi="Simplified Arabic" w:cs="Simplified Arabic"/>
          <w:sz w:val="28"/>
          <w:szCs w:val="28"/>
          <w:rtl/>
        </w:rPr>
      </w:pPr>
      <w:r w:rsidRPr="005E1C8B">
        <w:rPr>
          <w:rFonts w:ascii="Simplified Arabic" w:hAnsi="Simplified Arabic" w:cs="Simplified Arabic"/>
          <w:sz w:val="28"/>
          <w:szCs w:val="28"/>
          <w:rtl/>
        </w:rPr>
        <w:t>وتعتمد درجة تأثير الزيادة في أسعار الواردات على مستويات الأسعار المحلية على مجموعة من العوامل، ومن أهمها الأهمية النسبية للواردات في الاقتصاد القومي، والتي تقاس من خلال النسبة التي تمثلها الواردات إلى إجمالي الناتج المحلي، وكذا طبيعة هيكل الواردات في الاقتصاد حيث أنه كلما ارتفعت نسبة الواردات من السلع الغذائية إلى إجمالي الواردات لمواجهة الزيادة في حجم الاستهلاك المحلي كلما زاد تأثير الارتفاع في أسعار الواردات على مستويات الأسعار المحلية.</w:t>
      </w:r>
      <w:r w:rsidRPr="005E1C8B">
        <w:rPr>
          <w:rFonts w:ascii="Simplified Arabic" w:hAnsi="Simplified Arabic" w:cs="Simplified Arabic"/>
          <w:sz w:val="28"/>
          <w:szCs w:val="28"/>
          <w:vertAlign w:val="superscript"/>
          <w:rtl/>
          <w:lang w:bidi="ar-EG"/>
        </w:rPr>
        <w:t>(</w:t>
      </w:r>
      <w:r w:rsidRPr="005E1C8B">
        <w:rPr>
          <w:rStyle w:val="FootnoteReference"/>
          <w:rFonts w:ascii="Simplified Arabic" w:eastAsiaTheme="minorEastAsia" w:hAnsi="Simplified Arabic" w:cs="Simplified Arabic"/>
          <w:sz w:val="28"/>
          <w:szCs w:val="28"/>
          <w:rtl/>
          <w:lang w:bidi="ar-EG"/>
        </w:rPr>
        <w:footnoteReference w:id="108"/>
      </w:r>
      <w:r w:rsidRPr="005E1C8B">
        <w:rPr>
          <w:rFonts w:ascii="Simplified Arabic" w:hAnsi="Simplified Arabic" w:cs="Simplified Arabic"/>
          <w:sz w:val="28"/>
          <w:szCs w:val="28"/>
          <w:vertAlign w:val="superscript"/>
          <w:rtl/>
          <w:lang w:bidi="ar-EG"/>
        </w:rPr>
        <w:t>)</w:t>
      </w:r>
      <w:r w:rsidRPr="005E1C8B">
        <w:rPr>
          <w:rFonts w:ascii="Simplified Arabic" w:hAnsi="Simplified Arabic" w:cs="Simplified Arabic"/>
          <w:sz w:val="28"/>
          <w:szCs w:val="28"/>
          <w:rtl/>
        </w:rPr>
        <w:t xml:space="preserve"> </w:t>
      </w:r>
    </w:p>
    <w:p w14:paraId="14B3B889" w14:textId="77777777" w:rsidR="002959BC" w:rsidRDefault="002959BC" w:rsidP="002959BC">
      <w:pPr>
        <w:ind w:firstLine="454"/>
        <w:jc w:val="both"/>
        <w:rPr>
          <w:rFonts w:ascii="Simplified Arabic" w:hAnsi="Simplified Arabic" w:cs="Simplified Arabic"/>
          <w:sz w:val="28"/>
          <w:szCs w:val="28"/>
          <w:rtl/>
        </w:rPr>
      </w:pPr>
    </w:p>
    <w:p w14:paraId="4DBB13B2" w14:textId="77777777" w:rsidR="002959BC" w:rsidRPr="005E1C8B" w:rsidRDefault="002959BC" w:rsidP="002959BC">
      <w:pPr>
        <w:ind w:firstLine="454"/>
        <w:jc w:val="both"/>
        <w:rPr>
          <w:rFonts w:ascii="Simplified Arabic" w:hAnsi="Simplified Arabic" w:cs="Simplified Arabic"/>
          <w:sz w:val="28"/>
          <w:szCs w:val="28"/>
          <w:rtl/>
        </w:rPr>
      </w:pPr>
      <w:r w:rsidRPr="005E1C8B">
        <w:rPr>
          <w:rFonts w:ascii="Simplified Arabic" w:hAnsi="Simplified Arabic" w:cs="Simplified Arabic"/>
          <w:sz w:val="28"/>
          <w:szCs w:val="28"/>
          <w:rtl/>
        </w:rPr>
        <w:t xml:space="preserve">وسوف يتم الاعتماد على بيانات أسعار الواردات بالأسعار المحلية الثابتة وذلك لأنها تحتوي تأثير التضخم لدى </w:t>
      </w:r>
      <w:r w:rsidRPr="005E1C8B">
        <w:rPr>
          <w:rFonts w:ascii="Simplified Arabic" w:hAnsi="Simplified Arabic" w:cs="Simplified Arabic"/>
          <w:sz w:val="28"/>
          <w:szCs w:val="28"/>
          <w:rtl/>
          <w:lang w:bidi="ar-EG"/>
        </w:rPr>
        <w:t>الشركاء</w:t>
      </w:r>
      <w:r w:rsidRPr="005E1C8B">
        <w:rPr>
          <w:rFonts w:ascii="Simplified Arabic" w:hAnsi="Simplified Arabic" w:cs="Simplified Arabic"/>
          <w:sz w:val="28"/>
          <w:szCs w:val="28"/>
          <w:rtl/>
        </w:rPr>
        <w:t xml:space="preserve"> التجاريين، وذلك لبيان مدى تأثيرها على </w:t>
      </w:r>
      <w:r w:rsidRPr="005E1C8B">
        <w:rPr>
          <w:rFonts w:ascii="Simplified Arabic" w:hAnsi="Simplified Arabic" w:cs="Simplified Arabic"/>
          <w:sz w:val="28"/>
          <w:szCs w:val="28"/>
          <w:rtl/>
          <w:lang w:bidi="ar-EG"/>
        </w:rPr>
        <w:t xml:space="preserve">التضخم معبراً عنه بالرقم القياسي لأسعار المستهلكين </w:t>
      </w:r>
      <w:r w:rsidRPr="005E1C8B">
        <w:rPr>
          <w:rFonts w:ascii="Simplified Arabic" w:hAnsi="Simplified Arabic" w:cs="Simplified Arabic"/>
          <w:sz w:val="28"/>
          <w:szCs w:val="28"/>
          <w:rtl/>
        </w:rPr>
        <w:t>في مصر خلال الفترة موضع الدراسة.</w:t>
      </w:r>
    </w:p>
    <w:p w14:paraId="1CEF68C9" w14:textId="77777777" w:rsidR="002959BC" w:rsidRPr="001C5D9B"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r w:rsidRPr="001C5D9B">
        <w:rPr>
          <w:rFonts w:ascii="Simplified Arabic" w:eastAsia="Times New Roman" w:hAnsi="Simplified Arabic" w:cs="Simplified Arabic"/>
          <w:b/>
          <w:bCs/>
          <w:sz w:val="24"/>
          <w:szCs w:val="24"/>
          <w:rtl/>
        </w:rPr>
        <w:t>شكل رقم (3-3)</w:t>
      </w:r>
    </w:p>
    <w:p w14:paraId="2793A7AF" w14:textId="77777777" w:rsidR="002959BC" w:rsidRPr="001C5D9B"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r w:rsidRPr="001C5D9B">
        <w:rPr>
          <w:rFonts w:ascii="Simplified Arabic" w:eastAsia="Times New Roman" w:hAnsi="Simplified Arabic" w:cs="Simplified Arabic"/>
          <w:b/>
          <w:bCs/>
          <w:sz w:val="24"/>
          <w:szCs w:val="24"/>
          <w:rtl/>
        </w:rPr>
        <w:t>تطور أسعار الواردات بالأسعار المحلية الثابتة والرقم القياسي لأسعار المستهلكين</w:t>
      </w:r>
    </w:p>
    <w:p w14:paraId="6694B50C" w14:textId="77777777" w:rsidR="002959BC" w:rsidRPr="001C5D9B"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r w:rsidRPr="001C5D9B">
        <w:rPr>
          <w:rFonts w:ascii="Simplified Arabic" w:eastAsia="Times New Roman" w:hAnsi="Simplified Arabic" w:cs="Simplified Arabic"/>
          <w:b/>
          <w:bCs/>
          <w:sz w:val="24"/>
          <w:szCs w:val="24"/>
          <w:rtl/>
        </w:rPr>
        <w:t>خلال الفترة من العام المالي 1991/1992 إلى العام المالي 2018/2019</w:t>
      </w:r>
    </w:p>
    <w:p w14:paraId="71F26A58" w14:textId="77777777" w:rsidR="002959BC" w:rsidRPr="005E1C8B" w:rsidRDefault="002959BC" w:rsidP="002959BC">
      <w:pPr>
        <w:jc w:val="both"/>
        <w:rPr>
          <w:rFonts w:ascii="Simplified Arabic" w:hAnsi="Simplified Arabic" w:cs="Simplified Arabic"/>
          <w:sz w:val="28"/>
          <w:szCs w:val="28"/>
          <w:rtl/>
        </w:rPr>
      </w:pPr>
      <w:r w:rsidRPr="005E1C8B">
        <w:rPr>
          <w:rFonts w:ascii="Simplified Arabic" w:hAnsi="Simplified Arabic" w:cs="Simplified Arabic"/>
          <w:sz w:val="28"/>
          <w:szCs w:val="28"/>
        </w:rPr>
        <w:drawing>
          <wp:inline distT="0" distB="0" distL="0" distR="0" wp14:anchorId="650A73C7" wp14:editId="5D087D05">
            <wp:extent cx="5396948" cy="3031435"/>
            <wp:effectExtent l="0" t="0" r="13335" b="17145"/>
            <wp:docPr id="146" name="Chart 146">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BE69BC4" w14:textId="77777777" w:rsidR="002959BC" w:rsidRPr="00B8576D" w:rsidRDefault="002959BC" w:rsidP="002959BC">
      <w:pPr>
        <w:pStyle w:val="ListParagraph"/>
        <w:spacing w:after="0" w:line="240" w:lineRule="auto"/>
        <w:ind w:left="28" w:hanging="63"/>
        <w:contextualSpacing w:val="0"/>
        <w:jc w:val="both"/>
        <w:rPr>
          <w:rFonts w:ascii="Simplified Arabic" w:eastAsia="Times New Roman" w:hAnsi="Simplified Arabic" w:cs="Simplified Arabic"/>
          <w:sz w:val="24"/>
          <w:szCs w:val="24"/>
          <w:rtl/>
        </w:rPr>
      </w:pPr>
      <w:r w:rsidRPr="00B8576D">
        <w:rPr>
          <w:rFonts w:ascii="Simplified Arabic" w:eastAsia="Times New Roman" w:hAnsi="Simplified Arabic" w:cs="Simplified Arabic"/>
          <w:sz w:val="24"/>
          <w:szCs w:val="24"/>
          <w:rtl/>
        </w:rPr>
        <w:t>المصدر: من إعداد الباحث بالاعتماد على بيانات الجدول رقم (4-5) من الملحق الإحصائي.</w:t>
      </w:r>
    </w:p>
    <w:p w14:paraId="58F29A53" w14:textId="07BECE68" w:rsidR="002959BC" w:rsidRDefault="002959BC" w:rsidP="002959BC">
      <w:pPr>
        <w:pStyle w:val="ListParagraph"/>
        <w:spacing w:after="0" w:line="240" w:lineRule="auto"/>
        <w:ind w:left="357"/>
        <w:contextualSpacing w:val="0"/>
        <w:jc w:val="both"/>
        <w:rPr>
          <w:rFonts w:ascii="Simplified Arabic" w:hAnsi="Simplified Arabic" w:cs="Simplified Arabic"/>
          <w:b/>
          <w:bCs/>
          <w:sz w:val="28"/>
          <w:szCs w:val="28"/>
          <w:u w:val="single"/>
          <w:rtl/>
          <w:lang w:bidi="ar-EG"/>
        </w:rPr>
      </w:pPr>
    </w:p>
    <w:p w14:paraId="3E011FC8" w14:textId="77777777" w:rsidR="00131C6C" w:rsidRDefault="00131C6C" w:rsidP="002959BC">
      <w:pPr>
        <w:pStyle w:val="ListParagraph"/>
        <w:spacing w:after="0" w:line="240" w:lineRule="auto"/>
        <w:ind w:left="357"/>
        <w:contextualSpacing w:val="0"/>
        <w:jc w:val="both"/>
        <w:rPr>
          <w:rFonts w:ascii="Simplified Arabic" w:hAnsi="Simplified Arabic" w:cs="Simplified Arabic"/>
          <w:b/>
          <w:bCs/>
          <w:sz w:val="28"/>
          <w:szCs w:val="28"/>
          <w:u w:val="single"/>
          <w:lang w:bidi="ar-EG"/>
        </w:rPr>
      </w:pPr>
    </w:p>
    <w:p w14:paraId="6E17402F" w14:textId="77777777" w:rsidR="002959BC" w:rsidRPr="00B8576D" w:rsidRDefault="002959BC" w:rsidP="0041332D">
      <w:pPr>
        <w:pStyle w:val="ListParagraph"/>
        <w:numPr>
          <w:ilvl w:val="0"/>
          <w:numId w:val="36"/>
        </w:numPr>
        <w:spacing w:after="0" w:line="240" w:lineRule="auto"/>
        <w:ind w:left="357" w:hanging="357"/>
        <w:contextualSpacing w:val="0"/>
        <w:jc w:val="both"/>
        <w:rPr>
          <w:rFonts w:ascii="Simplified Arabic" w:hAnsi="Simplified Arabic" w:cs="Simplified Arabic"/>
          <w:b/>
          <w:bCs/>
          <w:sz w:val="28"/>
          <w:szCs w:val="28"/>
          <w:u w:val="single"/>
          <w:lang w:bidi="ar-EG"/>
        </w:rPr>
      </w:pPr>
      <w:r w:rsidRPr="00B8576D">
        <w:rPr>
          <w:rFonts w:ascii="Simplified Arabic" w:hAnsi="Simplified Arabic" w:cs="Simplified Arabic"/>
          <w:b/>
          <w:bCs/>
          <w:sz w:val="28"/>
          <w:szCs w:val="28"/>
          <w:u w:val="single"/>
          <w:rtl/>
          <w:lang w:bidi="ar-EG"/>
        </w:rPr>
        <w:lastRenderedPageBreak/>
        <w:t>سعر صرف الجنيه المصري مقابل الدولار الأمريكي (</w:t>
      </w:r>
      <w:r w:rsidRPr="00B8576D">
        <w:rPr>
          <w:rFonts w:ascii="Simplified Arabic" w:hAnsi="Simplified Arabic" w:cs="Simplified Arabic"/>
          <w:b/>
          <w:bCs/>
          <w:sz w:val="28"/>
          <w:szCs w:val="28"/>
          <w:u w:val="single"/>
          <w:lang w:bidi="ar-EG"/>
        </w:rPr>
        <w:t>EX</w:t>
      </w:r>
      <w:r w:rsidRPr="00B8576D">
        <w:rPr>
          <w:rFonts w:ascii="Simplified Arabic" w:hAnsi="Simplified Arabic" w:cs="Simplified Arabic"/>
          <w:b/>
          <w:bCs/>
          <w:sz w:val="28"/>
          <w:szCs w:val="28"/>
          <w:u w:val="single"/>
          <w:rtl/>
          <w:lang w:bidi="ar-EG"/>
        </w:rPr>
        <w:t>):</w:t>
      </w:r>
    </w:p>
    <w:p w14:paraId="0D0649B5" w14:textId="77777777" w:rsidR="002959BC" w:rsidRPr="005E1C8B" w:rsidRDefault="002959BC" w:rsidP="002959BC">
      <w:pPr>
        <w:spacing w:line="228" w:lineRule="auto"/>
        <w:ind w:firstLine="454"/>
        <w:jc w:val="both"/>
        <w:rPr>
          <w:rFonts w:ascii="Simplified Arabic" w:hAnsi="Simplified Arabic" w:cs="Simplified Arabic"/>
          <w:sz w:val="28"/>
          <w:szCs w:val="28"/>
          <w:rtl/>
          <w:lang w:bidi="ar-EG"/>
        </w:rPr>
      </w:pPr>
      <w:r w:rsidRPr="005E1C8B">
        <w:rPr>
          <w:rFonts w:ascii="Simplified Arabic" w:hAnsi="Simplified Arabic" w:cs="Simplified Arabic"/>
          <w:sz w:val="28"/>
          <w:szCs w:val="28"/>
          <w:rtl/>
          <w:lang w:bidi="ar-EG"/>
        </w:rPr>
        <w:t xml:space="preserve">إن انخفاض قيمة العملة المحلية يؤدي إلى ارتفاع تكلفة الاستيراد بالعملة الوطنية وذلك على الرغم من ثبات الأسعار بالخارج مما يترتب عليه زيادة تكاليف الإنتاج </w:t>
      </w:r>
      <w:r w:rsidRPr="005E1C8B">
        <w:rPr>
          <w:rFonts w:ascii="Simplified Arabic" w:hAnsi="Simplified Arabic" w:cs="Simplified Arabic"/>
          <w:sz w:val="28"/>
          <w:szCs w:val="28"/>
          <w:vertAlign w:val="superscript"/>
          <w:rtl/>
          <w:lang w:bidi="ar-EG"/>
        </w:rPr>
        <w:t>(</w:t>
      </w:r>
      <w:r w:rsidRPr="005E1C8B">
        <w:rPr>
          <w:rStyle w:val="FootnoteReference"/>
          <w:rFonts w:ascii="Simplified Arabic" w:eastAsiaTheme="minorEastAsia" w:hAnsi="Simplified Arabic" w:cs="Simplified Arabic"/>
          <w:sz w:val="28"/>
          <w:szCs w:val="28"/>
          <w:rtl/>
          <w:lang w:bidi="ar-EG"/>
        </w:rPr>
        <w:footnoteReference w:id="109"/>
      </w:r>
      <w:r w:rsidRPr="005E1C8B">
        <w:rPr>
          <w:rFonts w:ascii="Simplified Arabic" w:hAnsi="Simplified Arabic" w:cs="Simplified Arabic"/>
          <w:sz w:val="28"/>
          <w:szCs w:val="28"/>
          <w:vertAlign w:val="superscript"/>
          <w:rtl/>
          <w:lang w:bidi="ar-EG"/>
        </w:rPr>
        <w:t>)</w:t>
      </w:r>
      <w:r w:rsidRPr="005E1C8B">
        <w:rPr>
          <w:rFonts w:ascii="Simplified Arabic" w:hAnsi="Simplified Arabic" w:cs="Simplified Arabic"/>
          <w:sz w:val="28"/>
          <w:szCs w:val="28"/>
          <w:rtl/>
          <w:lang w:bidi="ar-EG"/>
        </w:rPr>
        <w:t xml:space="preserve">، وقد ساهم تدهور سعر الصرف للجنيه المصري في ارتفاع أسعار الكثير من السلع المستوردة من الخارج، بالإضافة إلى ارتفاع أسعار كثير من السلع الوسيطة والمواد الخام التي تدخل في عملية تصنيع السلع المحلية. </w:t>
      </w:r>
    </w:p>
    <w:p w14:paraId="45465755" w14:textId="77777777" w:rsidR="002959BC" w:rsidRDefault="002959BC" w:rsidP="002959BC">
      <w:pPr>
        <w:spacing w:line="228" w:lineRule="auto"/>
        <w:ind w:firstLine="454"/>
        <w:jc w:val="both"/>
        <w:rPr>
          <w:rFonts w:ascii="Simplified Arabic" w:hAnsi="Simplified Arabic" w:cs="Simplified Arabic"/>
          <w:sz w:val="28"/>
          <w:szCs w:val="28"/>
          <w:rtl/>
          <w:lang w:bidi="ar-EG"/>
        </w:rPr>
      </w:pPr>
    </w:p>
    <w:p w14:paraId="369122A9" w14:textId="77777777" w:rsidR="002959BC" w:rsidRPr="005E1C8B" w:rsidRDefault="002959BC" w:rsidP="002959BC">
      <w:pPr>
        <w:spacing w:line="228" w:lineRule="auto"/>
        <w:ind w:firstLine="454"/>
        <w:jc w:val="both"/>
        <w:rPr>
          <w:rFonts w:ascii="Simplified Arabic" w:hAnsi="Simplified Arabic" w:cs="Simplified Arabic"/>
          <w:sz w:val="28"/>
          <w:szCs w:val="28"/>
          <w:rtl/>
          <w:lang w:bidi="ar-EG"/>
        </w:rPr>
      </w:pPr>
      <w:r w:rsidRPr="005E1C8B">
        <w:rPr>
          <w:rFonts w:ascii="Simplified Arabic" w:hAnsi="Simplified Arabic" w:cs="Simplified Arabic"/>
          <w:sz w:val="28"/>
          <w:szCs w:val="28"/>
          <w:rtl/>
          <w:lang w:bidi="ar-EG"/>
        </w:rPr>
        <w:t xml:space="preserve">وبشكل عام فإن أثر انخفاض العملة المحلية يختلف من اقتصاد إلى آخر وفقاً لقدرة الاقتصاد على استغلال هذا الانخفاض، فالاقتصادات ذات الجهاز الإنتاجي المرن ستتمكن من زيادة الإنتاج المحلي وزيادة الصادرات مما يعني رفع معدلات النمو والتشغيل وزيادة الدخل القومي وهو ما ينعكس بشكل إيجابي على الدخول ويقلل من تأثير التضخم، أما الاقتصادات ذات الجهاز الإنتاجي غير المرن فإن تأثير انخفاض العملة المحلية لن يؤدي إلا إلى زيادة معدلات التضخم. </w:t>
      </w:r>
    </w:p>
    <w:p w14:paraId="78EB6B82" w14:textId="77777777" w:rsidR="002959BC" w:rsidRDefault="002959BC" w:rsidP="002959BC">
      <w:pPr>
        <w:spacing w:line="228" w:lineRule="auto"/>
        <w:ind w:firstLine="454"/>
        <w:jc w:val="both"/>
        <w:rPr>
          <w:rFonts w:ascii="Simplified Arabic" w:hAnsi="Simplified Arabic" w:cs="Simplified Arabic"/>
          <w:sz w:val="28"/>
          <w:szCs w:val="28"/>
          <w:rtl/>
        </w:rPr>
      </w:pPr>
    </w:p>
    <w:p w14:paraId="7A884A51" w14:textId="77777777" w:rsidR="002959BC" w:rsidRPr="005E1C8B" w:rsidRDefault="002959BC" w:rsidP="002959BC">
      <w:pPr>
        <w:spacing w:line="228" w:lineRule="auto"/>
        <w:ind w:firstLine="454"/>
        <w:jc w:val="both"/>
        <w:rPr>
          <w:rFonts w:ascii="Simplified Arabic" w:hAnsi="Simplified Arabic" w:cs="Simplified Arabic"/>
          <w:sz w:val="28"/>
          <w:szCs w:val="28"/>
          <w:rtl/>
        </w:rPr>
      </w:pPr>
      <w:r w:rsidRPr="005E1C8B">
        <w:rPr>
          <w:rFonts w:ascii="Simplified Arabic" w:hAnsi="Simplified Arabic" w:cs="Simplified Arabic"/>
          <w:sz w:val="28"/>
          <w:szCs w:val="28"/>
          <w:rtl/>
        </w:rPr>
        <w:t xml:space="preserve">وسوف يتم الاعتماد على تغير سعر صرف الجنيه مقابل الدولار، وذلك لبيان مدى تأثير ذلك على </w:t>
      </w:r>
      <w:r w:rsidRPr="005E1C8B">
        <w:rPr>
          <w:rFonts w:ascii="Simplified Arabic" w:hAnsi="Simplified Arabic" w:cs="Simplified Arabic"/>
          <w:sz w:val="28"/>
          <w:szCs w:val="28"/>
          <w:rtl/>
          <w:lang w:bidi="ar-EG"/>
        </w:rPr>
        <w:t xml:space="preserve">التضخم معبراً عنه بالرقم القياسي لأسعار المستهلكين </w:t>
      </w:r>
      <w:r w:rsidRPr="005E1C8B">
        <w:rPr>
          <w:rFonts w:ascii="Simplified Arabic" w:hAnsi="Simplified Arabic" w:cs="Simplified Arabic"/>
          <w:sz w:val="28"/>
          <w:szCs w:val="28"/>
          <w:rtl/>
        </w:rPr>
        <w:t>في مصر خلال الفترة موضع الدراسة.</w:t>
      </w:r>
    </w:p>
    <w:p w14:paraId="5997FB70" w14:textId="77777777" w:rsidR="002959BC"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p>
    <w:p w14:paraId="3695D4D3" w14:textId="77777777" w:rsidR="002959BC" w:rsidRPr="001C5D9B"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r w:rsidRPr="001C5D9B">
        <w:rPr>
          <w:rFonts w:ascii="Simplified Arabic" w:eastAsia="Times New Roman" w:hAnsi="Simplified Arabic" w:cs="Simplified Arabic"/>
          <w:b/>
          <w:bCs/>
          <w:sz w:val="24"/>
          <w:szCs w:val="24"/>
          <w:rtl/>
        </w:rPr>
        <w:t>شكل رقم (3-4)</w:t>
      </w:r>
    </w:p>
    <w:p w14:paraId="2D127407" w14:textId="77777777" w:rsidR="002959BC" w:rsidRPr="001C5D9B"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r w:rsidRPr="001C5D9B">
        <w:rPr>
          <w:rFonts w:ascii="Simplified Arabic" w:eastAsia="Times New Roman" w:hAnsi="Simplified Arabic" w:cs="Simplified Arabic"/>
          <w:b/>
          <w:bCs/>
          <w:sz w:val="24"/>
          <w:szCs w:val="24"/>
          <w:rtl/>
        </w:rPr>
        <w:t>تطور سعر صرف الجنيه المصري مقابل الدولار الأمريكي والرقم القياسي لأسعار المستهلكين</w:t>
      </w:r>
    </w:p>
    <w:p w14:paraId="37F9EE0F" w14:textId="77777777" w:rsidR="002959BC" w:rsidRPr="001C5D9B"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r w:rsidRPr="001C5D9B">
        <w:rPr>
          <w:rFonts w:ascii="Simplified Arabic" w:eastAsia="Times New Roman" w:hAnsi="Simplified Arabic" w:cs="Simplified Arabic"/>
          <w:b/>
          <w:bCs/>
          <w:sz w:val="24"/>
          <w:szCs w:val="24"/>
          <w:rtl/>
        </w:rPr>
        <w:t>خلال الفترة من العام المالي 1991/1992 إلى العام المالي 2018/2019</w:t>
      </w:r>
    </w:p>
    <w:p w14:paraId="0A2E942A" w14:textId="77777777" w:rsidR="002959BC" w:rsidRPr="005E1C8B" w:rsidRDefault="002959BC" w:rsidP="002959BC">
      <w:pPr>
        <w:jc w:val="both"/>
        <w:rPr>
          <w:rFonts w:ascii="Simplified Arabic" w:hAnsi="Simplified Arabic" w:cs="Simplified Arabic"/>
          <w:sz w:val="28"/>
          <w:szCs w:val="28"/>
          <w:rtl/>
        </w:rPr>
      </w:pPr>
      <w:r w:rsidRPr="005E1C8B">
        <w:rPr>
          <w:rFonts w:ascii="Simplified Arabic" w:hAnsi="Simplified Arabic" w:cs="Simplified Arabic"/>
          <w:sz w:val="28"/>
          <w:szCs w:val="28"/>
        </w:rPr>
        <w:drawing>
          <wp:inline distT="0" distB="0" distL="0" distR="0" wp14:anchorId="29B11FF4" wp14:editId="0B23A624">
            <wp:extent cx="5396948" cy="2703443"/>
            <wp:effectExtent l="0" t="0" r="13335" b="20955"/>
            <wp:docPr id="147" name="Chart 147">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7F6B326" w14:textId="4C2D17BE" w:rsidR="002959BC" w:rsidRDefault="002959BC" w:rsidP="002959BC">
      <w:pPr>
        <w:pStyle w:val="ListParagraph"/>
        <w:spacing w:after="0" w:line="240" w:lineRule="auto"/>
        <w:ind w:left="28" w:hanging="63"/>
        <w:contextualSpacing w:val="0"/>
        <w:jc w:val="both"/>
        <w:rPr>
          <w:rFonts w:ascii="Simplified Arabic" w:eastAsia="Times New Roman" w:hAnsi="Simplified Arabic" w:cs="Simplified Arabic"/>
          <w:sz w:val="24"/>
          <w:szCs w:val="24"/>
          <w:rtl/>
        </w:rPr>
      </w:pPr>
      <w:r w:rsidRPr="00B8576D">
        <w:rPr>
          <w:rFonts w:ascii="Simplified Arabic" w:eastAsia="Times New Roman" w:hAnsi="Simplified Arabic" w:cs="Simplified Arabic"/>
          <w:sz w:val="24"/>
          <w:szCs w:val="24"/>
          <w:rtl/>
        </w:rPr>
        <w:t>المصدر: من إعداد الباحث بالاعتماد على بيانات الجدول رقم (4-5) من الملحق الإحصائي.</w:t>
      </w:r>
    </w:p>
    <w:p w14:paraId="78F4B6ED" w14:textId="5F1A994F" w:rsidR="00131C6C" w:rsidRDefault="00131C6C" w:rsidP="002959BC">
      <w:pPr>
        <w:pStyle w:val="ListParagraph"/>
        <w:spacing w:after="0" w:line="240" w:lineRule="auto"/>
        <w:ind w:left="28" w:hanging="63"/>
        <w:contextualSpacing w:val="0"/>
        <w:jc w:val="both"/>
        <w:rPr>
          <w:rFonts w:ascii="Simplified Arabic" w:eastAsia="Times New Roman" w:hAnsi="Simplified Arabic" w:cs="Simplified Arabic"/>
          <w:sz w:val="24"/>
          <w:szCs w:val="24"/>
          <w:rtl/>
        </w:rPr>
      </w:pPr>
    </w:p>
    <w:p w14:paraId="1A78453E" w14:textId="77777777" w:rsidR="00131C6C" w:rsidRPr="00B8576D" w:rsidRDefault="00131C6C" w:rsidP="002959BC">
      <w:pPr>
        <w:pStyle w:val="ListParagraph"/>
        <w:spacing w:after="0" w:line="240" w:lineRule="auto"/>
        <w:ind w:left="28" w:hanging="63"/>
        <w:contextualSpacing w:val="0"/>
        <w:jc w:val="both"/>
        <w:rPr>
          <w:rFonts w:ascii="Simplified Arabic" w:eastAsia="Times New Roman" w:hAnsi="Simplified Arabic" w:cs="Simplified Arabic"/>
          <w:sz w:val="24"/>
          <w:szCs w:val="24"/>
          <w:rtl/>
          <w:lang w:bidi="ar-EG"/>
        </w:rPr>
      </w:pPr>
    </w:p>
    <w:p w14:paraId="0E4392DF" w14:textId="77777777" w:rsidR="002959BC" w:rsidRPr="00B8576D" w:rsidRDefault="002959BC" w:rsidP="0041332D">
      <w:pPr>
        <w:pStyle w:val="ListParagraph"/>
        <w:numPr>
          <w:ilvl w:val="0"/>
          <w:numId w:val="36"/>
        </w:numPr>
        <w:spacing w:after="0" w:line="240" w:lineRule="auto"/>
        <w:ind w:left="357" w:hanging="357"/>
        <w:contextualSpacing w:val="0"/>
        <w:jc w:val="both"/>
        <w:rPr>
          <w:rFonts w:ascii="Simplified Arabic" w:hAnsi="Simplified Arabic" w:cs="Simplified Arabic"/>
          <w:b/>
          <w:bCs/>
          <w:sz w:val="28"/>
          <w:szCs w:val="28"/>
          <w:u w:val="single"/>
          <w:lang w:bidi="ar-EG"/>
        </w:rPr>
      </w:pPr>
      <w:r w:rsidRPr="00B8576D">
        <w:rPr>
          <w:rFonts w:ascii="Simplified Arabic" w:hAnsi="Simplified Arabic" w:cs="Simplified Arabic"/>
          <w:b/>
          <w:bCs/>
          <w:sz w:val="28"/>
          <w:szCs w:val="28"/>
          <w:u w:val="single"/>
          <w:rtl/>
          <w:lang w:bidi="ar-EG"/>
        </w:rPr>
        <w:lastRenderedPageBreak/>
        <w:t>نسبة نمو النقود إلى الناتج المحلي (</w:t>
      </w:r>
      <w:r w:rsidRPr="00B8576D">
        <w:rPr>
          <w:rFonts w:ascii="Simplified Arabic" w:hAnsi="Simplified Arabic" w:cs="Simplified Arabic"/>
          <w:b/>
          <w:bCs/>
          <w:sz w:val="28"/>
          <w:szCs w:val="28"/>
          <w:u w:val="single"/>
          <w:lang w:bidi="ar-EG"/>
        </w:rPr>
        <w:t>M2</w:t>
      </w:r>
      <w:r w:rsidRPr="00B8576D">
        <w:rPr>
          <w:rFonts w:ascii="Simplified Arabic" w:hAnsi="Simplified Arabic" w:cs="Simplified Arabic"/>
          <w:b/>
          <w:bCs/>
          <w:sz w:val="28"/>
          <w:szCs w:val="28"/>
          <w:u w:val="single"/>
          <w:rtl/>
          <w:lang w:bidi="ar-EG"/>
        </w:rPr>
        <w:t>):</w:t>
      </w:r>
    </w:p>
    <w:p w14:paraId="51663539" w14:textId="77777777" w:rsidR="002959BC" w:rsidRPr="005E1C8B" w:rsidRDefault="002959BC" w:rsidP="002959BC">
      <w:pPr>
        <w:spacing w:line="230" w:lineRule="auto"/>
        <w:ind w:firstLine="454"/>
        <w:jc w:val="both"/>
        <w:rPr>
          <w:rFonts w:ascii="Simplified Arabic" w:hAnsi="Simplified Arabic" w:cs="Simplified Arabic"/>
          <w:sz w:val="28"/>
          <w:szCs w:val="28"/>
          <w:rtl/>
          <w:lang w:bidi="ar-EG"/>
        </w:rPr>
      </w:pPr>
      <w:r w:rsidRPr="005E1C8B">
        <w:rPr>
          <w:rFonts w:ascii="Simplified Arabic" w:hAnsi="Simplified Arabic" w:cs="Simplified Arabic"/>
          <w:sz w:val="28"/>
          <w:szCs w:val="28"/>
          <w:rtl/>
          <w:lang w:bidi="ar-EG"/>
        </w:rPr>
        <w:t>أثبتت العديد من الدراسات العلاقة الطردية بين التضخم وعرض النقود، فالنقوديون يشيرون إلى أن السبب الرئيسي وربما الوحيد للتضخم هو زيادة عرض النقود وعبر عن ذلك ميلتون فريدمان بقوله "التضخم دائماً وأبداً ظاهرة نقدية"</w:t>
      </w:r>
      <w:r w:rsidRPr="005E1C8B">
        <w:rPr>
          <w:rFonts w:ascii="Simplified Arabic" w:hAnsi="Simplified Arabic" w:cs="Simplified Arabic"/>
          <w:sz w:val="28"/>
          <w:szCs w:val="28"/>
          <w:vertAlign w:val="superscript"/>
          <w:rtl/>
          <w:lang w:bidi="ar-EG"/>
        </w:rPr>
        <w:t>(</w:t>
      </w:r>
      <w:r w:rsidRPr="005E1C8B">
        <w:rPr>
          <w:rStyle w:val="FootnoteReference"/>
          <w:rFonts w:ascii="Simplified Arabic" w:eastAsiaTheme="minorEastAsia" w:hAnsi="Simplified Arabic" w:cs="Simplified Arabic"/>
          <w:sz w:val="28"/>
          <w:szCs w:val="28"/>
          <w:rtl/>
          <w:lang w:bidi="ar-EG"/>
        </w:rPr>
        <w:footnoteReference w:id="110"/>
      </w:r>
      <w:r w:rsidRPr="005E1C8B">
        <w:rPr>
          <w:rFonts w:ascii="Simplified Arabic" w:hAnsi="Simplified Arabic" w:cs="Simplified Arabic"/>
          <w:sz w:val="28"/>
          <w:szCs w:val="28"/>
          <w:vertAlign w:val="superscript"/>
          <w:rtl/>
          <w:lang w:bidi="ar-EG"/>
        </w:rPr>
        <w:t>)</w:t>
      </w:r>
      <w:r w:rsidRPr="005E1C8B">
        <w:rPr>
          <w:rFonts w:ascii="Simplified Arabic" w:hAnsi="Simplified Arabic" w:cs="Simplified Arabic"/>
          <w:sz w:val="28"/>
          <w:szCs w:val="28"/>
          <w:rtl/>
          <w:lang w:bidi="ar-EG"/>
        </w:rPr>
        <w:t>، ويمكن أن تزيد كمية النقود المعروضة في التداول زيادة تؤدي إلى التضخم من خلال استمرار وجود عجز بالموازنة العامة للدولة الذي غالباً ما يتم تمويله تضخمياً، في وقت لم يزد فيه العرض من السلع والخدمات بنفس النسبة، والتوسع الكبير في الائتمان.</w:t>
      </w:r>
      <w:r w:rsidRPr="005E1C8B">
        <w:rPr>
          <w:rFonts w:ascii="Simplified Arabic" w:hAnsi="Simplified Arabic" w:cs="Simplified Arabic"/>
          <w:sz w:val="28"/>
          <w:szCs w:val="28"/>
          <w:vertAlign w:val="superscript"/>
          <w:rtl/>
          <w:lang w:bidi="ar-EG"/>
        </w:rPr>
        <w:t xml:space="preserve"> (</w:t>
      </w:r>
      <w:r w:rsidRPr="005E1C8B">
        <w:rPr>
          <w:rStyle w:val="FootnoteReference"/>
          <w:rFonts w:ascii="Simplified Arabic" w:eastAsiaTheme="minorEastAsia" w:hAnsi="Simplified Arabic" w:cs="Simplified Arabic"/>
          <w:sz w:val="28"/>
          <w:szCs w:val="28"/>
          <w:rtl/>
          <w:lang w:bidi="ar-EG"/>
        </w:rPr>
        <w:footnoteReference w:id="111"/>
      </w:r>
      <w:r w:rsidRPr="005E1C8B">
        <w:rPr>
          <w:rFonts w:ascii="Simplified Arabic" w:hAnsi="Simplified Arabic" w:cs="Simplified Arabic"/>
          <w:sz w:val="28"/>
          <w:szCs w:val="28"/>
          <w:vertAlign w:val="superscript"/>
          <w:rtl/>
          <w:lang w:bidi="ar-EG"/>
        </w:rPr>
        <w:t>)</w:t>
      </w:r>
      <w:r w:rsidRPr="005E1C8B">
        <w:rPr>
          <w:rFonts w:ascii="Simplified Arabic" w:hAnsi="Simplified Arabic" w:cs="Simplified Arabic"/>
          <w:sz w:val="28"/>
          <w:szCs w:val="28"/>
          <w:rtl/>
          <w:lang w:bidi="ar-EG"/>
        </w:rPr>
        <w:t xml:space="preserve"> </w:t>
      </w:r>
    </w:p>
    <w:p w14:paraId="5914BF18" w14:textId="77777777" w:rsidR="002959BC" w:rsidRPr="00076C11" w:rsidRDefault="002959BC" w:rsidP="002959BC">
      <w:pPr>
        <w:pStyle w:val="ListParagraph"/>
        <w:spacing w:after="0" w:line="230" w:lineRule="auto"/>
        <w:ind w:left="357"/>
        <w:contextualSpacing w:val="0"/>
        <w:jc w:val="both"/>
        <w:rPr>
          <w:rFonts w:ascii="Simplified Arabic" w:hAnsi="Simplified Arabic" w:cs="Simplified Arabic"/>
          <w:sz w:val="16"/>
          <w:szCs w:val="16"/>
          <w:rtl/>
          <w:lang w:bidi="ar-EG"/>
        </w:rPr>
      </w:pPr>
    </w:p>
    <w:p w14:paraId="0BF3F16F" w14:textId="77777777" w:rsidR="002959BC" w:rsidRPr="005E1C8B" w:rsidRDefault="002959BC" w:rsidP="002959BC">
      <w:pPr>
        <w:spacing w:line="230" w:lineRule="auto"/>
        <w:ind w:firstLine="454"/>
        <w:jc w:val="both"/>
        <w:rPr>
          <w:rFonts w:ascii="Simplified Arabic" w:hAnsi="Simplified Arabic" w:cs="Simplified Arabic"/>
          <w:sz w:val="28"/>
          <w:szCs w:val="28"/>
          <w:rtl/>
          <w:lang w:bidi="ar-EG"/>
        </w:rPr>
      </w:pPr>
      <w:r w:rsidRPr="005E1C8B">
        <w:rPr>
          <w:rFonts w:ascii="Simplified Arabic" w:hAnsi="Simplified Arabic" w:cs="Simplified Arabic"/>
          <w:sz w:val="28"/>
          <w:szCs w:val="28"/>
          <w:rtl/>
          <w:lang w:bidi="ar-EG"/>
        </w:rPr>
        <w:t xml:space="preserve">وكما سبق إيضاحه فإن عملية تمويل عجز الموازنة العامة للدولة من خلال الاقتراض من البنك المركزي </w:t>
      </w:r>
      <w:r w:rsidRPr="005E1C8B">
        <w:rPr>
          <w:rFonts w:ascii="Simplified Arabic" w:hAnsi="Simplified Arabic" w:cs="Simplified Arabic"/>
          <w:sz w:val="28"/>
          <w:szCs w:val="28"/>
          <w:rtl/>
        </w:rPr>
        <w:t>الذي</w:t>
      </w:r>
      <w:r w:rsidRPr="005E1C8B">
        <w:rPr>
          <w:rFonts w:ascii="Simplified Arabic" w:hAnsi="Simplified Arabic" w:cs="Simplified Arabic"/>
          <w:sz w:val="28"/>
          <w:szCs w:val="28"/>
          <w:rtl/>
          <w:lang w:bidi="ar-EG"/>
        </w:rPr>
        <w:t xml:space="preserve"> يقوم بدوره بتغطية هذا الاقتراض من خلال الإصدار النقدي الجديد تعد سبباً مباشراً في زيادة معدلات التضخم. </w:t>
      </w:r>
    </w:p>
    <w:p w14:paraId="2881F083" w14:textId="77777777" w:rsidR="002959BC" w:rsidRPr="00076C11" w:rsidRDefault="002959BC" w:rsidP="002959BC">
      <w:pPr>
        <w:spacing w:line="230" w:lineRule="auto"/>
        <w:ind w:firstLine="454"/>
        <w:jc w:val="both"/>
        <w:rPr>
          <w:rFonts w:ascii="Simplified Arabic" w:hAnsi="Simplified Arabic" w:cs="Simplified Arabic"/>
          <w:sz w:val="18"/>
          <w:szCs w:val="18"/>
          <w:rtl/>
          <w:lang w:bidi="ar-EG"/>
        </w:rPr>
      </w:pPr>
    </w:p>
    <w:p w14:paraId="1BF4AC7B" w14:textId="77777777" w:rsidR="002959BC" w:rsidRPr="005E1C8B" w:rsidRDefault="002959BC" w:rsidP="002959BC">
      <w:pPr>
        <w:spacing w:line="230" w:lineRule="auto"/>
        <w:ind w:firstLine="454"/>
        <w:jc w:val="both"/>
        <w:rPr>
          <w:rFonts w:ascii="Simplified Arabic" w:hAnsi="Simplified Arabic" w:cs="Simplified Arabic"/>
          <w:sz w:val="28"/>
          <w:szCs w:val="28"/>
          <w:rtl/>
        </w:rPr>
      </w:pPr>
      <w:r w:rsidRPr="005E1C8B">
        <w:rPr>
          <w:rFonts w:ascii="Simplified Arabic" w:hAnsi="Simplified Arabic" w:cs="Simplified Arabic"/>
          <w:sz w:val="28"/>
          <w:szCs w:val="28"/>
          <w:rtl/>
        </w:rPr>
        <w:t xml:space="preserve">ومن الملاحظ أن السلطات النقدية تسعى دائماً إلى ضبط معدلات نمو عرض النقود مع معدلات نمو الناتج </w:t>
      </w:r>
      <w:r w:rsidRPr="005E1C8B">
        <w:rPr>
          <w:rFonts w:ascii="Simplified Arabic" w:hAnsi="Simplified Arabic" w:cs="Simplified Arabic"/>
          <w:sz w:val="28"/>
          <w:szCs w:val="28"/>
          <w:rtl/>
          <w:lang w:bidi="ar-EG"/>
        </w:rPr>
        <w:t>المحلي</w:t>
      </w:r>
      <w:r w:rsidRPr="005E1C8B">
        <w:rPr>
          <w:rFonts w:ascii="Simplified Arabic" w:hAnsi="Simplified Arabic" w:cs="Simplified Arabic"/>
          <w:sz w:val="28"/>
          <w:szCs w:val="28"/>
          <w:rtl/>
        </w:rPr>
        <w:t xml:space="preserve"> الإجمالي، وذلك للمحافظة على الاستقرار النقدي والأسعار، وبالتالي فإن أي زيادة في عرض النقود لا يقابلها زيادة مماثلة في الناتج المحلي الإجمالي سوف تؤدي إلى زيادة معدلات التضخم، وبالتالي يمكن إرجاع جزء كبير من ظاهرة التضخم إلى النمو غير المتوازن بين السوق النقدي والسوق الحقيقي. </w:t>
      </w:r>
      <w:r w:rsidRPr="005E1C8B">
        <w:rPr>
          <w:rFonts w:ascii="Simplified Arabic" w:hAnsi="Simplified Arabic" w:cs="Simplified Arabic"/>
          <w:sz w:val="28"/>
          <w:szCs w:val="28"/>
          <w:vertAlign w:val="superscript"/>
          <w:rtl/>
          <w:lang w:bidi="ar-EG"/>
        </w:rPr>
        <w:t>(</w:t>
      </w:r>
      <w:r w:rsidRPr="005E1C8B">
        <w:rPr>
          <w:rStyle w:val="FootnoteReference"/>
          <w:rFonts w:ascii="Simplified Arabic" w:eastAsiaTheme="minorEastAsia" w:hAnsi="Simplified Arabic" w:cs="Simplified Arabic"/>
          <w:sz w:val="28"/>
          <w:szCs w:val="28"/>
          <w:rtl/>
          <w:lang w:bidi="ar-EG"/>
        </w:rPr>
        <w:footnoteReference w:id="112"/>
      </w:r>
      <w:r w:rsidRPr="005E1C8B">
        <w:rPr>
          <w:rFonts w:ascii="Simplified Arabic" w:hAnsi="Simplified Arabic" w:cs="Simplified Arabic"/>
          <w:sz w:val="28"/>
          <w:szCs w:val="28"/>
          <w:vertAlign w:val="superscript"/>
          <w:rtl/>
          <w:lang w:bidi="ar-EG"/>
        </w:rPr>
        <w:t>)</w:t>
      </w:r>
    </w:p>
    <w:p w14:paraId="1489AAD3" w14:textId="77777777" w:rsidR="002959BC" w:rsidRPr="00076C11" w:rsidRDefault="002959BC" w:rsidP="002959BC">
      <w:pPr>
        <w:spacing w:line="230" w:lineRule="auto"/>
        <w:ind w:firstLine="454"/>
        <w:jc w:val="both"/>
        <w:rPr>
          <w:rFonts w:ascii="Simplified Arabic" w:hAnsi="Simplified Arabic" w:cs="Simplified Arabic"/>
          <w:color w:val="FF0000"/>
          <w:sz w:val="18"/>
          <w:szCs w:val="18"/>
          <w:rtl/>
        </w:rPr>
      </w:pPr>
    </w:p>
    <w:p w14:paraId="006B26B7" w14:textId="77777777" w:rsidR="002959BC" w:rsidRPr="005E1C8B" w:rsidRDefault="002959BC" w:rsidP="002959BC">
      <w:pPr>
        <w:spacing w:line="230" w:lineRule="auto"/>
        <w:ind w:firstLine="454"/>
        <w:jc w:val="both"/>
        <w:rPr>
          <w:rFonts w:ascii="Simplified Arabic" w:hAnsi="Simplified Arabic" w:cs="Simplified Arabic"/>
          <w:sz w:val="28"/>
          <w:szCs w:val="28"/>
          <w:rtl/>
        </w:rPr>
      </w:pPr>
      <w:r w:rsidRPr="005E1C8B">
        <w:rPr>
          <w:rFonts w:ascii="Simplified Arabic" w:hAnsi="Simplified Arabic" w:cs="Simplified Arabic"/>
          <w:sz w:val="28"/>
          <w:szCs w:val="28"/>
          <w:rtl/>
        </w:rPr>
        <w:t xml:space="preserve">لذا سوف يتم الاعتماد على بيانات نمو النقود نسبة إلى الناتج المحلي الإجمالي نظراً لإظهارها للعلاقة بين نمو عرض النقود من جانب وزيادة حجم الناتج المحلي الإجمالي من جانب آخر، وذلك لبيان مدى تأثير ذلك على </w:t>
      </w:r>
      <w:r w:rsidRPr="005E1C8B">
        <w:rPr>
          <w:rFonts w:ascii="Simplified Arabic" w:hAnsi="Simplified Arabic" w:cs="Simplified Arabic"/>
          <w:sz w:val="28"/>
          <w:szCs w:val="28"/>
          <w:rtl/>
          <w:lang w:bidi="ar-EG"/>
        </w:rPr>
        <w:t xml:space="preserve">التضخم معبراً عنه بالرقم القياسي لأسعار المستهلكين </w:t>
      </w:r>
      <w:r w:rsidRPr="005E1C8B">
        <w:rPr>
          <w:rFonts w:ascii="Simplified Arabic" w:hAnsi="Simplified Arabic" w:cs="Simplified Arabic"/>
          <w:sz w:val="28"/>
          <w:szCs w:val="28"/>
          <w:rtl/>
        </w:rPr>
        <w:t>في مصر خلال الفترة موضع الدراسة.</w:t>
      </w:r>
    </w:p>
    <w:p w14:paraId="29B8E797" w14:textId="77777777" w:rsidR="002959BC" w:rsidRPr="00076C11" w:rsidRDefault="002959BC" w:rsidP="002959BC">
      <w:pPr>
        <w:spacing w:line="230" w:lineRule="auto"/>
        <w:ind w:firstLine="454"/>
        <w:jc w:val="both"/>
        <w:rPr>
          <w:rFonts w:ascii="Simplified Arabic" w:hAnsi="Simplified Arabic" w:cs="Simplified Arabic"/>
          <w:sz w:val="16"/>
          <w:szCs w:val="16"/>
          <w:rtl/>
        </w:rPr>
      </w:pPr>
    </w:p>
    <w:p w14:paraId="35994CAC" w14:textId="77777777" w:rsidR="002959BC" w:rsidRPr="00B8576D" w:rsidRDefault="002959BC" w:rsidP="0041332D">
      <w:pPr>
        <w:pStyle w:val="ListParagraph"/>
        <w:numPr>
          <w:ilvl w:val="0"/>
          <w:numId w:val="36"/>
        </w:numPr>
        <w:spacing w:after="0" w:line="230" w:lineRule="auto"/>
        <w:ind w:left="357" w:hanging="357"/>
        <w:contextualSpacing w:val="0"/>
        <w:jc w:val="both"/>
        <w:rPr>
          <w:rFonts w:ascii="Simplified Arabic" w:hAnsi="Simplified Arabic" w:cs="Simplified Arabic"/>
          <w:b/>
          <w:bCs/>
          <w:sz w:val="28"/>
          <w:szCs w:val="28"/>
          <w:u w:val="single"/>
          <w:lang w:bidi="ar-EG"/>
        </w:rPr>
      </w:pPr>
      <w:r w:rsidRPr="00B8576D">
        <w:rPr>
          <w:rFonts w:ascii="Simplified Arabic" w:hAnsi="Simplified Arabic" w:cs="Simplified Arabic"/>
          <w:b/>
          <w:bCs/>
          <w:sz w:val="28"/>
          <w:szCs w:val="28"/>
          <w:u w:val="single"/>
          <w:rtl/>
          <w:lang w:bidi="ar-EG"/>
        </w:rPr>
        <w:t>الاستقرار السياسي (</w:t>
      </w:r>
      <w:r w:rsidRPr="00B8576D">
        <w:rPr>
          <w:rFonts w:ascii="Simplified Arabic" w:hAnsi="Simplified Arabic" w:cs="Simplified Arabic"/>
          <w:b/>
          <w:bCs/>
          <w:sz w:val="28"/>
          <w:szCs w:val="28"/>
          <w:u w:val="single"/>
          <w:lang w:bidi="ar-EG"/>
        </w:rPr>
        <w:t>PS</w:t>
      </w:r>
      <w:r w:rsidRPr="00B8576D">
        <w:rPr>
          <w:rFonts w:ascii="Simplified Arabic" w:hAnsi="Simplified Arabic" w:cs="Simplified Arabic"/>
          <w:b/>
          <w:bCs/>
          <w:sz w:val="28"/>
          <w:szCs w:val="28"/>
          <w:u w:val="single"/>
          <w:rtl/>
          <w:lang w:bidi="ar-EG"/>
        </w:rPr>
        <w:t>):</w:t>
      </w:r>
    </w:p>
    <w:p w14:paraId="551F2608" w14:textId="77777777" w:rsidR="002959BC" w:rsidRPr="005E1C8B" w:rsidRDefault="002959BC" w:rsidP="002959BC">
      <w:pPr>
        <w:spacing w:line="230" w:lineRule="auto"/>
        <w:ind w:firstLine="454"/>
        <w:jc w:val="both"/>
        <w:rPr>
          <w:rFonts w:ascii="Simplified Arabic" w:hAnsi="Simplified Arabic" w:cs="Simplified Arabic"/>
          <w:sz w:val="28"/>
          <w:szCs w:val="28"/>
          <w:rtl/>
          <w:lang w:bidi="ar-EG"/>
        </w:rPr>
      </w:pPr>
      <w:r w:rsidRPr="005E1C8B">
        <w:rPr>
          <w:rFonts w:ascii="Simplified Arabic" w:hAnsi="Simplified Arabic" w:cs="Simplified Arabic"/>
          <w:sz w:val="28"/>
          <w:szCs w:val="28"/>
          <w:rtl/>
          <w:lang w:bidi="ar-EG"/>
        </w:rPr>
        <w:t>سوف يتم استخدام متغير وهمي يعبر عن الاستقرار السياسي، وذلك لبيان أثر ذلك المتغير على التضخم معبراً عنه بالرقم القياسي لأسعار المستهلكين في مصر خلال فترة الدراسة، حيث سوف تأخذ السنوات التي شهدت استقراراً سياسياً القيمة (صفر)، في حين أن السنوات التي شهدت تقلبات سياسية حادة أثرت بشكل كبير على متغيرات الاقتصاد الكلي سوف تأخذ القيمة (1) وهي السنوات من 2011 إلى 2014.</w:t>
      </w:r>
    </w:p>
    <w:p w14:paraId="2702E443" w14:textId="77777777" w:rsidR="002959BC"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p>
    <w:p w14:paraId="34FBB2A3" w14:textId="13051153" w:rsidR="002959BC"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p>
    <w:p w14:paraId="447660AA" w14:textId="0C67267D" w:rsidR="00131C6C" w:rsidRDefault="00131C6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p>
    <w:p w14:paraId="6C3C3CE2" w14:textId="5DF8A223" w:rsidR="00131C6C" w:rsidRDefault="00131C6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p>
    <w:p w14:paraId="2670F242" w14:textId="77777777" w:rsidR="00131C6C" w:rsidRDefault="00131C6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p>
    <w:p w14:paraId="3700D7F4" w14:textId="77777777" w:rsidR="002959BC" w:rsidRPr="001C5D9B"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r w:rsidRPr="001C5D9B">
        <w:rPr>
          <w:rFonts w:ascii="Simplified Arabic" w:eastAsia="Times New Roman" w:hAnsi="Simplified Arabic" w:cs="Simplified Arabic"/>
          <w:b/>
          <w:bCs/>
          <w:sz w:val="24"/>
          <w:szCs w:val="24"/>
          <w:rtl/>
        </w:rPr>
        <w:lastRenderedPageBreak/>
        <w:t>شكل رقم (3-5)</w:t>
      </w:r>
    </w:p>
    <w:p w14:paraId="36698315" w14:textId="77777777" w:rsidR="002959BC" w:rsidRPr="001C5D9B"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r w:rsidRPr="001C5D9B">
        <w:rPr>
          <w:rFonts w:ascii="Simplified Arabic" w:eastAsia="Times New Roman" w:hAnsi="Simplified Arabic" w:cs="Simplified Arabic"/>
          <w:b/>
          <w:bCs/>
          <w:sz w:val="24"/>
          <w:szCs w:val="24"/>
          <w:rtl/>
        </w:rPr>
        <w:t>تطور نمو النقود إلى الناتج المحلي الإجمالي والرقم القياسي لأسعار المستهلكين</w:t>
      </w:r>
    </w:p>
    <w:p w14:paraId="08D6957F" w14:textId="77777777" w:rsidR="002959BC" w:rsidRPr="001C5D9B"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r w:rsidRPr="001C5D9B">
        <w:rPr>
          <w:rFonts w:ascii="Simplified Arabic" w:eastAsia="Times New Roman" w:hAnsi="Simplified Arabic" w:cs="Simplified Arabic"/>
          <w:b/>
          <w:bCs/>
          <w:sz w:val="24"/>
          <w:szCs w:val="24"/>
          <w:rtl/>
        </w:rPr>
        <w:t>خلال الفترة من العام المالي 1991/1992 إلى العام المالي 2018/2019</w:t>
      </w:r>
    </w:p>
    <w:p w14:paraId="2B31ECF3" w14:textId="77777777" w:rsidR="002959BC" w:rsidRPr="005E1C8B" w:rsidRDefault="002959BC" w:rsidP="002959BC">
      <w:pPr>
        <w:jc w:val="center"/>
        <w:rPr>
          <w:rFonts w:ascii="Simplified Arabic" w:hAnsi="Simplified Arabic" w:cs="Simplified Arabic"/>
          <w:sz w:val="28"/>
          <w:szCs w:val="28"/>
          <w:rtl/>
        </w:rPr>
      </w:pPr>
    </w:p>
    <w:p w14:paraId="355BE884" w14:textId="77777777" w:rsidR="002959BC" w:rsidRPr="005E1C8B" w:rsidRDefault="002959BC" w:rsidP="002959BC">
      <w:pPr>
        <w:jc w:val="both"/>
        <w:rPr>
          <w:rFonts w:ascii="Simplified Arabic" w:hAnsi="Simplified Arabic" w:cs="Simplified Arabic"/>
          <w:sz w:val="28"/>
          <w:szCs w:val="28"/>
          <w:rtl/>
          <w:lang w:bidi="ar-EG"/>
        </w:rPr>
      </w:pPr>
      <w:r w:rsidRPr="005E1C8B">
        <w:rPr>
          <w:rFonts w:ascii="Simplified Arabic" w:hAnsi="Simplified Arabic" w:cs="Simplified Arabic"/>
          <w:sz w:val="28"/>
          <w:szCs w:val="28"/>
          <w:rtl/>
        </w:rPr>
        <mc:AlternateContent>
          <mc:Choice Requires="wps">
            <w:drawing>
              <wp:anchor distT="0" distB="0" distL="114300" distR="114300" simplePos="0" relativeHeight="251717632" behindDoc="0" locked="0" layoutInCell="1" allowOverlap="1" wp14:anchorId="71A96607" wp14:editId="0ABC082B">
                <wp:simplePos x="0" y="0"/>
                <wp:positionH relativeFrom="column">
                  <wp:posOffset>2494915</wp:posOffset>
                </wp:positionH>
                <wp:positionV relativeFrom="paragraph">
                  <wp:posOffset>2951067</wp:posOffset>
                </wp:positionV>
                <wp:extent cx="352425" cy="219710"/>
                <wp:effectExtent l="0" t="0" r="9525" b="8890"/>
                <wp:wrapNone/>
                <wp:docPr id="143" name="مربع نص 4"/>
                <wp:cNvGraphicFramePr/>
                <a:graphic xmlns:a="http://schemas.openxmlformats.org/drawingml/2006/main">
                  <a:graphicData uri="http://schemas.microsoft.com/office/word/2010/wordprocessingShape">
                    <wps:wsp>
                      <wps:cNvSpPr txBox="1"/>
                      <wps:spPr>
                        <a:xfrm>
                          <a:off x="0" y="0"/>
                          <a:ext cx="352425" cy="2197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2DFC3F" w14:textId="77777777" w:rsidR="00270E6A" w:rsidRPr="00EC15C7" w:rsidRDefault="00270E6A" w:rsidP="002959BC">
                            <w:pPr>
                              <w:jc w:val="center"/>
                              <w:rPr>
                                <w:sz w:val="16"/>
                                <w:szCs w:val="16"/>
                              </w:rPr>
                            </w:pPr>
                            <w:r w:rsidRPr="00EC15C7">
                              <w:rPr>
                                <w:sz w:val="16"/>
                                <w:szCs w:val="16"/>
                              </w:rPr>
                              <w:t>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96607" id="_x0000_s1135" type="#_x0000_t202" style="position:absolute;left:0;text-align:left;margin-left:196.45pt;margin-top:232.35pt;width:27.75pt;height:17.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" fillcolor="white [3212]" stroked="f" strokeweight=".5pt">
                <v:textbox>
                  <w:txbxContent>
                    <w:p w14:paraId="232DFC3F" w14:textId="77777777" w:rsidR="00270E6A" w:rsidRPr="00EC15C7" w:rsidRDefault="00270E6A" w:rsidP="002959BC">
                      <w:pPr>
                        <w:jc w:val="center"/>
                        <w:rPr>
                          <w:sz w:val="16"/>
                          <w:szCs w:val="16"/>
                        </w:rPr>
                      </w:pPr>
                      <w:r w:rsidRPr="00EC15C7">
                        <w:rPr>
                          <w:sz w:val="16"/>
                          <w:szCs w:val="16"/>
                        </w:rPr>
                        <w:t>M2</w:t>
                      </w:r>
                    </w:p>
                  </w:txbxContent>
                </v:textbox>
              </v:shape>
            </w:pict>
          </mc:Fallback>
        </mc:AlternateContent>
      </w:r>
      <w:r w:rsidRPr="005E1C8B">
        <w:rPr>
          <w:rFonts w:ascii="Simplified Arabic" w:hAnsi="Simplified Arabic" w:cs="Simplified Arabic"/>
          <w:sz w:val="28"/>
          <w:szCs w:val="28"/>
        </w:rPr>
        <w:drawing>
          <wp:inline distT="0" distB="0" distL="0" distR="0" wp14:anchorId="6A920334" wp14:editId="7E91DAD2">
            <wp:extent cx="5400000" cy="3240000"/>
            <wp:effectExtent l="0" t="0" r="10795" b="17780"/>
            <wp:docPr id="148" name="Chart 148">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1F3D94F" w14:textId="77777777" w:rsidR="002959BC" w:rsidRPr="00076C11" w:rsidRDefault="002959BC" w:rsidP="002959BC">
      <w:pPr>
        <w:pStyle w:val="ListParagraph"/>
        <w:spacing w:after="0" w:line="240" w:lineRule="auto"/>
        <w:ind w:left="28" w:firstLine="79"/>
        <w:contextualSpacing w:val="0"/>
        <w:jc w:val="both"/>
        <w:rPr>
          <w:rFonts w:ascii="Simplified Arabic" w:eastAsia="Times New Roman" w:hAnsi="Simplified Arabic" w:cs="Simplified Arabic"/>
          <w:sz w:val="24"/>
          <w:szCs w:val="24"/>
          <w:rtl/>
        </w:rPr>
      </w:pPr>
      <w:r w:rsidRPr="00076C11">
        <w:rPr>
          <w:rFonts w:ascii="Simplified Arabic" w:eastAsia="Times New Roman" w:hAnsi="Simplified Arabic" w:cs="Simplified Arabic"/>
          <w:sz w:val="24"/>
          <w:szCs w:val="24"/>
          <w:rtl/>
        </w:rPr>
        <w:t>المصدر: من إعداد الباحث بالاعتماد على بيانات الجدول رقم (4-5) من الملحق الإحصائي.</w:t>
      </w:r>
    </w:p>
    <w:p w14:paraId="22E47EDF" w14:textId="77777777" w:rsidR="002959BC" w:rsidRPr="005E1C8B" w:rsidRDefault="002959BC" w:rsidP="002959BC">
      <w:pPr>
        <w:ind w:firstLine="454"/>
        <w:jc w:val="both"/>
        <w:rPr>
          <w:rFonts w:ascii="Simplified Arabic" w:hAnsi="Simplified Arabic" w:cs="Simplified Arabic"/>
          <w:color w:val="FF0000"/>
          <w:sz w:val="28"/>
          <w:szCs w:val="28"/>
          <w:rtl/>
        </w:rPr>
      </w:pPr>
    </w:p>
    <w:p w14:paraId="32E3FC51" w14:textId="77777777" w:rsidR="002959BC" w:rsidRPr="005E1C8B" w:rsidRDefault="002959BC" w:rsidP="002959BC">
      <w:pPr>
        <w:jc w:val="both"/>
        <w:rPr>
          <w:rFonts w:ascii="Simplified Arabic" w:hAnsi="Simplified Arabic" w:cs="Simplified Arabic"/>
          <w:sz w:val="28"/>
          <w:szCs w:val="28"/>
          <w:rtl/>
        </w:rPr>
      </w:pPr>
    </w:p>
    <w:p w14:paraId="04A20565" w14:textId="47539925" w:rsidR="002959BC" w:rsidRDefault="002959BC">
      <w:pPr>
        <w:bidi w:val="0"/>
        <w:spacing w:after="160" w:line="259" w:lineRule="auto"/>
        <w:rPr>
          <w:rtl/>
        </w:rPr>
      </w:pPr>
      <w:r>
        <w:rPr>
          <w:rtl/>
        </w:rPr>
        <w:br w:type="page"/>
      </w:r>
    </w:p>
    <w:p w14:paraId="110F0F90" w14:textId="77777777" w:rsidR="002959BC" w:rsidRPr="006043FE" w:rsidRDefault="002959BC" w:rsidP="002959BC">
      <w:pPr>
        <w:shd w:val="clear" w:color="auto" w:fill="C5E0B3" w:themeFill="accent6" w:themeFillTint="66"/>
        <w:ind w:firstLine="28"/>
        <w:jc w:val="center"/>
        <w:rPr>
          <w:rFonts w:ascii="Simplified Arabic" w:hAnsi="Simplified Arabic" w:cs="Simplified Arabic"/>
          <w:b/>
          <w:bCs/>
          <w:sz w:val="32"/>
          <w:szCs w:val="32"/>
          <w:rtl/>
          <w:lang w:bidi="ar-EG"/>
        </w:rPr>
      </w:pPr>
      <w:r w:rsidRPr="006043FE">
        <w:rPr>
          <w:rFonts w:ascii="Simplified Arabic" w:hAnsi="Simplified Arabic" w:cs="Simplified Arabic"/>
          <w:b/>
          <w:bCs/>
          <w:sz w:val="32"/>
          <w:szCs w:val="32"/>
          <w:rtl/>
          <w:lang w:bidi="ar-EG"/>
        </w:rPr>
        <w:lastRenderedPageBreak/>
        <w:t>المبحث الثاني:</w:t>
      </w:r>
    </w:p>
    <w:p w14:paraId="09D4BF23" w14:textId="77777777" w:rsidR="002959BC" w:rsidRPr="006043FE" w:rsidRDefault="002959BC" w:rsidP="002959BC">
      <w:pPr>
        <w:shd w:val="clear" w:color="auto" w:fill="C5E0B3" w:themeFill="accent6" w:themeFillTint="66"/>
        <w:ind w:firstLine="28"/>
        <w:jc w:val="center"/>
        <w:rPr>
          <w:rFonts w:ascii="Simplified Arabic" w:hAnsi="Simplified Arabic" w:cs="Simplified Arabic"/>
          <w:b/>
          <w:bCs/>
          <w:sz w:val="32"/>
          <w:szCs w:val="32"/>
          <w:rtl/>
          <w:lang w:bidi="ar-EG"/>
        </w:rPr>
      </w:pPr>
      <w:r w:rsidRPr="006043FE">
        <w:rPr>
          <w:rFonts w:ascii="Simplified Arabic" w:hAnsi="Simplified Arabic" w:cs="Simplified Arabic"/>
          <w:b/>
          <w:bCs/>
          <w:sz w:val="32"/>
          <w:szCs w:val="32"/>
          <w:rtl/>
          <w:lang w:bidi="ar-EG"/>
        </w:rPr>
        <w:t>الدراسة القياسية للعلاقة بين آليات تمويل عجز الموازنة العامة والتضخم</w:t>
      </w:r>
    </w:p>
    <w:p w14:paraId="41B5618E" w14:textId="77777777" w:rsidR="002959BC" w:rsidRPr="006043FE" w:rsidRDefault="002959BC" w:rsidP="002959BC">
      <w:pPr>
        <w:jc w:val="both"/>
        <w:rPr>
          <w:rFonts w:ascii="Simplified Arabic" w:hAnsi="Simplified Arabic" w:cs="Simplified Arabic"/>
          <w:b/>
          <w:bCs/>
          <w:sz w:val="30"/>
          <w:szCs w:val="30"/>
          <w:rtl/>
          <w:lang w:bidi="ar-EG"/>
        </w:rPr>
      </w:pPr>
      <w:r w:rsidRPr="006043FE">
        <w:rPr>
          <w:rFonts w:ascii="Simplified Arabic" w:hAnsi="Simplified Arabic" w:cs="Simplified Arabic"/>
          <w:b/>
          <w:bCs/>
          <w:sz w:val="30"/>
          <w:szCs w:val="30"/>
          <w:rtl/>
          <w:lang w:bidi="ar-EG"/>
        </w:rPr>
        <w:t>تمهيد:</w:t>
      </w:r>
    </w:p>
    <w:p w14:paraId="666C5522" w14:textId="77777777" w:rsidR="002959BC" w:rsidRPr="006043FE" w:rsidRDefault="002959BC" w:rsidP="002959BC">
      <w:pPr>
        <w:ind w:firstLine="454"/>
        <w:jc w:val="both"/>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 xml:space="preserve">سوف يتناول هذا المبحث دراسة العلاقة بين التضخم معبراً عنه بالرقم القياسي لأسعار المستهلكين والآليات المالية لتمويل عجز الموازنة العامة في مصر باستخدام المنهج القياسي، وذلك باستخدام بيانات سنوية تغطي الفترة من عام 1991 إلى عام 2016 لتقدير معلمات النموذج القياسي. والذي يتضمن التضخم معبراً عنه بالرقم القياسي لأسعار المستهلكين (كمتغير تابع)، وآليات تمويل عجز الموازنة العامة والتي تشمل التمويل المحلي المصرفي، والتمويل المحلي غير المصرفي، والتمويل الخارجي (كمتغيرات تفسيرية) بالإضافة إلى أهم المتغيرات التفسيرية لظاهرة التضخم. </w:t>
      </w:r>
    </w:p>
    <w:p w14:paraId="650ADD4E" w14:textId="77777777" w:rsidR="002959BC" w:rsidRPr="004936F8" w:rsidRDefault="002959BC" w:rsidP="002959BC">
      <w:pPr>
        <w:ind w:firstLine="454"/>
        <w:jc w:val="both"/>
        <w:rPr>
          <w:rFonts w:ascii="Simplified Arabic" w:hAnsi="Simplified Arabic" w:cs="Simplified Arabic"/>
          <w:color w:val="FF0000"/>
          <w:rtl/>
          <w:lang w:bidi="ar-EG"/>
        </w:rPr>
      </w:pPr>
    </w:p>
    <w:p w14:paraId="6CD8DF03" w14:textId="77777777" w:rsidR="002959BC" w:rsidRPr="00090DA3" w:rsidRDefault="002959BC" w:rsidP="002959BC">
      <w:pPr>
        <w:jc w:val="both"/>
        <w:rPr>
          <w:rFonts w:ascii="Simplified Arabic" w:hAnsi="Simplified Arabic" w:cs="Simplified Arabic"/>
          <w:b/>
          <w:bCs/>
          <w:sz w:val="30"/>
          <w:szCs w:val="30"/>
          <w:u w:val="single"/>
          <w:rtl/>
          <w:lang w:bidi="ar-EG"/>
        </w:rPr>
      </w:pPr>
      <w:r w:rsidRPr="00090DA3">
        <w:rPr>
          <w:rFonts w:ascii="Simplified Arabic" w:hAnsi="Simplified Arabic" w:cs="Simplified Arabic"/>
          <w:b/>
          <w:bCs/>
          <w:sz w:val="30"/>
          <w:szCs w:val="30"/>
          <w:u w:val="single"/>
          <w:rtl/>
          <w:lang w:bidi="ar-EG"/>
        </w:rPr>
        <w:t xml:space="preserve">أولاً: توصيف النموذج </w:t>
      </w:r>
      <w:r w:rsidRPr="00090DA3">
        <w:rPr>
          <w:rFonts w:ascii="Simplified Arabic" w:hAnsi="Simplified Arabic" w:cs="Simplified Arabic"/>
          <w:b/>
          <w:bCs/>
          <w:sz w:val="30"/>
          <w:szCs w:val="30"/>
          <w:u w:val="single"/>
          <w:lang w:bidi="ar-EG"/>
        </w:rPr>
        <w:t>Specification of the Model</w:t>
      </w:r>
      <w:r w:rsidRPr="00090DA3">
        <w:rPr>
          <w:rFonts w:ascii="Simplified Arabic" w:hAnsi="Simplified Arabic" w:cs="Simplified Arabic"/>
          <w:b/>
          <w:bCs/>
          <w:sz w:val="30"/>
          <w:szCs w:val="30"/>
          <w:u w:val="single"/>
          <w:rtl/>
          <w:lang w:bidi="ar-EG"/>
        </w:rPr>
        <w:t xml:space="preserve"> </w:t>
      </w:r>
    </w:p>
    <w:p w14:paraId="56F06296" w14:textId="77777777" w:rsidR="002959BC" w:rsidRPr="006043FE" w:rsidRDefault="002959BC" w:rsidP="002959BC">
      <w:pPr>
        <w:ind w:firstLine="454"/>
        <w:jc w:val="both"/>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تُعد مرحلة توصيف (صياغة) النموذج من أهم مراحل بناء النموذج وأصعبها وذلك من خلال ما تتطلبه من تحديد للمتغيرات التي يجب أن يشتمل عليها النموذج أو التي يجب استبعادها منه، وفي هذه المرحلة يتم الاعتماد على النظرية الاقتصادية.</w:t>
      </w:r>
      <w:r w:rsidRPr="006043FE">
        <w:rPr>
          <w:rFonts w:ascii="Simplified Arabic" w:hAnsi="Simplified Arabic" w:cs="Simplified Arabic"/>
          <w:sz w:val="28"/>
          <w:szCs w:val="28"/>
          <w:vertAlign w:val="superscript"/>
          <w:rtl/>
          <w:lang w:bidi="ar-EG"/>
        </w:rPr>
        <w:t>(</w:t>
      </w:r>
      <w:r w:rsidRPr="006043FE">
        <w:rPr>
          <w:rStyle w:val="FootnoteReference"/>
          <w:rFonts w:ascii="Simplified Arabic" w:eastAsiaTheme="minorEastAsia" w:hAnsi="Simplified Arabic" w:cs="Simplified Arabic"/>
          <w:sz w:val="28"/>
          <w:szCs w:val="28"/>
          <w:rtl/>
          <w:lang w:bidi="ar-EG"/>
        </w:rPr>
        <w:footnoteReference w:id="113"/>
      </w:r>
      <w:r w:rsidRPr="006043FE">
        <w:rPr>
          <w:rFonts w:ascii="Simplified Arabic" w:hAnsi="Simplified Arabic" w:cs="Simplified Arabic"/>
          <w:sz w:val="28"/>
          <w:szCs w:val="28"/>
          <w:vertAlign w:val="superscript"/>
          <w:rtl/>
          <w:lang w:bidi="ar-EG"/>
        </w:rPr>
        <w:t>)</w:t>
      </w:r>
    </w:p>
    <w:p w14:paraId="5F02EEEE" w14:textId="77777777" w:rsidR="002959BC" w:rsidRPr="00293E9A" w:rsidRDefault="002959BC" w:rsidP="002959BC">
      <w:pPr>
        <w:ind w:firstLine="454"/>
        <w:jc w:val="both"/>
        <w:rPr>
          <w:rFonts w:ascii="Simplified Arabic" w:hAnsi="Simplified Arabic" w:cs="Simplified Arabic"/>
          <w:sz w:val="18"/>
          <w:szCs w:val="18"/>
          <w:rtl/>
          <w:lang w:bidi="ar-EG"/>
        </w:rPr>
      </w:pPr>
    </w:p>
    <w:p w14:paraId="0E950385" w14:textId="77777777" w:rsidR="002959BC" w:rsidRDefault="002959BC" w:rsidP="002959BC">
      <w:pPr>
        <w:ind w:firstLine="454"/>
        <w:jc w:val="both"/>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 xml:space="preserve"> ووفقاً للنظريات المفسرة للتضخم والتي تم تناولها بشيء من التفصيل في الفصل الأول من هذه الدراسة، فإن التضخم يرجع إلى أسباب عدة من بينها الزيادة في عرض النقود والزيادة في الإنفاق الحكومي والاختلالات الهيكلية والتوقعات وغيرها من الأسباب، إلا أنه لغرض تحقيق أهداف هذه الدراسة فسوف يقتصر على دراسة أثر آليات تمويل عجز الموازنة على التضخم، مع إضافة أهم المتغيرات الأخرى إلى النموذج القياسي وفقاً للدراسات السابقة، وذلك على النحو التالي:-</w:t>
      </w:r>
    </w:p>
    <w:tbl>
      <w:tblPr>
        <w:tblStyle w:val="TableGrid"/>
        <w:bidiVisual/>
        <w:tblW w:w="0" w:type="auto"/>
        <w:tblLayout w:type="fixed"/>
        <w:tblLook w:val="04A0" w:firstRow="1" w:lastRow="0" w:firstColumn="1" w:lastColumn="0" w:noHBand="0" w:noVBand="1"/>
      </w:tblPr>
      <w:tblGrid>
        <w:gridCol w:w="1525"/>
        <w:gridCol w:w="28"/>
        <w:gridCol w:w="851"/>
        <w:gridCol w:w="15"/>
        <w:gridCol w:w="4367"/>
        <w:gridCol w:w="12"/>
        <w:gridCol w:w="2093"/>
      </w:tblGrid>
      <w:tr w:rsidR="002959BC" w:rsidRPr="006043FE" w14:paraId="3B9076C8" w14:textId="77777777" w:rsidTr="00270E6A">
        <w:trPr>
          <w:trHeight w:val="713"/>
          <w:tblHeader/>
        </w:trPr>
        <w:tc>
          <w:tcPr>
            <w:tcW w:w="1553" w:type="dxa"/>
            <w:gridSpan w:val="2"/>
            <w:shd w:val="clear" w:color="auto" w:fill="F2F2F2" w:themeFill="background1" w:themeFillShade="F2"/>
            <w:vAlign w:val="center"/>
          </w:tcPr>
          <w:p w14:paraId="05B4BDBE" w14:textId="77777777" w:rsidR="002959BC" w:rsidRPr="006043FE" w:rsidRDefault="002959BC" w:rsidP="00270E6A">
            <w:pPr>
              <w:contextualSpacing/>
              <w:jc w:val="center"/>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المتغير</w:t>
            </w:r>
          </w:p>
        </w:tc>
        <w:tc>
          <w:tcPr>
            <w:tcW w:w="851" w:type="dxa"/>
            <w:shd w:val="clear" w:color="auto" w:fill="F2F2F2" w:themeFill="background1" w:themeFillShade="F2"/>
            <w:vAlign w:val="center"/>
          </w:tcPr>
          <w:p w14:paraId="01DFCCE3" w14:textId="77777777" w:rsidR="002959BC" w:rsidRPr="006043FE" w:rsidRDefault="002959BC" w:rsidP="00270E6A">
            <w:pPr>
              <w:contextualSpacing/>
              <w:jc w:val="center"/>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الرمز</w:t>
            </w:r>
          </w:p>
        </w:tc>
        <w:tc>
          <w:tcPr>
            <w:tcW w:w="4382" w:type="dxa"/>
            <w:gridSpan w:val="2"/>
            <w:shd w:val="clear" w:color="auto" w:fill="F2F2F2" w:themeFill="background1" w:themeFillShade="F2"/>
            <w:vAlign w:val="center"/>
          </w:tcPr>
          <w:p w14:paraId="01C3D00C" w14:textId="77777777" w:rsidR="002959BC" w:rsidRPr="006043FE" w:rsidRDefault="002959BC" w:rsidP="00270E6A">
            <w:pPr>
              <w:contextualSpacing/>
              <w:jc w:val="center"/>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تعريف المتغير</w:t>
            </w:r>
          </w:p>
        </w:tc>
        <w:tc>
          <w:tcPr>
            <w:tcW w:w="2105" w:type="dxa"/>
            <w:gridSpan w:val="2"/>
            <w:shd w:val="clear" w:color="auto" w:fill="F2F2F2" w:themeFill="background1" w:themeFillShade="F2"/>
            <w:vAlign w:val="center"/>
          </w:tcPr>
          <w:p w14:paraId="50111CF3" w14:textId="77777777" w:rsidR="002959BC" w:rsidRPr="006043FE" w:rsidRDefault="002959BC" w:rsidP="00270E6A">
            <w:pPr>
              <w:contextualSpacing/>
              <w:jc w:val="center"/>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مصدر البيانات</w:t>
            </w:r>
          </w:p>
        </w:tc>
      </w:tr>
      <w:tr w:rsidR="002959BC" w:rsidRPr="006043FE" w14:paraId="48FA9A1A" w14:textId="77777777" w:rsidTr="00270E6A">
        <w:tc>
          <w:tcPr>
            <w:tcW w:w="8891" w:type="dxa"/>
            <w:gridSpan w:val="7"/>
          </w:tcPr>
          <w:p w14:paraId="3029A70E" w14:textId="77777777" w:rsidR="002959BC" w:rsidRPr="006043FE" w:rsidRDefault="002959BC" w:rsidP="00270E6A">
            <w:pPr>
              <w:contextualSpacing/>
              <w:rPr>
                <w:rFonts w:ascii="Simplified Arabic" w:hAnsi="Simplified Arabic" w:cs="Simplified Arabic"/>
                <w:sz w:val="28"/>
                <w:szCs w:val="28"/>
                <w:rtl/>
                <w:lang w:bidi="ar-EG"/>
              </w:rPr>
            </w:pPr>
            <w:r w:rsidRPr="006043FE">
              <w:rPr>
                <w:rFonts w:ascii="Simplified Arabic" w:hAnsi="Simplified Arabic" w:cs="Simplified Arabic"/>
                <w:sz w:val="28"/>
                <w:szCs w:val="28"/>
                <w:u w:val="single"/>
                <w:rtl/>
                <w:lang w:bidi="ar-EG"/>
              </w:rPr>
              <w:t>المتغير التابــــع:</w:t>
            </w:r>
          </w:p>
        </w:tc>
      </w:tr>
      <w:tr w:rsidR="002959BC" w:rsidRPr="006043FE" w14:paraId="1110E131" w14:textId="77777777" w:rsidTr="00270E6A">
        <w:tc>
          <w:tcPr>
            <w:tcW w:w="1553" w:type="dxa"/>
            <w:gridSpan w:val="2"/>
          </w:tcPr>
          <w:p w14:paraId="50F6C55D" w14:textId="77777777" w:rsidR="002959BC" w:rsidRPr="006043FE" w:rsidRDefault="002959BC" w:rsidP="00270E6A">
            <w:pPr>
              <w:contextualSpacing/>
              <w:jc w:val="center"/>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الرقم القياسي لأسعار المستهلكين</w:t>
            </w:r>
          </w:p>
        </w:tc>
        <w:tc>
          <w:tcPr>
            <w:tcW w:w="851" w:type="dxa"/>
          </w:tcPr>
          <w:p w14:paraId="25FE6C89" w14:textId="77777777" w:rsidR="002959BC" w:rsidRPr="006043FE" w:rsidRDefault="002959BC" w:rsidP="00270E6A">
            <w:pPr>
              <w:contextualSpacing/>
              <w:jc w:val="center"/>
              <w:rPr>
                <w:rFonts w:ascii="Simplified Arabic" w:hAnsi="Simplified Arabic" w:cs="Simplified Arabic"/>
                <w:sz w:val="28"/>
                <w:szCs w:val="28"/>
                <w:rtl/>
                <w:lang w:bidi="ar-EG"/>
              </w:rPr>
            </w:pPr>
            <w:r w:rsidRPr="006043FE">
              <w:rPr>
                <w:rFonts w:ascii="Simplified Arabic" w:hAnsi="Simplified Arabic" w:cs="Simplified Arabic"/>
                <w:sz w:val="28"/>
                <w:szCs w:val="28"/>
                <w:lang w:bidi="ar-EG"/>
              </w:rPr>
              <w:t>CPI</w:t>
            </w:r>
          </w:p>
        </w:tc>
        <w:tc>
          <w:tcPr>
            <w:tcW w:w="4382" w:type="dxa"/>
            <w:gridSpan w:val="2"/>
          </w:tcPr>
          <w:p w14:paraId="2C967EE4" w14:textId="3891BFFE" w:rsidR="002959BC" w:rsidRPr="006043FE" w:rsidRDefault="002959BC" w:rsidP="00270E6A">
            <w:pPr>
              <w:contextualSpacing/>
              <w:jc w:val="lowKashida"/>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تم الاعتماد على الرقم القياسي لأسعار المستهلكين الذي يعكس التغيرات في التكلفة على المستهلك المتوسط للحصول على سلة من السلع والخدمات التي يمكن أن تثبت أو تتغير على فترات زمنية محددة، ككل سنة مثلاً</w:t>
            </w:r>
            <w:r>
              <w:rPr>
                <w:rFonts w:ascii="Simplified Arabic" w:hAnsi="Simplified Arabic" w:cs="Simplified Arabic" w:hint="cs"/>
                <w:sz w:val="28"/>
                <w:szCs w:val="28"/>
                <w:rtl/>
                <w:lang w:bidi="ar-EG"/>
              </w:rPr>
              <w:t>. حيث يمثل التغير السنوي في الرقم القياسي لأسعار المستهلكين معدلات التضخم.</w:t>
            </w:r>
          </w:p>
        </w:tc>
        <w:tc>
          <w:tcPr>
            <w:tcW w:w="2105" w:type="dxa"/>
            <w:gridSpan w:val="2"/>
          </w:tcPr>
          <w:p w14:paraId="248EB05F" w14:textId="77777777" w:rsidR="002959BC" w:rsidRPr="006043FE" w:rsidRDefault="002959BC" w:rsidP="00270E6A">
            <w:pPr>
              <w:contextualSpacing/>
              <w:jc w:val="lowKashida"/>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قاعدة بيانات البنك الدولي</w:t>
            </w:r>
          </w:p>
        </w:tc>
      </w:tr>
      <w:tr w:rsidR="002959BC" w:rsidRPr="006043FE" w14:paraId="08CB46CA" w14:textId="77777777" w:rsidTr="00270E6A">
        <w:tc>
          <w:tcPr>
            <w:tcW w:w="8891" w:type="dxa"/>
            <w:gridSpan w:val="7"/>
            <w:vAlign w:val="center"/>
          </w:tcPr>
          <w:p w14:paraId="4F9BBC83" w14:textId="77777777" w:rsidR="002959BC" w:rsidRDefault="002959BC" w:rsidP="00270E6A">
            <w:pPr>
              <w:contextualSpacing/>
              <w:rPr>
                <w:rFonts w:ascii="Simplified Arabic" w:hAnsi="Simplified Arabic" w:cs="Simplified Arabic"/>
                <w:sz w:val="28"/>
                <w:szCs w:val="28"/>
                <w:rtl/>
                <w:lang w:bidi="ar-EG"/>
              </w:rPr>
            </w:pPr>
            <w:r w:rsidRPr="006043FE">
              <w:rPr>
                <w:rFonts w:ascii="Simplified Arabic" w:hAnsi="Simplified Arabic" w:cs="Simplified Arabic"/>
                <w:sz w:val="28"/>
                <w:szCs w:val="28"/>
                <w:u w:val="single"/>
                <w:rtl/>
                <w:lang w:bidi="ar-EG"/>
              </w:rPr>
              <w:lastRenderedPageBreak/>
              <w:t>المتغيرات المستقلة:</w:t>
            </w:r>
          </w:p>
          <w:p w14:paraId="249BD1C5" w14:textId="77777777" w:rsidR="002959BC" w:rsidRPr="006043FE" w:rsidRDefault="002959BC" w:rsidP="00270E6A">
            <w:pPr>
              <w:contextualSpacing/>
              <w:rPr>
                <w:rFonts w:ascii="Simplified Arabic" w:hAnsi="Simplified Arabic" w:cs="Simplified Arabic"/>
                <w:sz w:val="28"/>
                <w:szCs w:val="28"/>
                <w:rtl/>
                <w:lang w:bidi="ar-EG"/>
              </w:rPr>
            </w:pPr>
          </w:p>
        </w:tc>
      </w:tr>
      <w:tr w:rsidR="002959BC" w:rsidRPr="006043FE" w14:paraId="3ADB8F71" w14:textId="77777777" w:rsidTr="00270E6A">
        <w:tc>
          <w:tcPr>
            <w:tcW w:w="1525" w:type="dxa"/>
          </w:tcPr>
          <w:p w14:paraId="79676D26" w14:textId="77777777" w:rsidR="002959BC" w:rsidRPr="006043FE" w:rsidRDefault="002959BC" w:rsidP="00270E6A">
            <w:pPr>
              <w:contextualSpacing/>
              <w:jc w:val="lowKashida"/>
              <w:rPr>
                <w:rFonts w:ascii="Simplified Arabic" w:hAnsi="Simplified Arabic" w:cs="Simplified Arabic"/>
                <w:sz w:val="28"/>
                <w:szCs w:val="28"/>
                <w:u w:val="single"/>
                <w:rtl/>
                <w:lang w:bidi="ar-EG"/>
              </w:rPr>
            </w:pPr>
            <w:r w:rsidRPr="006043FE">
              <w:rPr>
                <w:rFonts w:ascii="Simplified Arabic" w:hAnsi="Simplified Arabic" w:cs="Simplified Arabic"/>
                <w:sz w:val="28"/>
                <w:szCs w:val="28"/>
                <w:rtl/>
                <w:lang w:bidi="ar-EG"/>
              </w:rPr>
              <w:t xml:space="preserve">التمويل المحلي المصرفي لعجز الموازنة العامة </w:t>
            </w:r>
            <w:r w:rsidRPr="006043FE">
              <w:rPr>
                <w:rFonts w:ascii="Simplified Arabic" w:hAnsi="Simplified Arabic" w:cs="Simplified Arabic"/>
                <w:sz w:val="28"/>
                <w:szCs w:val="28"/>
                <w:vertAlign w:val="superscript"/>
                <w:rtl/>
                <w:lang w:bidi="ar-EG"/>
              </w:rPr>
              <w:t>(</w:t>
            </w:r>
            <w:r w:rsidRPr="006043FE">
              <w:rPr>
                <w:rStyle w:val="FootnoteReference"/>
                <w:rFonts w:ascii="Simplified Arabic" w:eastAsiaTheme="minorEastAsia" w:hAnsi="Simplified Arabic" w:cs="Simplified Arabic"/>
                <w:sz w:val="28"/>
                <w:szCs w:val="28"/>
                <w:rtl/>
                <w:lang w:bidi="ar-EG"/>
              </w:rPr>
              <w:footnoteReference w:id="114"/>
            </w:r>
            <w:r w:rsidRPr="006043FE">
              <w:rPr>
                <w:rFonts w:ascii="Simplified Arabic" w:hAnsi="Simplified Arabic" w:cs="Simplified Arabic"/>
                <w:sz w:val="28"/>
                <w:szCs w:val="28"/>
                <w:vertAlign w:val="superscript"/>
                <w:rtl/>
                <w:lang w:bidi="ar-EG"/>
              </w:rPr>
              <w:t>)</w:t>
            </w:r>
            <w:r w:rsidRPr="006043FE">
              <w:rPr>
                <w:rFonts w:ascii="Simplified Arabic" w:hAnsi="Simplified Arabic" w:cs="Simplified Arabic"/>
                <w:sz w:val="28"/>
                <w:szCs w:val="28"/>
                <w:rtl/>
                <w:lang w:bidi="ar-EG"/>
              </w:rPr>
              <w:t xml:space="preserve"> </w:t>
            </w:r>
          </w:p>
        </w:tc>
        <w:tc>
          <w:tcPr>
            <w:tcW w:w="894" w:type="dxa"/>
            <w:gridSpan w:val="3"/>
          </w:tcPr>
          <w:p w14:paraId="0FD34CBC" w14:textId="77777777" w:rsidR="002959BC" w:rsidRPr="006043FE" w:rsidRDefault="002959BC" w:rsidP="00270E6A">
            <w:pPr>
              <w:contextualSpacing/>
              <w:jc w:val="lowKashida"/>
              <w:rPr>
                <w:rFonts w:ascii="Simplified Arabic" w:hAnsi="Simplified Arabic" w:cs="Simplified Arabic"/>
                <w:sz w:val="28"/>
                <w:szCs w:val="28"/>
                <w:u w:val="single"/>
                <w:rtl/>
                <w:lang w:bidi="ar-EG"/>
              </w:rPr>
            </w:pPr>
            <w:r w:rsidRPr="006043FE">
              <w:rPr>
                <w:rFonts w:ascii="Simplified Arabic" w:hAnsi="Simplified Arabic" w:cs="Simplified Arabic"/>
                <w:sz w:val="28"/>
                <w:szCs w:val="28"/>
                <w:lang w:bidi="ar-EG"/>
              </w:rPr>
              <w:t>DB</w:t>
            </w:r>
          </w:p>
        </w:tc>
        <w:tc>
          <w:tcPr>
            <w:tcW w:w="4367" w:type="dxa"/>
            <w:vMerge w:val="restart"/>
          </w:tcPr>
          <w:p w14:paraId="38337A93" w14:textId="77777777" w:rsidR="002959BC" w:rsidRPr="006043FE" w:rsidRDefault="002959BC" w:rsidP="00270E6A">
            <w:pPr>
              <w:contextualSpacing/>
              <w:jc w:val="lowKashida"/>
              <w:rPr>
                <w:rFonts w:ascii="Simplified Arabic" w:hAnsi="Simplified Arabic" w:cs="Simplified Arabic"/>
                <w:sz w:val="28"/>
                <w:szCs w:val="28"/>
                <w:rtl/>
                <w:lang w:bidi="ar-EG"/>
              </w:rPr>
            </w:pPr>
          </w:p>
          <w:p w14:paraId="29F22EAC" w14:textId="77777777" w:rsidR="002959BC" w:rsidRPr="006043FE" w:rsidRDefault="002959BC" w:rsidP="00270E6A">
            <w:pPr>
              <w:contextualSpacing/>
              <w:jc w:val="lowKashida"/>
              <w:rPr>
                <w:rFonts w:ascii="Simplified Arabic" w:hAnsi="Simplified Arabic" w:cs="Simplified Arabic"/>
                <w:sz w:val="28"/>
                <w:szCs w:val="28"/>
                <w:lang w:bidi="ar-EG"/>
              </w:rPr>
            </w:pPr>
            <w:r w:rsidRPr="006043FE">
              <w:rPr>
                <w:rFonts w:ascii="Simplified Arabic" w:hAnsi="Simplified Arabic" w:cs="Simplified Arabic"/>
                <w:sz w:val="28"/>
                <w:szCs w:val="28"/>
                <w:rtl/>
                <w:lang w:bidi="ar-EG"/>
              </w:rPr>
              <w:t xml:space="preserve">يتوقع أن تكون العلاقة بين هذه المتغيرات والتي تمثل آليات تمويل عجز الموازنة العامة للدولة والرقم القياسي لأسعار المستهلكين علاقة طردية أي أن قيم </w:t>
            </w:r>
            <w:r w:rsidRPr="006043FE">
              <w:rPr>
                <w:rFonts w:cs="Times New Roman"/>
                <w:sz w:val="28"/>
                <w:szCs w:val="28"/>
                <w:lang w:bidi="ar-EG"/>
              </w:rPr>
              <w:t>β</w:t>
            </w:r>
            <w:r w:rsidRPr="006043FE">
              <w:rPr>
                <w:rFonts w:ascii="Simplified Arabic" w:hAnsi="Simplified Arabic" w:cs="Simplified Arabic"/>
                <w:sz w:val="28"/>
                <w:szCs w:val="28"/>
                <w:vertAlign w:val="subscript"/>
                <w:lang w:bidi="ar-EG"/>
              </w:rPr>
              <w:t>3</w:t>
            </w:r>
            <w:r w:rsidRPr="006043FE">
              <w:rPr>
                <w:rFonts w:ascii="Simplified Arabic" w:hAnsi="Simplified Arabic" w:cs="Simplified Arabic"/>
                <w:sz w:val="28"/>
                <w:szCs w:val="28"/>
                <w:vertAlign w:val="subscript"/>
                <w:rtl/>
                <w:lang w:bidi="ar-EG"/>
              </w:rPr>
              <w:t xml:space="preserve"> ، </w:t>
            </w:r>
            <w:r w:rsidRPr="006043FE">
              <w:rPr>
                <w:rFonts w:cs="Times New Roman"/>
                <w:sz w:val="28"/>
                <w:szCs w:val="28"/>
                <w:lang w:bidi="ar-EG"/>
              </w:rPr>
              <w:t>β</w:t>
            </w:r>
            <w:r w:rsidRPr="006043FE">
              <w:rPr>
                <w:rFonts w:ascii="Simplified Arabic" w:hAnsi="Simplified Arabic" w:cs="Simplified Arabic"/>
                <w:sz w:val="28"/>
                <w:szCs w:val="28"/>
                <w:vertAlign w:val="subscript"/>
                <w:lang w:bidi="ar-EG"/>
              </w:rPr>
              <w:t>2</w:t>
            </w:r>
            <w:r w:rsidRPr="006043FE">
              <w:rPr>
                <w:rFonts w:ascii="Simplified Arabic" w:hAnsi="Simplified Arabic" w:cs="Simplified Arabic"/>
                <w:sz w:val="28"/>
                <w:szCs w:val="28"/>
                <w:vertAlign w:val="subscript"/>
                <w:rtl/>
                <w:lang w:bidi="ar-EG"/>
              </w:rPr>
              <w:t xml:space="preserve">، </w:t>
            </w:r>
            <w:r w:rsidRPr="006043FE">
              <w:rPr>
                <w:rFonts w:cs="Times New Roman"/>
                <w:sz w:val="28"/>
                <w:szCs w:val="28"/>
                <w:lang w:bidi="ar-EG"/>
              </w:rPr>
              <w:t>β</w:t>
            </w:r>
            <w:r w:rsidRPr="006043FE">
              <w:rPr>
                <w:rFonts w:ascii="Simplified Arabic" w:hAnsi="Simplified Arabic" w:cs="Simplified Arabic"/>
                <w:sz w:val="28"/>
                <w:szCs w:val="28"/>
                <w:vertAlign w:val="subscript"/>
                <w:lang w:bidi="ar-EG"/>
              </w:rPr>
              <w:t>1</w:t>
            </w:r>
            <w:r w:rsidRPr="006043FE">
              <w:rPr>
                <w:rFonts w:ascii="Simplified Arabic" w:hAnsi="Simplified Arabic" w:cs="Simplified Arabic"/>
                <w:sz w:val="28"/>
                <w:szCs w:val="28"/>
                <w:vertAlign w:val="subscript"/>
                <w:rtl/>
                <w:lang w:bidi="ar-EG"/>
              </w:rPr>
              <w:t xml:space="preserve"> </w:t>
            </w:r>
            <w:r w:rsidRPr="006043FE">
              <w:rPr>
                <w:rFonts w:ascii="Simplified Arabic" w:hAnsi="Simplified Arabic" w:cs="Simplified Arabic"/>
                <w:sz w:val="28"/>
                <w:szCs w:val="28"/>
                <w:rtl/>
                <w:lang w:bidi="ar-EG"/>
              </w:rPr>
              <w:t xml:space="preserve"> موجبة (</w:t>
            </w:r>
            <w:r w:rsidRPr="006043FE">
              <w:rPr>
                <w:rFonts w:ascii="Simplified Arabic" w:hAnsi="Simplified Arabic" w:cs="Simplified Arabic"/>
                <w:sz w:val="28"/>
                <w:szCs w:val="28"/>
                <w:lang w:bidi="ar-EG"/>
              </w:rPr>
              <w:t>&gt;0</w:t>
            </w:r>
            <w:r w:rsidRPr="006043FE">
              <w:rPr>
                <w:rFonts w:ascii="Simplified Arabic" w:hAnsi="Simplified Arabic" w:cs="Simplified Arabic"/>
                <w:sz w:val="28"/>
                <w:szCs w:val="28"/>
                <w:rtl/>
                <w:lang w:bidi="ar-EG"/>
              </w:rPr>
              <w:t xml:space="preserve"> </w:t>
            </w:r>
            <w:r w:rsidRPr="006043FE">
              <w:rPr>
                <w:rFonts w:cs="Times New Roman"/>
                <w:sz w:val="28"/>
                <w:szCs w:val="28"/>
                <w:lang w:bidi="ar-EG"/>
              </w:rPr>
              <w:t>β</w:t>
            </w:r>
            <w:r w:rsidRPr="006043FE">
              <w:rPr>
                <w:rFonts w:ascii="Simplified Arabic" w:hAnsi="Simplified Arabic" w:cs="Simplified Arabic"/>
                <w:sz w:val="28"/>
                <w:szCs w:val="28"/>
                <w:vertAlign w:val="subscript"/>
                <w:lang w:bidi="ar-EG"/>
              </w:rPr>
              <w:t>3</w:t>
            </w:r>
            <w:r w:rsidRPr="006043FE">
              <w:rPr>
                <w:rFonts w:ascii="Simplified Arabic" w:hAnsi="Simplified Arabic" w:cs="Simplified Arabic"/>
                <w:sz w:val="28"/>
                <w:szCs w:val="28"/>
                <w:vertAlign w:val="subscript"/>
                <w:rtl/>
                <w:lang w:bidi="ar-EG"/>
              </w:rPr>
              <w:t xml:space="preserve"> ، </w:t>
            </w:r>
            <w:r w:rsidRPr="006043FE">
              <w:rPr>
                <w:rFonts w:cs="Times New Roman"/>
                <w:sz w:val="28"/>
                <w:szCs w:val="28"/>
                <w:lang w:bidi="ar-EG"/>
              </w:rPr>
              <w:t>β</w:t>
            </w:r>
            <w:r w:rsidRPr="006043FE">
              <w:rPr>
                <w:rFonts w:ascii="Simplified Arabic" w:hAnsi="Simplified Arabic" w:cs="Simplified Arabic"/>
                <w:sz w:val="28"/>
                <w:szCs w:val="28"/>
                <w:vertAlign w:val="subscript"/>
                <w:lang w:bidi="ar-EG"/>
              </w:rPr>
              <w:t>2</w:t>
            </w:r>
            <w:r w:rsidRPr="006043FE">
              <w:rPr>
                <w:rFonts w:ascii="Simplified Arabic" w:hAnsi="Simplified Arabic" w:cs="Simplified Arabic"/>
                <w:sz w:val="28"/>
                <w:szCs w:val="28"/>
                <w:vertAlign w:val="subscript"/>
                <w:rtl/>
                <w:lang w:bidi="ar-EG"/>
              </w:rPr>
              <w:t xml:space="preserve">، </w:t>
            </w:r>
            <w:r w:rsidRPr="006043FE">
              <w:rPr>
                <w:rFonts w:cs="Times New Roman"/>
                <w:sz w:val="28"/>
                <w:szCs w:val="28"/>
                <w:lang w:bidi="ar-EG"/>
              </w:rPr>
              <w:t>β</w:t>
            </w:r>
            <w:r w:rsidRPr="006043FE">
              <w:rPr>
                <w:rFonts w:ascii="Simplified Arabic" w:hAnsi="Simplified Arabic" w:cs="Simplified Arabic"/>
                <w:sz w:val="28"/>
                <w:szCs w:val="28"/>
                <w:vertAlign w:val="subscript"/>
                <w:lang w:bidi="ar-EG"/>
              </w:rPr>
              <w:t>1</w:t>
            </w:r>
            <w:r w:rsidRPr="006043FE">
              <w:rPr>
                <w:rFonts w:ascii="Simplified Arabic" w:hAnsi="Simplified Arabic" w:cs="Simplified Arabic"/>
                <w:sz w:val="28"/>
                <w:szCs w:val="28"/>
                <w:rtl/>
                <w:lang w:bidi="ar-EG"/>
              </w:rPr>
              <w:t>).</w:t>
            </w:r>
          </w:p>
          <w:p w14:paraId="4AF54B15" w14:textId="77777777" w:rsidR="002959BC" w:rsidRPr="006043FE" w:rsidRDefault="002959BC" w:rsidP="00270E6A">
            <w:pPr>
              <w:contextualSpacing/>
              <w:jc w:val="lowKashida"/>
              <w:rPr>
                <w:rFonts w:ascii="Simplified Arabic" w:hAnsi="Simplified Arabic" w:cs="Simplified Arabic"/>
                <w:sz w:val="28"/>
                <w:szCs w:val="28"/>
                <w:u w:val="single"/>
                <w:rtl/>
                <w:lang w:bidi="ar-EG"/>
              </w:rPr>
            </w:pPr>
          </w:p>
        </w:tc>
        <w:tc>
          <w:tcPr>
            <w:tcW w:w="2105" w:type="dxa"/>
            <w:gridSpan w:val="2"/>
            <w:vMerge w:val="restart"/>
          </w:tcPr>
          <w:p w14:paraId="3F4E5339" w14:textId="77777777" w:rsidR="002959BC" w:rsidRPr="006043FE" w:rsidRDefault="002959BC" w:rsidP="00270E6A">
            <w:pPr>
              <w:contextualSpacing/>
              <w:jc w:val="lowKashida"/>
              <w:rPr>
                <w:rFonts w:ascii="Simplified Arabic" w:hAnsi="Simplified Arabic" w:cs="Simplified Arabic"/>
                <w:sz w:val="28"/>
                <w:szCs w:val="28"/>
                <w:u w:val="single"/>
                <w:rtl/>
                <w:lang w:bidi="ar-EG"/>
              </w:rPr>
            </w:pPr>
            <w:r w:rsidRPr="006043FE">
              <w:rPr>
                <w:rFonts w:ascii="Simplified Arabic" w:hAnsi="Simplified Arabic" w:cs="Simplified Arabic"/>
                <w:sz w:val="28"/>
                <w:szCs w:val="28"/>
                <w:rtl/>
                <w:lang w:bidi="ar-EG"/>
              </w:rPr>
              <w:t>البنك المركزي (النشرة الاقتصادية – أعداد مختلفة)، ووزارة المالية (البيان المالي الشهري – أعداد مختلفة).</w:t>
            </w:r>
          </w:p>
        </w:tc>
      </w:tr>
      <w:tr w:rsidR="002959BC" w:rsidRPr="006043FE" w14:paraId="2F048CC0" w14:textId="77777777" w:rsidTr="00270E6A">
        <w:tc>
          <w:tcPr>
            <w:tcW w:w="1525" w:type="dxa"/>
          </w:tcPr>
          <w:p w14:paraId="141AC4CF" w14:textId="77777777" w:rsidR="002959BC" w:rsidRPr="006043FE" w:rsidRDefault="002959BC" w:rsidP="00270E6A">
            <w:pPr>
              <w:contextualSpacing/>
              <w:jc w:val="lowKashida"/>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 xml:space="preserve">التمويل المحلي غير المصرفي لعجز الموازنة العامة </w:t>
            </w:r>
            <w:r w:rsidRPr="006043FE">
              <w:rPr>
                <w:rFonts w:ascii="Simplified Arabic" w:hAnsi="Simplified Arabic" w:cs="Simplified Arabic"/>
                <w:sz w:val="28"/>
                <w:szCs w:val="28"/>
                <w:vertAlign w:val="superscript"/>
                <w:rtl/>
                <w:lang w:bidi="ar-EG"/>
              </w:rPr>
              <w:t>(*)</w:t>
            </w:r>
          </w:p>
        </w:tc>
        <w:tc>
          <w:tcPr>
            <w:tcW w:w="894" w:type="dxa"/>
            <w:gridSpan w:val="3"/>
          </w:tcPr>
          <w:p w14:paraId="61FCFC1C" w14:textId="77777777" w:rsidR="002959BC" w:rsidRPr="006043FE" w:rsidRDefault="002959BC" w:rsidP="00270E6A">
            <w:pPr>
              <w:contextualSpacing/>
              <w:jc w:val="lowKashida"/>
              <w:rPr>
                <w:rFonts w:ascii="Simplified Arabic" w:hAnsi="Simplified Arabic" w:cs="Simplified Arabic"/>
                <w:sz w:val="28"/>
                <w:szCs w:val="28"/>
                <w:lang w:bidi="ar-EG"/>
              </w:rPr>
            </w:pPr>
            <w:r w:rsidRPr="006043FE">
              <w:rPr>
                <w:rFonts w:ascii="Simplified Arabic" w:hAnsi="Simplified Arabic" w:cs="Simplified Arabic"/>
                <w:sz w:val="28"/>
                <w:szCs w:val="28"/>
                <w:lang w:bidi="ar-EG"/>
              </w:rPr>
              <w:t>DNB</w:t>
            </w:r>
          </w:p>
        </w:tc>
        <w:tc>
          <w:tcPr>
            <w:tcW w:w="4367" w:type="dxa"/>
            <w:vMerge/>
          </w:tcPr>
          <w:p w14:paraId="41609FE1" w14:textId="77777777" w:rsidR="002959BC" w:rsidRPr="006043FE" w:rsidRDefault="002959BC" w:rsidP="00270E6A">
            <w:pPr>
              <w:contextualSpacing/>
              <w:jc w:val="lowKashida"/>
              <w:rPr>
                <w:rFonts w:ascii="Simplified Arabic" w:hAnsi="Simplified Arabic" w:cs="Simplified Arabic"/>
                <w:sz w:val="28"/>
                <w:szCs w:val="28"/>
                <w:u w:val="single"/>
                <w:rtl/>
                <w:lang w:bidi="ar-EG"/>
              </w:rPr>
            </w:pPr>
          </w:p>
        </w:tc>
        <w:tc>
          <w:tcPr>
            <w:tcW w:w="2105" w:type="dxa"/>
            <w:gridSpan w:val="2"/>
            <w:vMerge/>
          </w:tcPr>
          <w:p w14:paraId="32E24F2F" w14:textId="77777777" w:rsidR="002959BC" w:rsidRPr="006043FE" w:rsidRDefault="002959BC" w:rsidP="00270E6A">
            <w:pPr>
              <w:contextualSpacing/>
              <w:jc w:val="lowKashida"/>
              <w:rPr>
                <w:rFonts w:ascii="Simplified Arabic" w:hAnsi="Simplified Arabic" w:cs="Simplified Arabic"/>
                <w:sz w:val="28"/>
                <w:szCs w:val="28"/>
                <w:u w:val="single"/>
                <w:rtl/>
                <w:lang w:bidi="ar-EG"/>
              </w:rPr>
            </w:pPr>
          </w:p>
        </w:tc>
      </w:tr>
      <w:tr w:rsidR="002959BC" w:rsidRPr="006043FE" w14:paraId="40322715" w14:textId="77777777" w:rsidTr="00270E6A">
        <w:tc>
          <w:tcPr>
            <w:tcW w:w="1525" w:type="dxa"/>
          </w:tcPr>
          <w:p w14:paraId="5C9870F3" w14:textId="77777777" w:rsidR="002959BC" w:rsidRDefault="002959BC" w:rsidP="00270E6A">
            <w:pPr>
              <w:contextualSpacing/>
              <w:jc w:val="lowKashida"/>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التمويل الخارجي لعجز الموازنة العامة</w:t>
            </w:r>
            <w:r w:rsidRPr="006043FE">
              <w:rPr>
                <w:rFonts w:ascii="Simplified Arabic" w:hAnsi="Simplified Arabic" w:cs="Simplified Arabic"/>
                <w:sz w:val="28"/>
                <w:szCs w:val="28"/>
                <w:vertAlign w:val="superscript"/>
                <w:rtl/>
                <w:lang w:bidi="ar-EG"/>
              </w:rPr>
              <w:t>(*)</w:t>
            </w:r>
          </w:p>
          <w:p w14:paraId="5F31F3E4" w14:textId="77777777" w:rsidR="002959BC" w:rsidRPr="006043FE" w:rsidRDefault="002959BC" w:rsidP="00270E6A">
            <w:pPr>
              <w:contextualSpacing/>
              <w:jc w:val="lowKashida"/>
              <w:rPr>
                <w:rFonts w:ascii="Simplified Arabic" w:hAnsi="Simplified Arabic" w:cs="Simplified Arabic"/>
                <w:sz w:val="28"/>
                <w:szCs w:val="28"/>
                <w:rtl/>
                <w:lang w:bidi="ar-EG"/>
              </w:rPr>
            </w:pPr>
          </w:p>
        </w:tc>
        <w:tc>
          <w:tcPr>
            <w:tcW w:w="894" w:type="dxa"/>
            <w:gridSpan w:val="3"/>
          </w:tcPr>
          <w:p w14:paraId="1A6654F6" w14:textId="77777777" w:rsidR="002959BC" w:rsidRPr="006043FE" w:rsidRDefault="002959BC" w:rsidP="00270E6A">
            <w:pPr>
              <w:contextualSpacing/>
              <w:jc w:val="lowKashida"/>
              <w:rPr>
                <w:rFonts w:ascii="Simplified Arabic" w:hAnsi="Simplified Arabic" w:cs="Simplified Arabic"/>
                <w:sz w:val="28"/>
                <w:szCs w:val="28"/>
                <w:lang w:bidi="ar-EG"/>
              </w:rPr>
            </w:pPr>
            <w:r w:rsidRPr="006043FE">
              <w:rPr>
                <w:rFonts w:ascii="Simplified Arabic" w:hAnsi="Simplified Arabic" w:cs="Simplified Arabic"/>
                <w:sz w:val="28"/>
                <w:szCs w:val="28"/>
                <w:lang w:bidi="ar-EG"/>
              </w:rPr>
              <w:t>XF</w:t>
            </w:r>
          </w:p>
        </w:tc>
        <w:tc>
          <w:tcPr>
            <w:tcW w:w="4367" w:type="dxa"/>
            <w:vMerge/>
          </w:tcPr>
          <w:p w14:paraId="62D620C1" w14:textId="77777777" w:rsidR="002959BC" w:rsidRPr="006043FE" w:rsidRDefault="002959BC" w:rsidP="00270E6A">
            <w:pPr>
              <w:contextualSpacing/>
              <w:jc w:val="lowKashida"/>
              <w:rPr>
                <w:rFonts w:ascii="Simplified Arabic" w:hAnsi="Simplified Arabic" w:cs="Simplified Arabic"/>
                <w:sz w:val="28"/>
                <w:szCs w:val="28"/>
                <w:u w:val="single"/>
                <w:rtl/>
                <w:lang w:bidi="ar-EG"/>
              </w:rPr>
            </w:pPr>
          </w:p>
        </w:tc>
        <w:tc>
          <w:tcPr>
            <w:tcW w:w="2105" w:type="dxa"/>
            <w:gridSpan w:val="2"/>
            <w:vMerge/>
          </w:tcPr>
          <w:p w14:paraId="4BB37F94" w14:textId="77777777" w:rsidR="002959BC" w:rsidRPr="006043FE" w:rsidRDefault="002959BC" w:rsidP="00270E6A">
            <w:pPr>
              <w:contextualSpacing/>
              <w:jc w:val="lowKashida"/>
              <w:rPr>
                <w:rFonts w:ascii="Simplified Arabic" w:hAnsi="Simplified Arabic" w:cs="Simplified Arabic"/>
                <w:sz w:val="28"/>
                <w:szCs w:val="28"/>
                <w:u w:val="single"/>
                <w:rtl/>
                <w:lang w:bidi="ar-EG"/>
              </w:rPr>
            </w:pPr>
          </w:p>
        </w:tc>
      </w:tr>
      <w:tr w:rsidR="002959BC" w:rsidRPr="006043FE" w14:paraId="36428E1F" w14:textId="77777777" w:rsidTr="00270E6A">
        <w:tc>
          <w:tcPr>
            <w:tcW w:w="1525" w:type="dxa"/>
          </w:tcPr>
          <w:p w14:paraId="5F12340F" w14:textId="77777777" w:rsidR="002959BC" w:rsidRPr="006043FE" w:rsidRDefault="002959BC" w:rsidP="00270E6A">
            <w:pPr>
              <w:contextualSpacing/>
              <w:jc w:val="lowKashida"/>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أسعار الواردات بالأسعار المحلية الثابتة</w:t>
            </w:r>
            <w:r w:rsidRPr="006043FE">
              <w:rPr>
                <w:rFonts w:ascii="Simplified Arabic" w:hAnsi="Simplified Arabic" w:cs="Simplified Arabic"/>
                <w:sz w:val="28"/>
                <w:szCs w:val="28"/>
                <w:vertAlign w:val="superscript"/>
                <w:rtl/>
                <w:lang w:bidi="ar-EG"/>
              </w:rPr>
              <w:t>(*)</w:t>
            </w:r>
          </w:p>
        </w:tc>
        <w:tc>
          <w:tcPr>
            <w:tcW w:w="894" w:type="dxa"/>
            <w:gridSpan w:val="3"/>
          </w:tcPr>
          <w:p w14:paraId="5863FEB6" w14:textId="77777777" w:rsidR="002959BC" w:rsidRPr="006043FE" w:rsidRDefault="002959BC" w:rsidP="00270E6A">
            <w:pPr>
              <w:contextualSpacing/>
              <w:jc w:val="lowKashida"/>
              <w:rPr>
                <w:rFonts w:ascii="Simplified Arabic" w:hAnsi="Simplified Arabic" w:cs="Simplified Arabic"/>
                <w:sz w:val="28"/>
                <w:szCs w:val="28"/>
                <w:rtl/>
                <w:lang w:bidi="ar-EG"/>
              </w:rPr>
            </w:pPr>
            <w:r w:rsidRPr="006043FE">
              <w:rPr>
                <w:rFonts w:ascii="Simplified Arabic" w:hAnsi="Simplified Arabic" w:cs="Simplified Arabic"/>
                <w:sz w:val="28"/>
                <w:szCs w:val="28"/>
                <w:lang w:bidi="ar-EG"/>
              </w:rPr>
              <w:t>XP</w:t>
            </w:r>
          </w:p>
          <w:p w14:paraId="0F2F6F1A" w14:textId="77777777" w:rsidR="002959BC" w:rsidRPr="006043FE" w:rsidRDefault="002959BC" w:rsidP="00270E6A">
            <w:pPr>
              <w:contextualSpacing/>
              <w:jc w:val="lowKashida"/>
              <w:rPr>
                <w:rFonts w:ascii="Simplified Arabic" w:hAnsi="Simplified Arabic" w:cs="Simplified Arabic"/>
                <w:sz w:val="28"/>
                <w:szCs w:val="28"/>
                <w:rtl/>
                <w:lang w:bidi="ar-EG"/>
              </w:rPr>
            </w:pPr>
          </w:p>
          <w:p w14:paraId="29C5E9E6" w14:textId="77777777" w:rsidR="002959BC" w:rsidRPr="006043FE" w:rsidRDefault="002959BC" w:rsidP="00270E6A">
            <w:pPr>
              <w:contextualSpacing/>
              <w:jc w:val="lowKashida"/>
              <w:rPr>
                <w:rFonts w:ascii="Simplified Arabic" w:hAnsi="Simplified Arabic" w:cs="Simplified Arabic"/>
                <w:sz w:val="28"/>
                <w:szCs w:val="28"/>
                <w:lang w:bidi="ar-EG"/>
              </w:rPr>
            </w:pPr>
          </w:p>
        </w:tc>
        <w:tc>
          <w:tcPr>
            <w:tcW w:w="4367" w:type="dxa"/>
          </w:tcPr>
          <w:p w14:paraId="28AAF1E6" w14:textId="77777777" w:rsidR="002959BC" w:rsidRPr="006043FE" w:rsidRDefault="002959BC" w:rsidP="00270E6A">
            <w:pPr>
              <w:contextualSpacing/>
              <w:jc w:val="lowKashida"/>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تم تقدير أسعار الواردات والتي تمثل قيمة كافة السلع وخدمات السوق الأخرى الواردة من بقية بلدان العالم. وهي تشمل قيمة السلع، والشحن، والتأمين، والنقل، والسفر، وحقوق الامتياز، ورسوم الرخص، وغيرها من الخدمات مثل الاتصالات، والإنشاءات، والخدمات المالية، والمعلوماتية، والأعمال والخدمات الشخصية والحكومية. وهي لا تتضمن تعويضات الموظفين ودخل الاستثمارات (التي كانت تسمى من قبل خدمات عوامل الإنتاج) والمدفوعات التحويلية والبيانات بالسعر الثابت للعملة المحلية</w:t>
            </w:r>
          </w:p>
          <w:p w14:paraId="410EDA20" w14:textId="77777777" w:rsidR="002959BC" w:rsidRPr="006043FE" w:rsidRDefault="002959BC" w:rsidP="00270E6A">
            <w:pPr>
              <w:contextualSpacing/>
              <w:jc w:val="lowKashida"/>
              <w:rPr>
                <w:rFonts w:ascii="Simplified Arabic" w:hAnsi="Simplified Arabic" w:cs="Simplified Arabic"/>
                <w:sz w:val="28"/>
                <w:szCs w:val="28"/>
                <w:u w:val="single"/>
                <w:rtl/>
                <w:lang w:bidi="ar-EG"/>
              </w:rPr>
            </w:pPr>
          </w:p>
        </w:tc>
        <w:tc>
          <w:tcPr>
            <w:tcW w:w="2105" w:type="dxa"/>
            <w:gridSpan w:val="2"/>
          </w:tcPr>
          <w:p w14:paraId="71D2C1BB" w14:textId="77777777" w:rsidR="002959BC" w:rsidRPr="006043FE" w:rsidRDefault="002959BC" w:rsidP="00270E6A">
            <w:pPr>
              <w:contextualSpacing/>
              <w:jc w:val="lowKashida"/>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 xml:space="preserve">قاعدة بيانات البنك الدولي </w:t>
            </w:r>
          </w:p>
          <w:p w14:paraId="3D5F2768" w14:textId="77777777" w:rsidR="002959BC" w:rsidRPr="006043FE" w:rsidRDefault="002959BC" w:rsidP="00270E6A">
            <w:pPr>
              <w:contextualSpacing/>
              <w:jc w:val="lowKashida"/>
              <w:rPr>
                <w:rFonts w:ascii="Simplified Arabic" w:hAnsi="Simplified Arabic" w:cs="Simplified Arabic"/>
                <w:sz w:val="28"/>
                <w:szCs w:val="28"/>
                <w:rtl/>
                <w:lang w:bidi="ar-EG"/>
              </w:rPr>
            </w:pPr>
          </w:p>
          <w:p w14:paraId="0677A005" w14:textId="77777777" w:rsidR="002959BC" w:rsidRPr="006043FE" w:rsidRDefault="002959BC" w:rsidP="00270E6A">
            <w:pPr>
              <w:contextualSpacing/>
              <w:jc w:val="lowKashida"/>
              <w:rPr>
                <w:rFonts w:ascii="Simplified Arabic" w:hAnsi="Simplified Arabic" w:cs="Simplified Arabic"/>
                <w:sz w:val="28"/>
                <w:szCs w:val="28"/>
                <w:u w:val="single"/>
                <w:rtl/>
                <w:lang w:bidi="ar-EG"/>
              </w:rPr>
            </w:pPr>
            <w:r w:rsidRPr="006043FE">
              <w:rPr>
                <w:rFonts w:ascii="Simplified Arabic" w:hAnsi="Simplified Arabic" w:cs="Simplified Arabic"/>
                <w:sz w:val="28"/>
                <w:szCs w:val="28"/>
                <w:rtl/>
                <w:lang w:bidi="ar-EG"/>
              </w:rPr>
              <w:t xml:space="preserve">ووفقاً لنتائج الدراسات السابقة فيتوقع أن تكون العلاقة بين أسعار الواردات والتضخم علاقة طردية أي أن قيمة </w:t>
            </w:r>
            <w:r w:rsidRPr="006043FE">
              <w:rPr>
                <w:rFonts w:cs="Times New Roman"/>
                <w:sz w:val="28"/>
                <w:szCs w:val="28"/>
                <w:lang w:bidi="ar-EG"/>
              </w:rPr>
              <w:t>β</w:t>
            </w:r>
            <w:r w:rsidRPr="006043FE">
              <w:rPr>
                <w:rFonts w:ascii="Simplified Arabic" w:hAnsi="Simplified Arabic" w:cs="Simplified Arabic"/>
                <w:sz w:val="28"/>
                <w:szCs w:val="28"/>
                <w:vertAlign w:val="subscript"/>
                <w:lang w:bidi="ar-EG"/>
              </w:rPr>
              <w:t>4</w:t>
            </w:r>
            <w:r w:rsidRPr="006043FE">
              <w:rPr>
                <w:rFonts w:ascii="Simplified Arabic" w:hAnsi="Simplified Arabic" w:cs="Simplified Arabic"/>
                <w:sz w:val="28"/>
                <w:szCs w:val="28"/>
                <w:vertAlign w:val="subscript"/>
                <w:rtl/>
                <w:lang w:bidi="ar-EG"/>
              </w:rPr>
              <w:t xml:space="preserve"> </w:t>
            </w:r>
            <w:r w:rsidRPr="006043FE">
              <w:rPr>
                <w:rFonts w:ascii="Simplified Arabic" w:hAnsi="Simplified Arabic" w:cs="Simplified Arabic"/>
                <w:sz w:val="28"/>
                <w:szCs w:val="28"/>
                <w:rtl/>
                <w:lang w:bidi="ar-EG"/>
              </w:rPr>
              <w:t xml:space="preserve">موجبة </w:t>
            </w:r>
            <w:r w:rsidRPr="006043FE">
              <w:rPr>
                <w:rFonts w:ascii="Simplified Arabic" w:hAnsi="Simplified Arabic" w:cs="Simplified Arabic"/>
                <w:sz w:val="28"/>
                <w:szCs w:val="28"/>
                <w:rtl/>
                <w:lang w:bidi="ar-EG"/>
              </w:rPr>
              <w:br/>
              <w:t>(</w:t>
            </w:r>
            <w:r w:rsidRPr="006043FE">
              <w:rPr>
                <w:rFonts w:ascii="Simplified Arabic" w:hAnsi="Simplified Arabic" w:cs="Simplified Arabic"/>
                <w:sz w:val="28"/>
                <w:szCs w:val="28"/>
                <w:lang w:bidi="ar-EG"/>
              </w:rPr>
              <w:t>&gt;0</w:t>
            </w:r>
            <w:r w:rsidRPr="006043FE">
              <w:rPr>
                <w:rFonts w:ascii="Simplified Arabic" w:hAnsi="Simplified Arabic" w:cs="Simplified Arabic"/>
                <w:sz w:val="28"/>
                <w:szCs w:val="28"/>
                <w:rtl/>
                <w:lang w:bidi="ar-EG"/>
              </w:rPr>
              <w:t xml:space="preserve"> </w:t>
            </w:r>
            <w:r w:rsidRPr="006043FE">
              <w:rPr>
                <w:rFonts w:cs="Times New Roman"/>
                <w:sz w:val="28"/>
                <w:szCs w:val="28"/>
                <w:lang w:bidi="ar-EG"/>
              </w:rPr>
              <w:t>β</w:t>
            </w:r>
            <w:r w:rsidRPr="006043FE">
              <w:rPr>
                <w:rFonts w:ascii="Simplified Arabic" w:hAnsi="Simplified Arabic" w:cs="Simplified Arabic"/>
                <w:sz w:val="28"/>
                <w:szCs w:val="28"/>
                <w:vertAlign w:val="subscript"/>
                <w:lang w:bidi="ar-EG"/>
              </w:rPr>
              <w:t>4</w:t>
            </w:r>
            <w:r w:rsidRPr="006043FE">
              <w:rPr>
                <w:rFonts w:ascii="Simplified Arabic" w:hAnsi="Simplified Arabic" w:cs="Simplified Arabic"/>
                <w:sz w:val="28"/>
                <w:szCs w:val="28"/>
                <w:rtl/>
                <w:lang w:bidi="ar-EG"/>
              </w:rPr>
              <w:t>)</w:t>
            </w:r>
          </w:p>
        </w:tc>
      </w:tr>
      <w:tr w:rsidR="002959BC" w:rsidRPr="006043FE" w14:paraId="79D25EF2" w14:textId="77777777" w:rsidTr="00270E6A">
        <w:tc>
          <w:tcPr>
            <w:tcW w:w="1525" w:type="dxa"/>
          </w:tcPr>
          <w:p w14:paraId="32531ED8" w14:textId="77777777" w:rsidR="002959BC" w:rsidRPr="006043FE" w:rsidRDefault="002959BC" w:rsidP="00270E6A">
            <w:pPr>
              <w:contextualSpacing/>
              <w:jc w:val="lowKashida"/>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lastRenderedPageBreak/>
              <w:t>نسبة نمو النقود إلى الناتج المحلي</w:t>
            </w:r>
          </w:p>
        </w:tc>
        <w:tc>
          <w:tcPr>
            <w:tcW w:w="894" w:type="dxa"/>
            <w:gridSpan w:val="3"/>
          </w:tcPr>
          <w:p w14:paraId="39D3074E" w14:textId="77777777" w:rsidR="002959BC" w:rsidRPr="006043FE" w:rsidRDefault="002959BC" w:rsidP="00270E6A">
            <w:pPr>
              <w:contextualSpacing/>
              <w:jc w:val="lowKashida"/>
              <w:rPr>
                <w:rFonts w:ascii="Simplified Arabic" w:hAnsi="Simplified Arabic" w:cs="Simplified Arabic"/>
                <w:sz w:val="28"/>
                <w:szCs w:val="28"/>
                <w:rtl/>
                <w:lang w:bidi="ar-EG"/>
              </w:rPr>
            </w:pPr>
            <w:r w:rsidRPr="006043FE">
              <w:rPr>
                <w:rFonts w:ascii="Simplified Arabic" w:hAnsi="Simplified Arabic" w:cs="Simplified Arabic"/>
                <w:sz w:val="28"/>
                <w:szCs w:val="28"/>
                <w:lang w:bidi="ar-EG"/>
              </w:rPr>
              <w:t>M2</w:t>
            </w:r>
          </w:p>
          <w:p w14:paraId="6FCC1612" w14:textId="77777777" w:rsidR="002959BC" w:rsidRPr="006043FE" w:rsidRDefault="002959BC" w:rsidP="00270E6A">
            <w:pPr>
              <w:contextualSpacing/>
              <w:jc w:val="lowKashida"/>
              <w:rPr>
                <w:rFonts w:ascii="Simplified Arabic" w:hAnsi="Simplified Arabic" w:cs="Simplified Arabic"/>
                <w:sz w:val="28"/>
                <w:szCs w:val="28"/>
                <w:rtl/>
                <w:lang w:bidi="ar-EG"/>
              </w:rPr>
            </w:pPr>
          </w:p>
          <w:p w14:paraId="0377AF79" w14:textId="77777777" w:rsidR="002959BC" w:rsidRPr="006043FE" w:rsidRDefault="002959BC" w:rsidP="00270E6A">
            <w:pPr>
              <w:contextualSpacing/>
              <w:jc w:val="lowKashida"/>
              <w:rPr>
                <w:rFonts w:ascii="Simplified Arabic" w:hAnsi="Simplified Arabic" w:cs="Simplified Arabic"/>
                <w:sz w:val="28"/>
                <w:szCs w:val="28"/>
                <w:lang w:bidi="ar-EG"/>
              </w:rPr>
            </w:pPr>
          </w:p>
        </w:tc>
        <w:tc>
          <w:tcPr>
            <w:tcW w:w="4367" w:type="dxa"/>
          </w:tcPr>
          <w:p w14:paraId="21935D0C" w14:textId="77777777" w:rsidR="002959BC" w:rsidRPr="006043FE" w:rsidRDefault="002959BC" w:rsidP="00270E6A">
            <w:pPr>
              <w:contextualSpacing/>
              <w:jc w:val="lowKashida"/>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يتضمن هذا المتغير نسبة نمو المعروض النقدي إلى الناتج المحلي الإجمالي، والمعروض النقدي بمعناه الواسع هو مجموع العملة خارج البنوك، والودائع تحت الطلب بخلاف ودائع الحكومة المركزية؛ والودائع لأجل، والمدخرات، والودائع بالعملة الأجنبية للقطاعات المقيمة بخلاف الحكومة المركزية؛ والشيكات المصرفية والسياحية؛ والأوراق المالية مثل شهادات الإيداع القابلة للتداول والأوراق التجارية.</w:t>
            </w:r>
          </w:p>
        </w:tc>
        <w:tc>
          <w:tcPr>
            <w:tcW w:w="2105" w:type="dxa"/>
            <w:gridSpan w:val="2"/>
          </w:tcPr>
          <w:p w14:paraId="2D654FA8" w14:textId="77777777" w:rsidR="002959BC" w:rsidRPr="006043FE" w:rsidRDefault="002959BC" w:rsidP="00270E6A">
            <w:pPr>
              <w:contextualSpacing/>
              <w:jc w:val="lowKashida"/>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 xml:space="preserve">قاعدة بيانات البنك الدولي </w:t>
            </w:r>
          </w:p>
          <w:p w14:paraId="22AD9FA6" w14:textId="77777777" w:rsidR="002959BC" w:rsidRPr="006043FE" w:rsidRDefault="002959BC" w:rsidP="00270E6A">
            <w:pPr>
              <w:contextualSpacing/>
              <w:jc w:val="lowKashida"/>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 xml:space="preserve">يتوقع أن تكون العلاقة بين نمو عرض النقود والتضخم علاقة طردية أي أن قيمة </w:t>
            </w:r>
            <w:r w:rsidRPr="006043FE">
              <w:rPr>
                <w:rFonts w:cs="Times New Roman"/>
                <w:sz w:val="28"/>
                <w:szCs w:val="28"/>
                <w:lang w:bidi="ar-EG"/>
              </w:rPr>
              <w:t>β</w:t>
            </w:r>
            <w:r w:rsidRPr="006043FE">
              <w:rPr>
                <w:rFonts w:ascii="Simplified Arabic" w:hAnsi="Simplified Arabic" w:cs="Simplified Arabic"/>
                <w:sz w:val="28"/>
                <w:szCs w:val="28"/>
                <w:vertAlign w:val="subscript"/>
                <w:lang w:bidi="ar-EG"/>
              </w:rPr>
              <w:t>5</w:t>
            </w:r>
            <w:r w:rsidRPr="006043FE">
              <w:rPr>
                <w:rFonts w:ascii="Simplified Arabic" w:hAnsi="Simplified Arabic" w:cs="Simplified Arabic"/>
                <w:sz w:val="28"/>
                <w:szCs w:val="28"/>
                <w:vertAlign w:val="subscript"/>
                <w:rtl/>
                <w:lang w:bidi="ar-EG"/>
              </w:rPr>
              <w:t xml:space="preserve"> </w:t>
            </w:r>
            <w:r w:rsidRPr="006043FE">
              <w:rPr>
                <w:rFonts w:ascii="Simplified Arabic" w:hAnsi="Simplified Arabic" w:cs="Simplified Arabic"/>
                <w:sz w:val="28"/>
                <w:szCs w:val="28"/>
                <w:rtl/>
                <w:lang w:bidi="ar-EG"/>
              </w:rPr>
              <w:t xml:space="preserve">موجبة </w:t>
            </w:r>
            <w:r w:rsidRPr="006043FE">
              <w:rPr>
                <w:rFonts w:ascii="Simplified Arabic" w:hAnsi="Simplified Arabic" w:cs="Simplified Arabic"/>
                <w:sz w:val="28"/>
                <w:szCs w:val="28"/>
                <w:rtl/>
                <w:lang w:bidi="ar-EG"/>
              </w:rPr>
              <w:br/>
              <w:t>(</w:t>
            </w:r>
            <w:r w:rsidRPr="006043FE">
              <w:rPr>
                <w:rFonts w:ascii="Simplified Arabic" w:hAnsi="Simplified Arabic" w:cs="Simplified Arabic"/>
                <w:sz w:val="28"/>
                <w:szCs w:val="28"/>
                <w:lang w:bidi="ar-EG"/>
              </w:rPr>
              <w:t>&gt;0</w:t>
            </w:r>
            <w:r w:rsidRPr="006043FE">
              <w:rPr>
                <w:rFonts w:ascii="Simplified Arabic" w:hAnsi="Simplified Arabic" w:cs="Simplified Arabic"/>
                <w:sz w:val="28"/>
                <w:szCs w:val="28"/>
                <w:rtl/>
                <w:lang w:bidi="ar-EG"/>
              </w:rPr>
              <w:t xml:space="preserve"> </w:t>
            </w:r>
            <w:r w:rsidRPr="006043FE">
              <w:rPr>
                <w:rFonts w:cs="Times New Roman"/>
                <w:sz w:val="28"/>
                <w:szCs w:val="28"/>
                <w:lang w:bidi="ar-EG"/>
              </w:rPr>
              <w:t>β</w:t>
            </w:r>
            <w:r w:rsidRPr="006043FE">
              <w:rPr>
                <w:rFonts w:ascii="Simplified Arabic" w:hAnsi="Simplified Arabic" w:cs="Simplified Arabic"/>
                <w:sz w:val="28"/>
                <w:szCs w:val="28"/>
                <w:vertAlign w:val="subscript"/>
                <w:lang w:bidi="ar-EG"/>
              </w:rPr>
              <w:t>5</w:t>
            </w:r>
            <w:r w:rsidRPr="006043FE">
              <w:rPr>
                <w:rFonts w:ascii="Simplified Arabic" w:hAnsi="Simplified Arabic" w:cs="Simplified Arabic"/>
                <w:sz w:val="28"/>
                <w:szCs w:val="28"/>
                <w:rtl/>
                <w:lang w:bidi="ar-EG"/>
              </w:rPr>
              <w:t>).</w:t>
            </w:r>
          </w:p>
        </w:tc>
      </w:tr>
      <w:tr w:rsidR="002959BC" w:rsidRPr="006043FE" w14:paraId="42B6B053" w14:textId="77777777" w:rsidTr="00270E6A">
        <w:tc>
          <w:tcPr>
            <w:tcW w:w="1525" w:type="dxa"/>
          </w:tcPr>
          <w:p w14:paraId="16915A3C" w14:textId="77777777" w:rsidR="002959BC" w:rsidRPr="006043FE" w:rsidRDefault="002959BC" w:rsidP="00270E6A">
            <w:pPr>
              <w:contextualSpacing/>
              <w:jc w:val="lowKashida"/>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سعر صرف الجنيه مقابل الدولار</w:t>
            </w:r>
          </w:p>
        </w:tc>
        <w:tc>
          <w:tcPr>
            <w:tcW w:w="894" w:type="dxa"/>
            <w:gridSpan w:val="3"/>
          </w:tcPr>
          <w:p w14:paraId="613F6E10" w14:textId="77777777" w:rsidR="002959BC" w:rsidRPr="006043FE" w:rsidRDefault="002959BC" w:rsidP="00270E6A">
            <w:pPr>
              <w:contextualSpacing/>
              <w:jc w:val="lowKashida"/>
              <w:rPr>
                <w:rFonts w:ascii="Simplified Arabic" w:hAnsi="Simplified Arabic" w:cs="Simplified Arabic"/>
                <w:sz w:val="28"/>
                <w:szCs w:val="28"/>
                <w:rtl/>
                <w:lang w:bidi="ar-EG"/>
              </w:rPr>
            </w:pPr>
            <w:r w:rsidRPr="006043FE">
              <w:rPr>
                <w:rFonts w:ascii="Simplified Arabic" w:hAnsi="Simplified Arabic" w:cs="Simplified Arabic"/>
                <w:sz w:val="28"/>
                <w:szCs w:val="28"/>
                <w:lang w:bidi="ar-EG"/>
              </w:rPr>
              <w:t>EX</w:t>
            </w:r>
          </w:p>
          <w:p w14:paraId="596E337A" w14:textId="77777777" w:rsidR="002959BC" w:rsidRPr="006043FE" w:rsidRDefault="002959BC" w:rsidP="00270E6A">
            <w:pPr>
              <w:contextualSpacing/>
              <w:jc w:val="lowKashida"/>
              <w:rPr>
                <w:rFonts w:ascii="Simplified Arabic" w:hAnsi="Simplified Arabic" w:cs="Simplified Arabic"/>
                <w:sz w:val="28"/>
                <w:szCs w:val="28"/>
                <w:rtl/>
                <w:lang w:bidi="ar-EG"/>
              </w:rPr>
            </w:pPr>
          </w:p>
          <w:p w14:paraId="73B9BD16" w14:textId="77777777" w:rsidR="002959BC" w:rsidRPr="006043FE" w:rsidRDefault="002959BC" w:rsidP="00270E6A">
            <w:pPr>
              <w:contextualSpacing/>
              <w:jc w:val="lowKashida"/>
              <w:rPr>
                <w:rFonts w:ascii="Simplified Arabic" w:hAnsi="Simplified Arabic" w:cs="Simplified Arabic"/>
                <w:sz w:val="28"/>
                <w:szCs w:val="28"/>
                <w:lang w:bidi="ar-EG"/>
              </w:rPr>
            </w:pPr>
          </w:p>
        </w:tc>
        <w:tc>
          <w:tcPr>
            <w:tcW w:w="4367" w:type="dxa"/>
          </w:tcPr>
          <w:p w14:paraId="3797F92B" w14:textId="77777777" w:rsidR="002959BC" w:rsidRPr="006043FE" w:rsidRDefault="002959BC" w:rsidP="00270E6A">
            <w:pPr>
              <w:contextualSpacing/>
              <w:jc w:val="lowKashida"/>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يشير سعر الصرف الرسمي إلي سعر الصرف الذي تحدده السلطات الوطنية أو السعر المحدد بسوق الصرف المسموح بها قانوناً. ويتم حسابه كمتوسط سنوي استناداً للمتوسطات الشهرية (وحدات العملة المحلية مقابل الدولار الأمريكي)</w:t>
            </w:r>
          </w:p>
        </w:tc>
        <w:tc>
          <w:tcPr>
            <w:tcW w:w="2105" w:type="dxa"/>
            <w:gridSpan w:val="2"/>
          </w:tcPr>
          <w:p w14:paraId="5C3EA9FB" w14:textId="77777777" w:rsidR="002959BC" w:rsidRPr="006043FE" w:rsidRDefault="002959BC" w:rsidP="00270E6A">
            <w:pPr>
              <w:contextualSpacing/>
              <w:jc w:val="lowKashida"/>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قاعدة بيانات البنك الدولي</w:t>
            </w:r>
          </w:p>
          <w:p w14:paraId="6B0BE756" w14:textId="77777777" w:rsidR="002959BC" w:rsidRPr="006043FE" w:rsidRDefault="002959BC" w:rsidP="00270E6A">
            <w:pPr>
              <w:contextualSpacing/>
              <w:jc w:val="lowKashida"/>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 xml:space="preserve"> يتوقع أن تكون العلاقة بين سعر صرف العملة المحلية مقابل الدولار الأمريكي والتضخم علاقة طردية أي أن قيمة </w:t>
            </w:r>
            <w:r w:rsidRPr="006043FE">
              <w:rPr>
                <w:rFonts w:cs="Times New Roman"/>
                <w:sz w:val="28"/>
                <w:szCs w:val="28"/>
                <w:lang w:bidi="ar-EG"/>
              </w:rPr>
              <w:t>β</w:t>
            </w:r>
            <w:r w:rsidRPr="006043FE">
              <w:rPr>
                <w:rFonts w:ascii="Simplified Arabic" w:hAnsi="Simplified Arabic" w:cs="Simplified Arabic"/>
                <w:sz w:val="28"/>
                <w:szCs w:val="28"/>
                <w:vertAlign w:val="subscript"/>
                <w:lang w:bidi="ar-EG"/>
              </w:rPr>
              <w:t>6</w:t>
            </w:r>
            <w:r w:rsidRPr="006043FE">
              <w:rPr>
                <w:rFonts w:ascii="Simplified Arabic" w:hAnsi="Simplified Arabic" w:cs="Simplified Arabic"/>
                <w:sz w:val="28"/>
                <w:szCs w:val="28"/>
                <w:rtl/>
                <w:lang w:bidi="ar-EG"/>
              </w:rPr>
              <w:t xml:space="preserve"> موجبة </w:t>
            </w:r>
            <w:r w:rsidRPr="006043FE">
              <w:rPr>
                <w:rFonts w:ascii="Simplified Arabic" w:hAnsi="Simplified Arabic" w:cs="Simplified Arabic"/>
                <w:sz w:val="28"/>
                <w:szCs w:val="28"/>
                <w:rtl/>
                <w:lang w:bidi="ar-EG"/>
              </w:rPr>
              <w:br/>
              <w:t>(</w:t>
            </w:r>
            <w:r w:rsidRPr="006043FE">
              <w:rPr>
                <w:rFonts w:ascii="Simplified Arabic" w:hAnsi="Simplified Arabic" w:cs="Simplified Arabic"/>
                <w:sz w:val="28"/>
                <w:szCs w:val="28"/>
                <w:lang w:bidi="ar-EG"/>
              </w:rPr>
              <w:t>&gt;0</w:t>
            </w:r>
            <w:r w:rsidRPr="006043FE">
              <w:rPr>
                <w:rFonts w:ascii="Simplified Arabic" w:hAnsi="Simplified Arabic" w:cs="Simplified Arabic"/>
                <w:sz w:val="28"/>
                <w:szCs w:val="28"/>
                <w:rtl/>
                <w:lang w:bidi="ar-EG"/>
              </w:rPr>
              <w:t xml:space="preserve"> </w:t>
            </w:r>
            <w:r w:rsidRPr="006043FE">
              <w:rPr>
                <w:rFonts w:cs="Times New Roman"/>
                <w:sz w:val="28"/>
                <w:szCs w:val="28"/>
                <w:lang w:bidi="ar-EG"/>
              </w:rPr>
              <w:t>β</w:t>
            </w:r>
            <w:r w:rsidRPr="006043FE">
              <w:rPr>
                <w:rFonts w:ascii="Simplified Arabic" w:hAnsi="Simplified Arabic" w:cs="Simplified Arabic"/>
                <w:sz w:val="28"/>
                <w:szCs w:val="28"/>
                <w:vertAlign w:val="subscript"/>
                <w:lang w:bidi="ar-EG"/>
              </w:rPr>
              <w:t>6</w:t>
            </w:r>
            <w:r w:rsidRPr="006043FE">
              <w:rPr>
                <w:rFonts w:ascii="Simplified Arabic" w:hAnsi="Simplified Arabic" w:cs="Simplified Arabic"/>
                <w:sz w:val="28"/>
                <w:szCs w:val="28"/>
                <w:rtl/>
                <w:lang w:bidi="ar-EG"/>
              </w:rPr>
              <w:t>)</w:t>
            </w:r>
          </w:p>
        </w:tc>
      </w:tr>
      <w:tr w:rsidR="002959BC" w:rsidRPr="006043FE" w14:paraId="541E5FC5" w14:textId="77777777" w:rsidTr="00270E6A">
        <w:tc>
          <w:tcPr>
            <w:tcW w:w="1553" w:type="dxa"/>
            <w:gridSpan w:val="2"/>
          </w:tcPr>
          <w:p w14:paraId="75973126" w14:textId="77777777" w:rsidR="002959BC" w:rsidRPr="006043FE" w:rsidRDefault="002959BC" w:rsidP="00270E6A">
            <w:pPr>
              <w:contextualSpacing/>
              <w:jc w:val="lowKashida"/>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الاستقرار السياسي (متغير وهمي)</w:t>
            </w:r>
          </w:p>
        </w:tc>
        <w:tc>
          <w:tcPr>
            <w:tcW w:w="851" w:type="dxa"/>
          </w:tcPr>
          <w:p w14:paraId="44456635" w14:textId="77777777" w:rsidR="002959BC" w:rsidRPr="006043FE" w:rsidRDefault="002959BC" w:rsidP="00270E6A">
            <w:pPr>
              <w:contextualSpacing/>
              <w:jc w:val="lowKashida"/>
              <w:rPr>
                <w:rFonts w:ascii="Simplified Arabic" w:hAnsi="Simplified Arabic" w:cs="Simplified Arabic"/>
                <w:sz w:val="28"/>
                <w:szCs w:val="28"/>
                <w:rtl/>
                <w:lang w:bidi="ar-EG"/>
              </w:rPr>
            </w:pPr>
            <w:r w:rsidRPr="006043FE">
              <w:rPr>
                <w:rFonts w:ascii="Simplified Arabic" w:hAnsi="Simplified Arabic" w:cs="Simplified Arabic"/>
                <w:sz w:val="28"/>
                <w:szCs w:val="28"/>
                <w:lang w:bidi="ar-EG"/>
              </w:rPr>
              <w:t>PS</w:t>
            </w:r>
          </w:p>
          <w:p w14:paraId="356ECC35" w14:textId="77777777" w:rsidR="002959BC" w:rsidRPr="006043FE" w:rsidRDefault="002959BC" w:rsidP="00270E6A">
            <w:pPr>
              <w:contextualSpacing/>
              <w:jc w:val="lowKashida"/>
              <w:rPr>
                <w:rFonts w:ascii="Simplified Arabic" w:hAnsi="Simplified Arabic" w:cs="Simplified Arabic"/>
                <w:sz w:val="28"/>
                <w:szCs w:val="28"/>
                <w:rtl/>
                <w:lang w:bidi="ar-EG"/>
              </w:rPr>
            </w:pPr>
          </w:p>
          <w:p w14:paraId="769CD5A2" w14:textId="77777777" w:rsidR="002959BC" w:rsidRPr="006043FE" w:rsidRDefault="002959BC" w:rsidP="00270E6A">
            <w:pPr>
              <w:contextualSpacing/>
              <w:jc w:val="lowKashida"/>
              <w:rPr>
                <w:rFonts w:ascii="Simplified Arabic" w:hAnsi="Simplified Arabic" w:cs="Simplified Arabic"/>
                <w:sz w:val="28"/>
                <w:szCs w:val="28"/>
                <w:lang w:bidi="ar-EG"/>
              </w:rPr>
            </w:pPr>
          </w:p>
        </w:tc>
        <w:tc>
          <w:tcPr>
            <w:tcW w:w="4394" w:type="dxa"/>
            <w:gridSpan w:val="3"/>
          </w:tcPr>
          <w:p w14:paraId="79BC9385" w14:textId="77777777" w:rsidR="002959BC" w:rsidRPr="006043FE" w:rsidRDefault="002959BC" w:rsidP="00270E6A">
            <w:pPr>
              <w:contextualSpacing/>
              <w:jc w:val="lowKashida"/>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يتضمن متغير الاستقرار السياسي قيمتان هما (صفر) و(1) حيث تأخذ السنوات التي كان بها استقرار سياسي القيمة (صفر) بينما تأخذ السنوات التي شهدت أحداث سياسية غير مستقرة القيمة (1) وهي من عام 2011 إلى عام 2014</w:t>
            </w:r>
          </w:p>
        </w:tc>
        <w:tc>
          <w:tcPr>
            <w:tcW w:w="2093" w:type="dxa"/>
          </w:tcPr>
          <w:p w14:paraId="52745644" w14:textId="77777777" w:rsidR="002959BC" w:rsidRPr="006043FE" w:rsidRDefault="002959BC" w:rsidP="00270E6A">
            <w:pPr>
              <w:contextualSpacing/>
              <w:jc w:val="lowKashida"/>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 xml:space="preserve">يتوقع أن تكون العلاقة بين الاستقرار السياسي والتضخم علاقة عكسية أي أن قيمة </w:t>
            </w:r>
            <w:r w:rsidRPr="006043FE">
              <w:rPr>
                <w:rFonts w:cs="Times New Roman"/>
                <w:sz w:val="28"/>
                <w:szCs w:val="28"/>
                <w:lang w:bidi="ar-EG"/>
              </w:rPr>
              <w:t>β</w:t>
            </w:r>
            <w:r w:rsidRPr="006043FE">
              <w:rPr>
                <w:rFonts w:ascii="Simplified Arabic" w:hAnsi="Simplified Arabic" w:cs="Simplified Arabic"/>
                <w:sz w:val="28"/>
                <w:szCs w:val="28"/>
                <w:vertAlign w:val="subscript"/>
                <w:lang w:bidi="ar-EG"/>
              </w:rPr>
              <w:t>7</w:t>
            </w:r>
            <w:r w:rsidRPr="006043FE">
              <w:rPr>
                <w:rFonts w:ascii="Simplified Arabic" w:hAnsi="Simplified Arabic" w:cs="Simplified Arabic"/>
                <w:sz w:val="28"/>
                <w:szCs w:val="28"/>
                <w:rtl/>
                <w:lang w:bidi="ar-EG"/>
              </w:rPr>
              <w:t xml:space="preserve"> سالبة </w:t>
            </w:r>
            <w:r w:rsidRPr="006043FE">
              <w:rPr>
                <w:rFonts w:ascii="Simplified Arabic" w:hAnsi="Simplified Arabic" w:cs="Simplified Arabic"/>
                <w:sz w:val="28"/>
                <w:szCs w:val="28"/>
                <w:rtl/>
                <w:lang w:bidi="ar-EG"/>
              </w:rPr>
              <w:br/>
              <w:t>(</w:t>
            </w:r>
            <w:r w:rsidRPr="006043FE">
              <w:rPr>
                <w:rFonts w:ascii="Simplified Arabic" w:hAnsi="Simplified Arabic" w:cs="Simplified Arabic"/>
                <w:sz w:val="28"/>
                <w:szCs w:val="28"/>
                <w:lang w:bidi="ar-EG"/>
              </w:rPr>
              <w:t>&lt;0</w:t>
            </w:r>
            <w:r w:rsidRPr="006043FE">
              <w:rPr>
                <w:rFonts w:ascii="Simplified Arabic" w:hAnsi="Simplified Arabic" w:cs="Simplified Arabic"/>
                <w:sz w:val="28"/>
                <w:szCs w:val="28"/>
                <w:rtl/>
                <w:lang w:bidi="ar-EG"/>
              </w:rPr>
              <w:t xml:space="preserve"> </w:t>
            </w:r>
            <w:r w:rsidRPr="006043FE">
              <w:rPr>
                <w:rFonts w:cs="Times New Roman"/>
                <w:sz w:val="28"/>
                <w:szCs w:val="28"/>
                <w:lang w:bidi="ar-EG"/>
              </w:rPr>
              <w:t>β</w:t>
            </w:r>
            <w:r w:rsidRPr="006043FE">
              <w:rPr>
                <w:rFonts w:ascii="Simplified Arabic" w:hAnsi="Simplified Arabic" w:cs="Simplified Arabic"/>
                <w:sz w:val="28"/>
                <w:szCs w:val="28"/>
                <w:vertAlign w:val="subscript"/>
                <w:lang w:bidi="ar-EG"/>
              </w:rPr>
              <w:t>7</w:t>
            </w:r>
            <w:r w:rsidRPr="006043FE">
              <w:rPr>
                <w:rFonts w:ascii="Simplified Arabic" w:hAnsi="Simplified Arabic" w:cs="Simplified Arabic"/>
                <w:sz w:val="28"/>
                <w:szCs w:val="28"/>
                <w:rtl/>
                <w:lang w:bidi="ar-EG"/>
              </w:rPr>
              <w:t>)</w:t>
            </w:r>
          </w:p>
        </w:tc>
      </w:tr>
    </w:tbl>
    <w:p w14:paraId="2C4CE614" w14:textId="77777777" w:rsidR="002959BC" w:rsidRPr="006043FE" w:rsidRDefault="002959BC" w:rsidP="002959BC">
      <w:pPr>
        <w:jc w:val="both"/>
        <w:rPr>
          <w:rFonts w:ascii="Simplified Arabic" w:hAnsi="Simplified Arabic" w:cs="Simplified Arabic"/>
          <w:sz w:val="28"/>
          <w:szCs w:val="28"/>
          <w:rtl/>
          <w:lang w:bidi="ar-EG"/>
        </w:rPr>
        <w:sectPr w:rsidR="002959BC" w:rsidRPr="006043FE" w:rsidSect="00270E6A">
          <w:footerReference w:type="default" r:id="rId50"/>
          <w:footnotePr>
            <w:numRestart w:val="eachPage"/>
          </w:footnotePr>
          <w:pgSz w:w="11907" w:h="16840" w:code="9"/>
          <w:pgMar w:top="1134" w:right="1701" w:bottom="1134" w:left="1134" w:header="992" w:footer="644" w:gutter="0"/>
          <w:pgNumType w:start="84"/>
          <w:cols w:space="720"/>
          <w:titlePg/>
          <w:rtlGutter/>
          <w:docGrid w:linePitch="360"/>
        </w:sectPr>
      </w:pPr>
    </w:p>
    <w:p w14:paraId="1D235B1E" w14:textId="77777777" w:rsidR="002959BC" w:rsidRDefault="002959BC" w:rsidP="002959BC">
      <w:pPr>
        <w:ind w:firstLine="454"/>
        <w:jc w:val="both"/>
        <w:rPr>
          <w:rFonts w:ascii="Simplified Arabic" w:hAnsi="Simplified Arabic" w:cs="Simplified Arabic"/>
          <w:sz w:val="28"/>
          <w:szCs w:val="28"/>
          <w:rtl/>
          <w:lang w:bidi="ar-EG"/>
        </w:rPr>
      </w:pPr>
    </w:p>
    <w:p w14:paraId="706B5D2C" w14:textId="77777777" w:rsidR="002959BC" w:rsidRPr="006043FE" w:rsidRDefault="002959BC" w:rsidP="002959BC">
      <w:pPr>
        <w:ind w:firstLine="454"/>
        <w:jc w:val="both"/>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 xml:space="preserve">وعلى ذلك فإن النموذج القياسي سوف يتضمن الصيغة التالية: </w:t>
      </w:r>
    </w:p>
    <w:p w14:paraId="61E24191" w14:textId="77777777" w:rsidR="002959BC" w:rsidRDefault="002959BC" w:rsidP="002959BC">
      <w:pPr>
        <w:pStyle w:val="ListParagraph"/>
        <w:spacing w:after="0" w:line="240" w:lineRule="auto"/>
        <w:ind w:left="938" w:hanging="952"/>
        <w:contextualSpacing w:val="0"/>
        <w:jc w:val="both"/>
        <w:rPr>
          <w:rFonts w:ascii="Simplified Arabic" w:hAnsi="Simplified Arabic" w:cs="Simplified Arabic"/>
          <w:sz w:val="28"/>
          <w:szCs w:val="28"/>
          <w:rtl/>
          <w:lang w:bidi="ar-EG"/>
        </w:rPr>
      </w:pPr>
      <w:r w:rsidRPr="006043FE">
        <w:rPr>
          <w:rFonts w:ascii="Simplified Arabic" w:hAnsi="Simplified Arabic" w:cs="Simplified Arabic"/>
          <w:sz w:val="28"/>
          <w:szCs w:val="28"/>
          <w:lang w:bidi="ar-EG"/>
        </w:rPr>
        <w:t xml:space="preserve">CPI = </w:t>
      </w:r>
      <w:r w:rsidRPr="006043FE">
        <w:rPr>
          <w:rFonts w:ascii="Times New Roman" w:hAnsi="Times New Roman" w:cs="Times New Roman"/>
          <w:sz w:val="28"/>
          <w:szCs w:val="28"/>
          <w:lang w:bidi="ar-EG"/>
        </w:rPr>
        <w:t>α</w:t>
      </w:r>
      <w:r w:rsidRPr="006043FE">
        <w:rPr>
          <w:rFonts w:ascii="Simplified Arabic" w:hAnsi="Simplified Arabic" w:cs="Simplified Arabic"/>
          <w:sz w:val="28"/>
          <w:szCs w:val="28"/>
          <w:lang w:bidi="ar-EG"/>
        </w:rPr>
        <w:t xml:space="preserve"> +</w:t>
      </w:r>
      <w:r w:rsidRPr="006043FE">
        <w:rPr>
          <w:rFonts w:ascii="Times New Roman" w:hAnsi="Times New Roman" w:cs="Times New Roman"/>
          <w:sz w:val="28"/>
          <w:szCs w:val="28"/>
          <w:lang w:bidi="ar-EG"/>
        </w:rPr>
        <w:t>β</w:t>
      </w:r>
      <w:r w:rsidRPr="006043FE">
        <w:rPr>
          <w:rFonts w:ascii="Simplified Arabic" w:hAnsi="Simplified Arabic" w:cs="Simplified Arabic"/>
          <w:sz w:val="28"/>
          <w:szCs w:val="28"/>
          <w:vertAlign w:val="subscript"/>
          <w:lang w:bidi="ar-EG"/>
        </w:rPr>
        <w:t>1</w:t>
      </w:r>
      <w:r w:rsidRPr="006043FE">
        <w:rPr>
          <w:rFonts w:ascii="Simplified Arabic" w:hAnsi="Simplified Arabic" w:cs="Simplified Arabic"/>
          <w:sz w:val="28"/>
          <w:szCs w:val="28"/>
          <w:lang w:bidi="ar-EG"/>
        </w:rPr>
        <w:t xml:space="preserve"> DB + </w:t>
      </w:r>
      <w:r w:rsidRPr="006043FE">
        <w:rPr>
          <w:rFonts w:ascii="Times New Roman" w:hAnsi="Times New Roman" w:cs="Times New Roman"/>
          <w:sz w:val="28"/>
          <w:szCs w:val="28"/>
          <w:lang w:bidi="ar-EG"/>
        </w:rPr>
        <w:t>β</w:t>
      </w:r>
      <w:r w:rsidRPr="006043FE">
        <w:rPr>
          <w:rFonts w:ascii="Simplified Arabic" w:hAnsi="Simplified Arabic" w:cs="Simplified Arabic"/>
          <w:sz w:val="28"/>
          <w:szCs w:val="28"/>
          <w:vertAlign w:val="subscript"/>
          <w:lang w:bidi="ar-EG"/>
        </w:rPr>
        <w:t>2</w:t>
      </w:r>
      <w:r w:rsidRPr="006043FE">
        <w:rPr>
          <w:rFonts w:ascii="Simplified Arabic" w:hAnsi="Simplified Arabic" w:cs="Simplified Arabic"/>
          <w:sz w:val="28"/>
          <w:szCs w:val="28"/>
          <w:lang w:bidi="ar-EG"/>
        </w:rPr>
        <w:t xml:space="preserve"> DNB +</w:t>
      </w:r>
      <w:r w:rsidRPr="006043FE">
        <w:rPr>
          <w:rFonts w:ascii="Times New Roman" w:hAnsi="Times New Roman" w:cs="Times New Roman"/>
          <w:sz w:val="28"/>
          <w:szCs w:val="28"/>
          <w:lang w:bidi="ar-EG"/>
        </w:rPr>
        <w:t>β</w:t>
      </w:r>
      <w:r w:rsidRPr="006043FE">
        <w:rPr>
          <w:rFonts w:ascii="Simplified Arabic" w:hAnsi="Simplified Arabic" w:cs="Simplified Arabic"/>
          <w:sz w:val="28"/>
          <w:szCs w:val="28"/>
          <w:vertAlign w:val="subscript"/>
          <w:lang w:bidi="ar-EG"/>
        </w:rPr>
        <w:t>3</w:t>
      </w:r>
      <w:r w:rsidRPr="006043FE">
        <w:rPr>
          <w:rFonts w:ascii="Simplified Arabic" w:hAnsi="Simplified Arabic" w:cs="Simplified Arabic"/>
          <w:sz w:val="28"/>
          <w:szCs w:val="28"/>
          <w:lang w:bidi="ar-EG"/>
        </w:rPr>
        <w:t xml:space="preserve"> XF +</w:t>
      </w:r>
      <w:r w:rsidRPr="006043FE">
        <w:rPr>
          <w:rFonts w:ascii="Times New Roman" w:hAnsi="Times New Roman" w:cs="Times New Roman"/>
          <w:sz w:val="28"/>
          <w:szCs w:val="28"/>
          <w:lang w:bidi="ar-EG"/>
        </w:rPr>
        <w:t>β</w:t>
      </w:r>
      <w:r w:rsidRPr="006043FE">
        <w:rPr>
          <w:rFonts w:ascii="Simplified Arabic" w:hAnsi="Simplified Arabic" w:cs="Simplified Arabic"/>
          <w:sz w:val="28"/>
          <w:szCs w:val="28"/>
          <w:vertAlign w:val="subscript"/>
          <w:lang w:bidi="ar-EG"/>
        </w:rPr>
        <w:t>4</w:t>
      </w:r>
      <w:r w:rsidRPr="006043FE">
        <w:rPr>
          <w:rFonts w:ascii="Simplified Arabic" w:hAnsi="Simplified Arabic" w:cs="Simplified Arabic"/>
          <w:sz w:val="28"/>
          <w:szCs w:val="28"/>
          <w:lang w:bidi="ar-EG"/>
        </w:rPr>
        <w:t xml:space="preserve"> XP +</w:t>
      </w:r>
      <w:r w:rsidRPr="006043FE">
        <w:rPr>
          <w:rFonts w:ascii="Times New Roman" w:hAnsi="Times New Roman" w:cs="Times New Roman"/>
          <w:sz w:val="28"/>
          <w:szCs w:val="28"/>
          <w:lang w:bidi="ar-EG"/>
        </w:rPr>
        <w:t>β</w:t>
      </w:r>
      <w:r w:rsidRPr="006043FE">
        <w:rPr>
          <w:rFonts w:ascii="Simplified Arabic" w:hAnsi="Simplified Arabic" w:cs="Simplified Arabic"/>
          <w:sz w:val="28"/>
          <w:szCs w:val="28"/>
          <w:vertAlign w:val="subscript"/>
          <w:lang w:bidi="ar-EG"/>
        </w:rPr>
        <w:t>5</w:t>
      </w:r>
      <w:r w:rsidRPr="006043FE">
        <w:rPr>
          <w:rFonts w:ascii="Simplified Arabic" w:hAnsi="Simplified Arabic" w:cs="Simplified Arabic"/>
          <w:sz w:val="28"/>
          <w:szCs w:val="28"/>
          <w:lang w:bidi="ar-EG"/>
        </w:rPr>
        <w:t xml:space="preserve"> M2 </w:t>
      </w:r>
      <w:r w:rsidRPr="006043FE">
        <w:rPr>
          <w:rFonts w:ascii="Simplified Arabic" w:hAnsi="Simplified Arabic" w:cs="Simplified Arabic"/>
          <w:sz w:val="28"/>
          <w:szCs w:val="28"/>
          <w:rtl/>
          <w:lang w:bidi="ar-EG"/>
        </w:rPr>
        <w:t>-</w:t>
      </w:r>
      <w:r w:rsidRPr="006043FE">
        <w:rPr>
          <w:rFonts w:ascii="Times New Roman" w:hAnsi="Times New Roman" w:cs="Times New Roman"/>
          <w:sz w:val="28"/>
          <w:szCs w:val="28"/>
          <w:lang w:bidi="ar-EG"/>
        </w:rPr>
        <w:t>β</w:t>
      </w:r>
      <w:r w:rsidRPr="006043FE">
        <w:rPr>
          <w:rFonts w:ascii="Simplified Arabic" w:hAnsi="Simplified Arabic" w:cs="Simplified Arabic"/>
          <w:sz w:val="28"/>
          <w:szCs w:val="28"/>
          <w:vertAlign w:val="subscript"/>
          <w:lang w:bidi="ar-EG"/>
        </w:rPr>
        <w:t>6</w:t>
      </w:r>
      <w:r w:rsidRPr="006043FE">
        <w:rPr>
          <w:rFonts w:ascii="Simplified Arabic" w:hAnsi="Simplified Arabic" w:cs="Simplified Arabic"/>
          <w:sz w:val="28"/>
          <w:szCs w:val="28"/>
          <w:lang w:bidi="ar-EG"/>
        </w:rPr>
        <w:t xml:space="preserve"> EX </w:t>
      </w:r>
      <w:r w:rsidRPr="006043FE">
        <w:rPr>
          <w:rFonts w:ascii="Simplified Arabic" w:hAnsi="Simplified Arabic" w:cs="Simplified Arabic"/>
          <w:sz w:val="28"/>
          <w:szCs w:val="28"/>
          <w:rtl/>
          <w:lang w:bidi="ar-EG"/>
        </w:rPr>
        <w:t>-</w:t>
      </w:r>
      <w:r w:rsidRPr="006043FE">
        <w:rPr>
          <w:rFonts w:ascii="Times New Roman" w:hAnsi="Times New Roman" w:cs="Times New Roman"/>
          <w:sz w:val="28"/>
          <w:szCs w:val="28"/>
          <w:lang w:bidi="ar-EG"/>
        </w:rPr>
        <w:t>β</w:t>
      </w:r>
      <w:r w:rsidRPr="006043FE">
        <w:rPr>
          <w:rFonts w:ascii="Simplified Arabic" w:hAnsi="Simplified Arabic" w:cs="Simplified Arabic"/>
          <w:sz w:val="28"/>
          <w:szCs w:val="28"/>
          <w:vertAlign w:val="subscript"/>
          <w:lang w:bidi="ar-EG"/>
        </w:rPr>
        <w:t>7</w:t>
      </w:r>
      <w:r w:rsidRPr="006043FE">
        <w:rPr>
          <w:rFonts w:ascii="Simplified Arabic" w:hAnsi="Simplified Arabic" w:cs="Simplified Arabic"/>
          <w:sz w:val="28"/>
          <w:szCs w:val="28"/>
          <w:lang w:bidi="ar-EG"/>
        </w:rPr>
        <w:t xml:space="preserve"> PS + U</w:t>
      </w:r>
    </w:p>
    <w:p w14:paraId="3FFA36C3" w14:textId="77777777" w:rsidR="002959BC" w:rsidRDefault="002959BC" w:rsidP="002959BC">
      <w:pPr>
        <w:pStyle w:val="ListParagraph"/>
        <w:spacing w:after="0" w:line="240" w:lineRule="auto"/>
        <w:ind w:left="938" w:hanging="952"/>
        <w:contextualSpacing w:val="0"/>
        <w:rPr>
          <w:rFonts w:ascii="Simplified Arabic" w:hAnsi="Simplified Arabic" w:cs="Simplified Arabic"/>
          <w:b/>
          <w:bCs/>
          <w:sz w:val="28"/>
          <w:szCs w:val="28"/>
          <w:lang w:bidi="ar-EG"/>
        </w:rPr>
      </w:pPr>
    </w:p>
    <w:p w14:paraId="7D139D92" w14:textId="77777777" w:rsidR="002959BC" w:rsidRPr="00090DA3" w:rsidRDefault="002959BC" w:rsidP="002959BC">
      <w:pPr>
        <w:pStyle w:val="ListParagraph"/>
        <w:spacing w:after="0" w:line="240" w:lineRule="auto"/>
        <w:ind w:left="938" w:hanging="952"/>
        <w:contextualSpacing w:val="0"/>
        <w:rPr>
          <w:rFonts w:ascii="Simplified Arabic" w:hAnsi="Simplified Arabic" w:cs="Simplified Arabic"/>
          <w:b/>
          <w:bCs/>
          <w:sz w:val="28"/>
          <w:szCs w:val="28"/>
          <w:lang w:bidi="ar-EG"/>
        </w:rPr>
      </w:pPr>
      <w:r w:rsidRPr="00090DA3">
        <w:rPr>
          <w:rFonts w:ascii="Simplified Arabic" w:hAnsi="Simplified Arabic" w:cs="Simplified Arabic" w:hint="cs"/>
          <w:b/>
          <w:bCs/>
          <w:sz w:val="28"/>
          <w:szCs w:val="28"/>
          <w:rtl/>
          <w:lang w:bidi="ar-EG"/>
        </w:rPr>
        <w:t xml:space="preserve">- </w:t>
      </w:r>
      <w:r w:rsidRPr="00090DA3">
        <w:rPr>
          <w:rFonts w:ascii="Simplified Arabic" w:hAnsi="Simplified Arabic" w:cs="Simplified Arabic"/>
          <w:b/>
          <w:bCs/>
          <w:sz w:val="28"/>
          <w:szCs w:val="28"/>
          <w:u w:val="single"/>
          <w:rtl/>
          <w:lang w:bidi="ar-EG"/>
        </w:rPr>
        <w:t>الارتباط وبعض المقاييس الاحصائية:</w:t>
      </w:r>
    </w:p>
    <w:p w14:paraId="7490D5DC" w14:textId="77777777" w:rsidR="002959BC" w:rsidRPr="006043FE" w:rsidRDefault="002959BC" w:rsidP="002959BC">
      <w:pPr>
        <w:ind w:firstLine="454"/>
        <w:jc w:val="both"/>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ويعرض الجدول</w:t>
      </w:r>
      <w:r>
        <w:rPr>
          <w:rFonts w:ascii="Simplified Arabic" w:hAnsi="Simplified Arabic" w:cs="Simplified Arabic"/>
          <w:sz w:val="28"/>
          <w:szCs w:val="28"/>
          <w:rtl/>
          <w:lang w:bidi="ar-EG"/>
        </w:rPr>
        <w:t xml:space="preserve"> التالي</w:t>
      </w:r>
      <w:r w:rsidRPr="006043FE">
        <w:rPr>
          <w:rFonts w:ascii="Simplified Arabic" w:hAnsi="Simplified Arabic" w:cs="Simplified Arabic"/>
          <w:sz w:val="28"/>
          <w:szCs w:val="28"/>
          <w:rtl/>
          <w:lang w:bidi="ar-EG"/>
        </w:rPr>
        <w:t xml:space="preserve"> نتائج التحليل الإحصائي للمتغيرات المدرجة بالنموذج القياسي، حيث يعبر الجدول عن مصفوفة معاملات الارتباط</w:t>
      </w:r>
      <w:r>
        <w:rPr>
          <w:rFonts w:ascii="Simplified Arabic" w:hAnsi="Simplified Arabic" w:cs="Simplified Arabic"/>
          <w:sz w:val="28"/>
          <w:szCs w:val="28"/>
          <w:rtl/>
          <w:lang w:bidi="ar-EG"/>
        </w:rPr>
        <w:t xml:space="preserve"> بين تلك المتغيرات بعضها البعض</w:t>
      </w:r>
      <w:r w:rsidRPr="006043FE">
        <w:rPr>
          <w:rFonts w:ascii="Simplified Arabic" w:hAnsi="Simplified Arabic" w:cs="Simplified Arabic"/>
          <w:sz w:val="28"/>
          <w:szCs w:val="28"/>
          <w:rtl/>
          <w:lang w:bidi="ar-EG"/>
        </w:rPr>
        <w:t xml:space="preserve">، وذلك لإعطاء صورة شاملة ومقارنة بين بيانات السلاسل الزمنية التي سيتضمنها النموذج القياسي وإظهار خصائصها الإحصائية. </w:t>
      </w:r>
    </w:p>
    <w:p w14:paraId="73694172" w14:textId="77777777" w:rsidR="002959BC" w:rsidRDefault="002959BC" w:rsidP="002959BC">
      <w:pPr>
        <w:pStyle w:val="ListParagraph"/>
        <w:spacing w:after="0" w:line="240" w:lineRule="auto"/>
        <w:ind w:left="28" w:firstLine="79"/>
        <w:contextualSpacing w:val="0"/>
        <w:jc w:val="center"/>
        <w:rPr>
          <w:rFonts w:ascii="Simplified Arabic" w:eastAsia="Times New Roman" w:hAnsi="Simplified Arabic" w:cs="Simplified Arabic"/>
          <w:sz w:val="28"/>
          <w:szCs w:val="28"/>
          <w:rtl/>
        </w:rPr>
      </w:pPr>
    </w:p>
    <w:p w14:paraId="28009B3E" w14:textId="77777777" w:rsidR="002959BC" w:rsidRPr="00536385"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r w:rsidRPr="00536385">
        <w:rPr>
          <w:rFonts w:ascii="Simplified Arabic" w:eastAsia="Times New Roman" w:hAnsi="Simplified Arabic" w:cs="Simplified Arabic"/>
          <w:b/>
          <w:bCs/>
          <w:sz w:val="24"/>
          <w:szCs w:val="24"/>
          <w:rtl/>
        </w:rPr>
        <w:t>جدول رقم (3-1)</w:t>
      </w:r>
    </w:p>
    <w:p w14:paraId="3A50517F" w14:textId="77777777" w:rsidR="002959BC" w:rsidRPr="00536385"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Pr>
      </w:pPr>
      <w:r w:rsidRPr="00536385">
        <w:rPr>
          <w:rFonts w:ascii="Simplified Arabic" w:eastAsia="Times New Roman" w:hAnsi="Simplified Arabic" w:cs="Simplified Arabic"/>
          <w:b/>
          <w:bCs/>
          <w:sz w:val="24"/>
          <w:szCs w:val="24"/>
          <w:rtl/>
        </w:rPr>
        <w:t>مصفوفة معاملات الارتباط بين متغيرات النموذج القياسي</w:t>
      </w:r>
    </w:p>
    <w:tbl>
      <w:tblPr>
        <w:tblW w:w="816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07"/>
        <w:gridCol w:w="907"/>
        <w:gridCol w:w="907"/>
        <w:gridCol w:w="907"/>
        <w:gridCol w:w="907"/>
        <w:gridCol w:w="907"/>
        <w:gridCol w:w="907"/>
        <w:gridCol w:w="907"/>
        <w:gridCol w:w="907"/>
      </w:tblGrid>
      <w:tr w:rsidR="002959BC" w:rsidRPr="006043FE" w14:paraId="1F6248E0" w14:textId="77777777" w:rsidTr="00270E6A">
        <w:trPr>
          <w:trHeight w:val="360"/>
          <w:jc w:val="center"/>
        </w:trPr>
        <w:tc>
          <w:tcPr>
            <w:tcW w:w="907" w:type="dxa"/>
            <w:shd w:val="clear" w:color="auto" w:fill="auto"/>
            <w:noWrap/>
            <w:vAlign w:val="center"/>
            <w:hideMark/>
          </w:tcPr>
          <w:p w14:paraId="365342EA" w14:textId="77777777" w:rsidR="002959BC" w:rsidRPr="006043FE" w:rsidRDefault="002959BC" w:rsidP="00270E6A">
            <w:pPr>
              <w:jc w:val="both"/>
              <w:rPr>
                <w:rFonts w:ascii="Simplified Arabic" w:hAnsi="Simplified Arabic" w:cs="Simplified Arabic"/>
                <w:sz w:val="28"/>
                <w:szCs w:val="28"/>
              </w:rPr>
            </w:pPr>
          </w:p>
        </w:tc>
        <w:tc>
          <w:tcPr>
            <w:tcW w:w="907" w:type="dxa"/>
            <w:shd w:val="clear" w:color="auto" w:fill="auto"/>
            <w:noWrap/>
            <w:vAlign w:val="center"/>
            <w:hideMark/>
          </w:tcPr>
          <w:p w14:paraId="333AD351"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CPI</w:t>
            </w:r>
          </w:p>
        </w:tc>
        <w:tc>
          <w:tcPr>
            <w:tcW w:w="907" w:type="dxa"/>
            <w:shd w:val="clear" w:color="auto" w:fill="auto"/>
            <w:noWrap/>
            <w:vAlign w:val="center"/>
            <w:hideMark/>
          </w:tcPr>
          <w:p w14:paraId="72C988C3"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DB</w:t>
            </w:r>
          </w:p>
        </w:tc>
        <w:tc>
          <w:tcPr>
            <w:tcW w:w="907" w:type="dxa"/>
            <w:shd w:val="clear" w:color="auto" w:fill="auto"/>
            <w:noWrap/>
            <w:vAlign w:val="center"/>
            <w:hideMark/>
          </w:tcPr>
          <w:p w14:paraId="3890A5D7"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DNB</w:t>
            </w:r>
          </w:p>
        </w:tc>
        <w:tc>
          <w:tcPr>
            <w:tcW w:w="907" w:type="dxa"/>
            <w:shd w:val="clear" w:color="auto" w:fill="auto"/>
            <w:noWrap/>
            <w:vAlign w:val="center"/>
            <w:hideMark/>
          </w:tcPr>
          <w:p w14:paraId="2036EC78"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XF</w:t>
            </w:r>
          </w:p>
        </w:tc>
        <w:tc>
          <w:tcPr>
            <w:tcW w:w="907" w:type="dxa"/>
            <w:shd w:val="clear" w:color="auto" w:fill="auto"/>
            <w:noWrap/>
            <w:vAlign w:val="center"/>
            <w:hideMark/>
          </w:tcPr>
          <w:p w14:paraId="761A7661"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XP</w:t>
            </w:r>
          </w:p>
        </w:tc>
        <w:tc>
          <w:tcPr>
            <w:tcW w:w="907" w:type="dxa"/>
            <w:shd w:val="clear" w:color="auto" w:fill="auto"/>
            <w:noWrap/>
            <w:vAlign w:val="center"/>
            <w:hideMark/>
          </w:tcPr>
          <w:p w14:paraId="703C6FAE"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M2</w:t>
            </w:r>
          </w:p>
        </w:tc>
        <w:tc>
          <w:tcPr>
            <w:tcW w:w="907" w:type="dxa"/>
            <w:shd w:val="clear" w:color="auto" w:fill="auto"/>
            <w:noWrap/>
            <w:vAlign w:val="center"/>
            <w:hideMark/>
          </w:tcPr>
          <w:p w14:paraId="59955D92"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EX</w:t>
            </w:r>
          </w:p>
        </w:tc>
        <w:tc>
          <w:tcPr>
            <w:tcW w:w="907" w:type="dxa"/>
            <w:shd w:val="clear" w:color="auto" w:fill="auto"/>
            <w:noWrap/>
            <w:vAlign w:val="center"/>
            <w:hideMark/>
          </w:tcPr>
          <w:p w14:paraId="52339184"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PS</w:t>
            </w:r>
          </w:p>
        </w:tc>
      </w:tr>
      <w:tr w:rsidR="002959BC" w:rsidRPr="006043FE" w14:paraId="596FEC9D" w14:textId="77777777" w:rsidTr="00270E6A">
        <w:trPr>
          <w:trHeight w:val="360"/>
          <w:jc w:val="center"/>
        </w:trPr>
        <w:tc>
          <w:tcPr>
            <w:tcW w:w="907" w:type="dxa"/>
            <w:shd w:val="clear" w:color="auto" w:fill="auto"/>
            <w:noWrap/>
            <w:vAlign w:val="center"/>
            <w:hideMark/>
          </w:tcPr>
          <w:p w14:paraId="18927DA3"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CPI</w:t>
            </w:r>
          </w:p>
        </w:tc>
        <w:tc>
          <w:tcPr>
            <w:tcW w:w="907" w:type="dxa"/>
            <w:shd w:val="clear" w:color="auto" w:fill="D9D9D9" w:themeFill="background1" w:themeFillShade="D9"/>
            <w:noWrap/>
            <w:vAlign w:val="center"/>
            <w:hideMark/>
          </w:tcPr>
          <w:p w14:paraId="46EA9BE6"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1.00</w:t>
            </w:r>
          </w:p>
        </w:tc>
        <w:tc>
          <w:tcPr>
            <w:tcW w:w="907" w:type="dxa"/>
            <w:shd w:val="clear" w:color="auto" w:fill="auto"/>
            <w:noWrap/>
            <w:vAlign w:val="center"/>
            <w:hideMark/>
          </w:tcPr>
          <w:p w14:paraId="316B9D8C"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0.91</w:t>
            </w:r>
          </w:p>
        </w:tc>
        <w:tc>
          <w:tcPr>
            <w:tcW w:w="907" w:type="dxa"/>
            <w:shd w:val="clear" w:color="auto" w:fill="auto"/>
            <w:noWrap/>
            <w:vAlign w:val="center"/>
            <w:hideMark/>
          </w:tcPr>
          <w:p w14:paraId="0887D948"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0.79</w:t>
            </w:r>
          </w:p>
        </w:tc>
        <w:tc>
          <w:tcPr>
            <w:tcW w:w="907" w:type="dxa"/>
            <w:shd w:val="clear" w:color="auto" w:fill="auto"/>
            <w:noWrap/>
            <w:vAlign w:val="center"/>
            <w:hideMark/>
          </w:tcPr>
          <w:p w14:paraId="5EA75554"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0.53</w:t>
            </w:r>
          </w:p>
        </w:tc>
        <w:tc>
          <w:tcPr>
            <w:tcW w:w="907" w:type="dxa"/>
            <w:shd w:val="clear" w:color="auto" w:fill="auto"/>
            <w:noWrap/>
            <w:vAlign w:val="center"/>
            <w:hideMark/>
          </w:tcPr>
          <w:p w14:paraId="54815DDE"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0.90</w:t>
            </w:r>
          </w:p>
        </w:tc>
        <w:tc>
          <w:tcPr>
            <w:tcW w:w="907" w:type="dxa"/>
            <w:shd w:val="clear" w:color="auto" w:fill="auto"/>
            <w:noWrap/>
            <w:vAlign w:val="center"/>
            <w:hideMark/>
          </w:tcPr>
          <w:p w14:paraId="01FAEC23"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-0.08</w:t>
            </w:r>
          </w:p>
        </w:tc>
        <w:tc>
          <w:tcPr>
            <w:tcW w:w="907" w:type="dxa"/>
            <w:shd w:val="clear" w:color="auto" w:fill="auto"/>
            <w:noWrap/>
            <w:vAlign w:val="center"/>
            <w:hideMark/>
          </w:tcPr>
          <w:p w14:paraId="1241B011"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0.90</w:t>
            </w:r>
          </w:p>
        </w:tc>
        <w:tc>
          <w:tcPr>
            <w:tcW w:w="907" w:type="dxa"/>
            <w:shd w:val="clear" w:color="auto" w:fill="auto"/>
            <w:noWrap/>
            <w:vAlign w:val="center"/>
            <w:hideMark/>
          </w:tcPr>
          <w:p w14:paraId="7D0C3C3D"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0.62</w:t>
            </w:r>
          </w:p>
        </w:tc>
      </w:tr>
      <w:tr w:rsidR="002959BC" w:rsidRPr="006043FE" w14:paraId="7AC19239" w14:textId="77777777" w:rsidTr="00270E6A">
        <w:trPr>
          <w:trHeight w:val="360"/>
          <w:jc w:val="center"/>
        </w:trPr>
        <w:tc>
          <w:tcPr>
            <w:tcW w:w="907" w:type="dxa"/>
            <w:shd w:val="clear" w:color="auto" w:fill="auto"/>
            <w:noWrap/>
            <w:vAlign w:val="center"/>
            <w:hideMark/>
          </w:tcPr>
          <w:p w14:paraId="35D53800"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DB</w:t>
            </w:r>
          </w:p>
        </w:tc>
        <w:tc>
          <w:tcPr>
            <w:tcW w:w="907" w:type="dxa"/>
            <w:shd w:val="clear" w:color="auto" w:fill="auto"/>
            <w:noWrap/>
            <w:vAlign w:val="center"/>
            <w:hideMark/>
          </w:tcPr>
          <w:p w14:paraId="4FD2203B"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0.91</w:t>
            </w:r>
          </w:p>
        </w:tc>
        <w:tc>
          <w:tcPr>
            <w:tcW w:w="907" w:type="dxa"/>
            <w:shd w:val="clear" w:color="auto" w:fill="D9D9D9" w:themeFill="background1" w:themeFillShade="D9"/>
            <w:noWrap/>
            <w:vAlign w:val="center"/>
            <w:hideMark/>
          </w:tcPr>
          <w:p w14:paraId="4B2B552B"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1.00</w:t>
            </w:r>
          </w:p>
        </w:tc>
        <w:tc>
          <w:tcPr>
            <w:tcW w:w="907" w:type="dxa"/>
            <w:shd w:val="clear" w:color="auto" w:fill="auto"/>
            <w:noWrap/>
            <w:vAlign w:val="center"/>
            <w:hideMark/>
          </w:tcPr>
          <w:p w14:paraId="586F3560"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0.59</w:t>
            </w:r>
          </w:p>
        </w:tc>
        <w:tc>
          <w:tcPr>
            <w:tcW w:w="907" w:type="dxa"/>
            <w:shd w:val="clear" w:color="auto" w:fill="auto"/>
            <w:noWrap/>
            <w:vAlign w:val="center"/>
            <w:hideMark/>
          </w:tcPr>
          <w:p w14:paraId="3D5F8D26"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0.32</w:t>
            </w:r>
          </w:p>
        </w:tc>
        <w:tc>
          <w:tcPr>
            <w:tcW w:w="907" w:type="dxa"/>
            <w:shd w:val="clear" w:color="auto" w:fill="auto"/>
            <w:noWrap/>
            <w:vAlign w:val="center"/>
            <w:hideMark/>
          </w:tcPr>
          <w:p w14:paraId="15B6CC84"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0.81</w:t>
            </w:r>
          </w:p>
        </w:tc>
        <w:tc>
          <w:tcPr>
            <w:tcW w:w="907" w:type="dxa"/>
            <w:shd w:val="clear" w:color="auto" w:fill="auto"/>
            <w:noWrap/>
            <w:vAlign w:val="center"/>
            <w:hideMark/>
          </w:tcPr>
          <w:p w14:paraId="20D09209"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-0.33</w:t>
            </w:r>
          </w:p>
        </w:tc>
        <w:tc>
          <w:tcPr>
            <w:tcW w:w="907" w:type="dxa"/>
            <w:shd w:val="clear" w:color="auto" w:fill="auto"/>
            <w:noWrap/>
            <w:vAlign w:val="center"/>
            <w:hideMark/>
          </w:tcPr>
          <w:p w14:paraId="7C7F31F1"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0.73</w:t>
            </w:r>
          </w:p>
        </w:tc>
        <w:tc>
          <w:tcPr>
            <w:tcW w:w="907" w:type="dxa"/>
            <w:shd w:val="clear" w:color="auto" w:fill="auto"/>
            <w:noWrap/>
            <w:vAlign w:val="center"/>
            <w:hideMark/>
          </w:tcPr>
          <w:p w14:paraId="36ABE01D"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0.81</w:t>
            </w:r>
          </w:p>
        </w:tc>
      </w:tr>
      <w:tr w:rsidR="002959BC" w:rsidRPr="006043FE" w14:paraId="79A26F1F" w14:textId="77777777" w:rsidTr="00270E6A">
        <w:trPr>
          <w:trHeight w:val="360"/>
          <w:jc w:val="center"/>
        </w:trPr>
        <w:tc>
          <w:tcPr>
            <w:tcW w:w="907" w:type="dxa"/>
            <w:shd w:val="clear" w:color="auto" w:fill="auto"/>
            <w:noWrap/>
            <w:vAlign w:val="center"/>
            <w:hideMark/>
          </w:tcPr>
          <w:p w14:paraId="6F137ECE"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DNB</w:t>
            </w:r>
          </w:p>
        </w:tc>
        <w:tc>
          <w:tcPr>
            <w:tcW w:w="907" w:type="dxa"/>
            <w:shd w:val="clear" w:color="auto" w:fill="auto"/>
            <w:noWrap/>
            <w:vAlign w:val="center"/>
            <w:hideMark/>
          </w:tcPr>
          <w:p w14:paraId="59F48677"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0.79</w:t>
            </w:r>
          </w:p>
        </w:tc>
        <w:tc>
          <w:tcPr>
            <w:tcW w:w="907" w:type="dxa"/>
            <w:shd w:val="clear" w:color="auto" w:fill="auto"/>
            <w:noWrap/>
            <w:vAlign w:val="center"/>
            <w:hideMark/>
          </w:tcPr>
          <w:p w14:paraId="14D77726"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0.59</w:t>
            </w:r>
          </w:p>
        </w:tc>
        <w:tc>
          <w:tcPr>
            <w:tcW w:w="907" w:type="dxa"/>
            <w:shd w:val="clear" w:color="auto" w:fill="D9D9D9" w:themeFill="background1" w:themeFillShade="D9"/>
            <w:noWrap/>
            <w:vAlign w:val="center"/>
            <w:hideMark/>
          </w:tcPr>
          <w:p w14:paraId="2902A035"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1.00</w:t>
            </w:r>
          </w:p>
        </w:tc>
        <w:tc>
          <w:tcPr>
            <w:tcW w:w="907" w:type="dxa"/>
            <w:shd w:val="clear" w:color="auto" w:fill="auto"/>
            <w:noWrap/>
            <w:vAlign w:val="center"/>
            <w:hideMark/>
          </w:tcPr>
          <w:p w14:paraId="64C8DBF5"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0.8</w:t>
            </w:r>
          </w:p>
        </w:tc>
        <w:tc>
          <w:tcPr>
            <w:tcW w:w="907" w:type="dxa"/>
            <w:shd w:val="clear" w:color="auto" w:fill="auto"/>
            <w:noWrap/>
            <w:vAlign w:val="center"/>
            <w:hideMark/>
          </w:tcPr>
          <w:p w14:paraId="08AB2385"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0.54</w:t>
            </w:r>
          </w:p>
        </w:tc>
        <w:tc>
          <w:tcPr>
            <w:tcW w:w="907" w:type="dxa"/>
            <w:shd w:val="clear" w:color="auto" w:fill="auto"/>
            <w:noWrap/>
            <w:vAlign w:val="center"/>
            <w:hideMark/>
          </w:tcPr>
          <w:p w14:paraId="287E4CCE"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0.26</w:t>
            </w:r>
          </w:p>
        </w:tc>
        <w:tc>
          <w:tcPr>
            <w:tcW w:w="907" w:type="dxa"/>
            <w:shd w:val="clear" w:color="auto" w:fill="auto"/>
            <w:noWrap/>
            <w:vAlign w:val="center"/>
            <w:hideMark/>
          </w:tcPr>
          <w:p w14:paraId="10554A1D"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0.84</w:t>
            </w:r>
          </w:p>
        </w:tc>
        <w:tc>
          <w:tcPr>
            <w:tcW w:w="907" w:type="dxa"/>
            <w:shd w:val="clear" w:color="auto" w:fill="auto"/>
            <w:noWrap/>
            <w:vAlign w:val="center"/>
            <w:hideMark/>
          </w:tcPr>
          <w:p w14:paraId="3308F4C1"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0.23</w:t>
            </w:r>
          </w:p>
        </w:tc>
      </w:tr>
      <w:tr w:rsidR="002959BC" w:rsidRPr="006043FE" w14:paraId="68E73F22" w14:textId="77777777" w:rsidTr="00270E6A">
        <w:trPr>
          <w:trHeight w:val="360"/>
          <w:jc w:val="center"/>
        </w:trPr>
        <w:tc>
          <w:tcPr>
            <w:tcW w:w="907" w:type="dxa"/>
            <w:shd w:val="clear" w:color="auto" w:fill="auto"/>
            <w:noWrap/>
            <w:vAlign w:val="center"/>
            <w:hideMark/>
          </w:tcPr>
          <w:p w14:paraId="678DDE63"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XF</w:t>
            </w:r>
          </w:p>
        </w:tc>
        <w:tc>
          <w:tcPr>
            <w:tcW w:w="907" w:type="dxa"/>
            <w:shd w:val="clear" w:color="auto" w:fill="auto"/>
            <w:noWrap/>
            <w:vAlign w:val="center"/>
            <w:hideMark/>
          </w:tcPr>
          <w:p w14:paraId="48996BFC"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0.53</w:t>
            </w:r>
          </w:p>
        </w:tc>
        <w:tc>
          <w:tcPr>
            <w:tcW w:w="907" w:type="dxa"/>
            <w:shd w:val="clear" w:color="auto" w:fill="auto"/>
            <w:noWrap/>
            <w:vAlign w:val="center"/>
            <w:hideMark/>
          </w:tcPr>
          <w:p w14:paraId="40D06B3A"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0.32</w:t>
            </w:r>
          </w:p>
        </w:tc>
        <w:tc>
          <w:tcPr>
            <w:tcW w:w="907" w:type="dxa"/>
            <w:shd w:val="clear" w:color="auto" w:fill="auto"/>
            <w:noWrap/>
            <w:vAlign w:val="center"/>
            <w:hideMark/>
          </w:tcPr>
          <w:p w14:paraId="16AE7141"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0.80</w:t>
            </w:r>
          </w:p>
        </w:tc>
        <w:tc>
          <w:tcPr>
            <w:tcW w:w="907" w:type="dxa"/>
            <w:shd w:val="clear" w:color="auto" w:fill="D9D9D9" w:themeFill="background1" w:themeFillShade="D9"/>
            <w:noWrap/>
            <w:vAlign w:val="center"/>
            <w:hideMark/>
          </w:tcPr>
          <w:p w14:paraId="3D3B94A5"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1.00</w:t>
            </w:r>
          </w:p>
        </w:tc>
        <w:tc>
          <w:tcPr>
            <w:tcW w:w="907" w:type="dxa"/>
            <w:shd w:val="clear" w:color="auto" w:fill="auto"/>
            <w:noWrap/>
            <w:vAlign w:val="center"/>
            <w:hideMark/>
          </w:tcPr>
          <w:p w14:paraId="31C2431A"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0.29</w:t>
            </w:r>
          </w:p>
        </w:tc>
        <w:tc>
          <w:tcPr>
            <w:tcW w:w="907" w:type="dxa"/>
            <w:shd w:val="clear" w:color="auto" w:fill="auto"/>
            <w:noWrap/>
            <w:vAlign w:val="center"/>
            <w:hideMark/>
          </w:tcPr>
          <w:p w14:paraId="04950907"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0.35</w:t>
            </w:r>
          </w:p>
        </w:tc>
        <w:tc>
          <w:tcPr>
            <w:tcW w:w="907" w:type="dxa"/>
            <w:shd w:val="clear" w:color="auto" w:fill="auto"/>
            <w:noWrap/>
            <w:vAlign w:val="center"/>
            <w:hideMark/>
          </w:tcPr>
          <w:p w14:paraId="6487F715"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0.61</w:t>
            </w:r>
          </w:p>
        </w:tc>
        <w:tc>
          <w:tcPr>
            <w:tcW w:w="907" w:type="dxa"/>
            <w:shd w:val="clear" w:color="auto" w:fill="auto"/>
            <w:noWrap/>
            <w:vAlign w:val="center"/>
            <w:hideMark/>
          </w:tcPr>
          <w:p w14:paraId="4F1EBA8B"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-0.12</w:t>
            </w:r>
          </w:p>
        </w:tc>
      </w:tr>
      <w:tr w:rsidR="002959BC" w:rsidRPr="006043FE" w14:paraId="1F68C004" w14:textId="77777777" w:rsidTr="00270E6A">
        <w:trPr>
          <w:trHeight w:val="360"/>
          <w:jc w:val="center"/>
        </w:trPr>
        <w:tc>
          <w:tcPr>
            <w:tcW w:w="907" w:type="dxa"/>
            <w:shd w:val="clear" w:color="auto" w:fill="auto"/>
            <w:noWrap/>
            <w:vAlign w:val="center"/>
            <w:hideMark/>
          </w:tcPr>
          <w:p w14:paraId="0A6DF6FD"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XP</w:t>
            </w:r>
          </w:p>
        </w:tc>
        <w:tc>
          <w:tcPr>
            <w:tcW w:w="907" w:type="dxa"/>
            <w:shd w:val="clear" w:color="auto" w:fill="auto"/>
            <w:noWrap/>
            <w:vAlign w:val="center"/>
            <w:hideMark/>
          </w:tcPr>
          <w:p w14:paraId="37A8F026"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0.90</w:t>
            </w:r>
          </w:p>
        </w:tc>
        <w:tc>
          <w:tcPr>
            <w:tcW w:w="907" w:type="dxa"/>
            <w:shd w:val="clear" w:color="auto" w:fill="auto"/>
            <w:noWrap/>
            <w:vAlign w:val="center"/>
            <w:hideMark/>
          </w:tcPr>
          <w:p w14:paraId="6711AA09"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0.81</w:t>
            </w:r>
          </w:p>
        </w:tc>
        <w:tc>
          <w:tcPr>
            <w:tcW w:w="907" w:type="dxa"/>
            <w:shd w:val="clear" w:color="auto" w:fill="auto"/>
            <w:noWrap/>
            <w:vAlign w:val="center"/>
            <w:hideMark/>
          </w:tcPr>
          <w:p w14:paraId="2BB4F902"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0.54</w:t>
            </w:r>
          </w:p>
        </w:tc>
        <w:tc>
          <w:tcPr>
            <w:tcW w:w="907" w:type="dxa"/>
            <w:shd w:val="clear" w:color="auto" w:fill="auto"/>
            <w:noWrap/>
            <w:vAlign w:val="center"/>
            <w:hideMark/>
          </w:tcPr>
          <w:p w14:paraId="58C17E1E"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0.29</w:t>
            </w:r>
          </w:p>
        </w:tc>
        <w:tc>
          <w:tcPr>
            <w:tcW w:w="907" w:type="dxa"/>
            <w:shd w:val="clear" w:color="auto" w:fill="D9D9D9" w:themeFill="background1" w:themeFillShade="D9"/>
            <w:noWrap/>
            <w:vAlign w:val="center"/>
            <w:hideMark/>
          </w:tcPr>
          <w:p w14:paraId="12102E2D"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1.00</w:t>
            </w:r>
          </w:p>
        </w:tc>
        <w:tc>
          <w:tcPr>
            <w:tcW w:w="907" w:type="dxa"/>
            <w:shd w:val="clear" w:color="auto" w:fill="auto"/>
            <w:noWrap/>
            <w:vAlign w:val="center"/>
            <w:hideMark/>
          </w:tcPr>
          <w:p w14:paraId="11C82FB2"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-0.04</w:t>
            </w:r>
          </w:p>
        </w:tc>
        <w:tc>
          <w:tcPr>
            <w:tcW w:w="907" w:type="dxa"/>
            <w:shd w:val="clear" w:color="auto" w:fill="auto"/>
            <w:noWrap/>
            <w:vAlign w:val="center"/>
            <w:hideMark/>
          </w:tcPr>
          <w:p w14:paraId="47DA6DBF"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0.80</w:t>
            </w:r>
          </w:p>
        </w:tc>
        <w:tc>
          <w:tcPr>
            <w:tcW w:w="907" w:type="dxa"/>
            <w:shd w:val="clear" w:color="auto" w:fill="auto"/>
            <w:noWrap/>
            <w:vAlign w:val="center"/>
            <w:hideMark/>
          </w:tcPr>
          <w:p w14:paraId="21B10710"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0.61</w:t>
            </w:r>
          </w:p>
        </w:tc>
      </w:tr>
      <w:tr w:rsidR="002959BC" w:rsidRPr="006043FE" w14:paraId="0934633F" w14:textId="77777777" w:rsidTr="00270E6A">
        <w:trPr>
          <w:trHeight w:val="360"/>
          <w:jc w:val="center"/>
        </w:trPr>
        <w:tc>
          <w:tcPr>
            <w:tcW w:w="907" w:type="dxa"/>
            <w:shd w:val="clear" w:color="auto" w:fill="auto"/>
            <w:noWrap/>
            <w:vAlign w:val="center"/>
            <w:hideMark/>
          </w:tcPr>
          <w:p w14:paraId="109B0CB5"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M2</w:t>
            </w:r>
          </w:p>
        </w:tc>
        <w:tc>
          <w:tcPr>
            <w:tcW w:w="907" w:type="dxa"/>
            <w:shd w:val="clear" w:color="auto" w:fill="auto"/>
            <w:noWrap/>
            <w:vAlign w:val="center"/>
            <w:hideMark/>
          </w:tcPr>
          <w:p w14:paraId="27433886"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-0.08</w:t>
            </w:r>
          </w:p>
        </w:tc>
        <w:tc>
          <w:tcPr>
            <w:tcW w:w="907" w:type="dxa"/>
            <w:shd w:val="clear" w:color="auto" w:fill="auto"/>
            <w:noWrap/>
            <w:vAlign w:val="center"/>
            <w:hideMark/>
          </w:tcPr>
          <w:p w14:paraId="58DC2C11"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-0.33</w:t>
            </w:r>
          </w:p>
        </w:tc>
        <w:tc>
          <w:tcPr>
            <w:tcW w:w="907" w:type="dxa"/>
            <w:shd w:val="clear" w:color="auto" w:fill="auto"/>
            <w:noWrap/>
            <w:vAlign w:val="center"/>
            <w:hideMark/>
          </w:tcPr>
          <w:p w14:paraId="11937BA5"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0.26</w:t>
            </w:r>
          </w:p>
        </w:tc>
        <w:tc>
          <w:tcPr>
            <w:tcW w:w="907" w:type="dxa"/>
            <w:shd w:val="clear" w:color="auto" w:fill="auto"/>
            <w:noWrap/>
            <w:vAlign w:val="center"/>
            <w:hideMark/>
          </w:tcPr>
          <w:p w14:paraId="61FB18E5"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0.35</w:t>
            </w:r>
          </w:p>
        </w:tc>
        <w:tc>
          <w:tcPr>
            <w:tcW w:w="907" w:type="dxa"/>
            <w:shd w:val="clear" w:color="auto" w:fill="auto"/>
            <w:noWrap/>
            <w:vAlign w:val="center"/>
            <w:hideMark/>
          </w:tcPr>
          <w:p w14:paraId="78F6EC9E"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-0.04</w:t>
            </w:r>
          </w:p>
        </w:tc>
        <w:tc>
          <w:tcPr>
            <w:tcW w:w="907" w:type="dxa"/>
            <w:shd w:val="clear" w:color="auto" w:fill="D9D9D9" w:themeFill="background1" w:themeFillShade="D9"/>
            <w:noWrap/>
            <w:vAlign w:val="center"/>
            <w:hideMark/>
          </w:tcPr>
          <w:p w14:paraId="33E06B07"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1.00</w:t>
            </w:r>
          </w:p>
        </w:tc>
        <w:tc>
          <w:tcPr>
            <w:tcW w:w="907" w:type="dxa"/>
            <w:shd w:val="clear" w:color="auto" w:fill="auto"/>
            <w:noWrap/>
            <w:vAlign w:val="center"/>
            <w:hideMark/>
          </w:tcPr>
          <w:p w14:paraId="4376A84F"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0.34</w:t>
            </w:r>
          </w:p>
        </w:tc>
        <w:tc>
          <w:tcPr>
            <w:tcW w:w="907" w:type="dxa"/>
            <w:shd w:val="clear" w:color="auto" w:fill="auto"/>
            <w:noWrap/>
            <w:vAlign w:val="center"/>
            <w:hideMark/>
          </w:tcPr>
          <w:p w14:paraId="3A23C474"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-0.53</w:t>
            </w:r>
          </w:p>
        </w:tc>
      </w:tr>
      <w:tr w:rsidR="002959BC" w:rsidRPr="006043FE" w14:paraId="4188DF0D" w14:textId="77777777" w:rsidTr="00270E6A">
        <w:trPr>
          <w:trHeight w:val="360"/>
          <w:jc w:val="center"/>
        </w:trPr>
        <w:tc>
          <w:tcPr>
            <w:tcW w:w="907" w:type="dxa"/>
            <w:shd w:val="clear" w:color="auto" w:fill="auto"/>
            <w:noWrap/>
            <w:vAlign w:val="center"/>
            <w:hideMark/>
          </w:tcPr>
          <w:p w14:paraId="39D017D7"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EX</w:t>
            </w:r>
          </w:p>
        </w:tc>
        <w:tc>
          <w:tcPr>
            <w:tcW w:w="907" w:type="dxa"/>
            <w:shd w:val="clear" w:color="auto" w:fill="auto"/>
            <w:noWrap/>
            <w:vAlign w:val="center"/>
            <w:hideMark/>
          </w:tcPr>
          <w:p w14:paraId="7F2F7688"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0.90</w:t>
            </w:r>
          </w:p>
        </w:tc>
        <w:tc>
          <w:tcPr>
            <w:tcW w:w="907" w:type="dxa"/>
            <w:shd w:val="clear" w:color="auto" w:fill="auto"/>
            <w:noWrap/>
            <w:vAlign w:val="center"/>
            <w:hideMark/>
          </w:tcPr>
          <w:p w14:paraId="5AE34108"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0.73</w:t>
            </w:r>
          </w:p>
        </w:tc>
        <w:tc>
          <w:tcPr>
            <w:tcW w:w="907" w:type="dxa"/>
            <w:shd w:val="clear" w:color="auto" w:fill="auto"/>
            <w:noWrap/>
            <w:vAlign w:val="center"/>
            <w:hideMark/>
          </w:tcPr>
          <w:p w14:paraId="5B42B309"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0.84</w:t>
            </w:r>
          </w:p>
        </w:tc>
        <w:tc>
          <w:tcPr>
            <w:tcW w:w="907" w:type="dxa"/>
            <w:shd w:val="clear" w:color="auto" w:fill="auto"/>
            <w:noWrap/>
            <w:vAlign w:val="center"/>
            <w:hideMark/>
          </w:tcPr>
          <w:p w14:paraId="28DB4606"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0.61</w:t>
            </w:r>
          </w:p>
        </w:tc>
        <w:tc>
          <w:tcPr>
            <w:tcW w:w="907" w:type="dxa"/>
            <w:shd w:val="clear" w:color="auto" w:fill="auto"/>
            <w:noWrap/>
            <w:vAlign w:val="center"/>
            <w:hideMark/>
          </w:tcPr>
          <w:p w14:paraId="7F1A2147"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0.80</w:t>
            </w:r>
          </w:p>
        </w:tc>
        <w:tc>
          <w:tcPr>
            <w:tcW w:w="907" w:type="dxa"/>
            <w:shd w:val="clear" w:color="auto" w:fill="auto"/>
            <w:noWrap/>
            <w:vAlign w:val="center"/>
            <w:hideMark/>
          </w:tcPr>
          <w:p w14:paraId="287B9D7A"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0.34</w:t>
            </w:r>
          </w:p>
        </w:tc>
        <w:tc>
          <w:tcPr>
            <w:tcW w:w="907" w:type="dxa"/>
            <w:shd w:val="clear" w:color="auto" w:fill="D9D9D9" w:themeFill="background1" w:themeFillShade="D9"/>
            <w:noWrap/>
            <w:vAlign w:val="center"/>
            <w:hideMark/>
          </w:tcPr>
          <w:p w14:paraId="29550E63"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1.00</w:t>
            </w:r>
          </w:p>
        </w:tc>
        <w:tc>
          <w:tcPr>
            <w:tcW w:w="907" w:type="dxa"/>
            <w:shd w:val="clear" w:color="auto" w:fill="auto"/>
            <w:noWrap/>
            <w:vAlign w:val="center"/>
            <w:hideMark/>
          </w:tcPr>
          <w:p w14:paraId="3F15C73A"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0.41</w:t>
            </w:r>
          </w:p>
        </w:tc>
      </w:tr>
      <w:tr w:rsidR="002959BC" w:rsidRPr="006043FE" w14:paraId="60A27D05" w14:textId="77777777" w:rsidTr="00270E6A">
        <w:trPr>
          <w:trHeight w:val="360"/>
          <w:jc w:val="center"/>
        </w:trPr>
        <w:tc>
          <w:tcPr>
            <w:tcW w:w="907" w:type="dxa"/>
            <w:shd w:val="clear" w:color="auto" w:fill="auto"/>
            <w:noWrap/>
            <w:vAlign w:val="center"/>
            <w:hideMark/>
          </w:tcPr>
          <w:p w14:paraId="3AE1CD8A"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PS</w:t>
            </w:r>
          </w:p>
        </w:tc>
        <w:tc>
          <w:tcPr>
            <w:tcW w:w="907" w:type="dxa"/>
            <w:shd w:val="clear" w:color="auto" w:fill="auto"/>
            <w:noWrap/>
            <w:vAlign w:val="center"/>
            <w:hideMark/>
          </w:tcPr>
          <w:p w14:paraId="0396FC7B"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0.62</w:t>
            </w:r>
          </w:p>
        </w:tc>
        <w:tc>
          <w:tcPr>
            <w:tcW w:w="907" w:type="dxa"/>
            <w:shd w:val="clear" w:color="auto" w:fill="auto"/>
            <w:noWrap/>
            <w:vAlign w:val="center"/>
            <w:hideMark/>
          </w:tcPr>
          <w:p w14:paraId="5260A9E3"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0.81</w:t>
            </w:r>
          </w:p>
        </w:tc>
        <w:tc>
          <w:tcPr>
            <w:tcW w:w="907" w:type="dxa"/>
            <w:shd w:val="clear" w:color="auto" w:fill="auto"/>
            <w:noWrap/>
            <w:vAlign w:val="center"/>
            <w:hideMark/>
          </w:tcPr>
          <w:p w14:paraId="616253F0"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0.23</w:t>
            </w:r>
          </w:p>
        </w:tc>
        <w:tc>
          <w:tcPr>
            <w:tcW w:w="907" w:type="dxa"/>
            <w:shd w:val="clear" w:color="auto" w:fill="auto"/>
            <w:noWrap/>
            <w:vAlign w:val="center"/>
            <w:hideMark/>
          </w:tcPr>
          <w:p w14:paraId="143AFC4D"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-0.12</w:t>
            </w:r>
          </w:p>
        </w:tc>
        <w:tc>
          <w:tcPr>
            <w:tcW w:w="907" w:type="dxa"/>
            <w:shd w:val="clear" w:color="auto" w:fill="auto"/>
            <w:noWrap/>
            <w:vAlign w:val="center"/>
            <w:hideMark/>
          </w:tcPr>
          <w:p w14:paraId="35EDCED8"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0.61</w:t>
            </w:r>
          </w:p>
        </w:tc>
        <w:tc>
          <w:tcPr>
            <w:tcW w:w="907" w:type="dxa"/>
            <w:shd w:val="clear" w:color="auto" w:fill="auto"/>
            <w:noWrap/>
            <w:vAlign w:val="center"/>
            <w:hideMark/>
          </w:tcPr>
          <w:p w14:paraId="7F250922"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-0.53</w:t>
            </w:r>
          </w:p>
        </w:tc>
        <w:tc>
          <w:tcPr>
            <w:tcW w:w="907" w:type="dxa"/>
            <w:shd w:val="clear" w:color="auto" w:fill="auto"/>
            <w:noWrap/>
            <w:vAlign w:val="center"/>
            <w:hideMark/>
          </w:tcPr>
          <w:p w14:paraId="4ADC674B"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0.41</w:t>
            </w:r>
          </w:p>
        </w:tc>
        <w:tc>
          <w:tcPr>
            <w:tcW w:w="907" w:type="dxa"/>
            <w:shd w:val="clear" w:color="auto" w:fill="D9D9D9" w:themeFill="background1" w:themeFillShade="D9"/>
            <w:noWrap/>
            <w:vAlign w:val="center"/>
            <w:hideMark/>
          </w:tcPr>
          <w:p w14:paraId="04739186" w14:textId="77777777" w:rsidR="002959BC" w:rsidRPr="006043FE" w:rsidRDefault="002959BC" w:rsidP="00270E6A">
            <w:pPr>
              <w:jc w:val="both"/>
              <w:rPr>
                <w:rFonts w:ascii="Simplified Arabic" w:hAnsi="Simplified Arabic" w:cs="Simplified Arabic"/>
                <w:color w:val="000000"/>
                <w:sz w:val="28"/>
                <w:szCs w:val="28"/>
              </w:rPr>
            </w:pPr>
            <w:r w:rsidRPr="006043FE">
              <w:rPr>
                <w:rFonts w:ascii="Simplified Arabic" w:hAnsi="Simplified Arabic" w:cs="Simplified Arabic"/>
                <w:color w:val="000000"/>
                <w:sz w:val="28"/>
                <w:szCs w:val="28"/>
              </w:rPr>
              <w:t>1.00</w:t>
            </w:r>
          </w:p>
        </w:tc>
      </w:tr>
    </w:tbl>
    <w:p w14:paraId="54A3239F" w14:textId="77777777" w:rsidR="002959BC" w:rsidRPr="006043FE" w:rsidRDefault="002959BC" w:rsidP="002959BC">
      <w:pPr>
        <w:autoSpaceDE w:val="0"/>
        <w:autoSpaceDN w:val="0"/>
        <w:adjustRightInd w:val="0"/>
        <w:jc w:val="both"/>
        <w:rPr>
          <w:rFonts w:ascii="Simplified Arabic" w:hAnsi="Simplified Arabic" w:cs="Simplified Arabic"/>
          <w:rtl/>
        </w:rPr>
      </w:pPr>
      <w:r w:rsidRPr="006043FE">
        <w:rPr>
          <w:rFonts w:ascii="Simplified Arabic" w:hAnsi="Simplified Arabic" w:cs="Simplified Arabic"/>
          <w:rtl/>
        </w:rPr>
        <w:t xml:space="preserve">المصدر: من إعداد الباحث بالاعتماد على بيانات الجدول رقم (4-5) من الملحق الإحصائي وباستخدام برنامج </w:t>
      </w:r>
      <w:r w:rsidRPr="006043FE">
        <w:rPr>
          <w:rFonts w:ascii="Simplified Arabic" w:hAnsi="Simplified Arabic" w:cs="Simplified Arabic"/>
        </w:rPr>
        <w:t>EViews 10</w:t>
      </w:r>
      <w:r w:rsidRPr="006043FE">
        <w:rPr>
          <w:rFonts w:ascii="Simplified Arabic" w:hAnsi="Simplified Arabic" w:cs="Simplified Arabic"/>
          <w:rtl/>
        </w:rPr>
        <w:t>.</w:t>
      </w:r>
    </w:p>
    <w:p w14:paraId="119A7FCE" w14:textId="77777777" w:rsidR="002959BC" w:rsidRDefault="002959BC" w:rsidP="002959BC">
      <w:pPr>
        <w:ind w:firstLine="28"/>
        <w:jc w:val="both"/>
        <w:rPr>
          <w:rFonts w:ascii="Simplified Arabic" w:hAnsi="Simplified Arabic" w:cs="Simplified Arabic"/>
          <w:sz w:val="28"/>
          <w:szCs w:val="28"/>
          <w:rtl/>
          <w:lang w:bidi="ar-EG"/>
        </w:rPr>
      </w:pPr>
    </w:p>
    <w:p w14:paraId="6F25AAAB" w14:textId="77777777" w:rsidR="002959BC" w:rsidRPr="006043FE" w:rsidRDefault="002959BC" w:rsidP="002959BC">
      <w:pPr>
        <w:ind w:firstLine="28"/>
        <w:jc w:val="both"/>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ويتضح من الجدول رقم (3-1) الآتي:</w:t>
      </w:r>
    </w:p>
    <w:p w14:paraId="1311621A" w14:textId="77777777" w:rsidR="002959BC" w:rsidRPr="006043FE" w:rsidRDefault="002959BC" w:rsidP="0041332D">
      <w:pPr>
        <w:pStyle w:val="ListParagraph"/>
        <w:numPr>
          <w:ilvl w:val="0"/>
          <w:numId w:val="37"/>
        </w:numPr>
        <w:spacing w:after="0" w:line="240" w:lineRule="auto"/>
        <w:ind w:left="453" w:hanging="357"/>
        <w:contextualSpacing w:val="0"/>
        <w:jc w:val="both"/>
        <w:rPr>
          <w:rFonts w:ascii="Simplified Arabic" w:hAnsi="Simplified Arabic" w:cs="Simplified Arabic"/>
          <w:sz w:val="28"/>
          <w:szCs w:val="28"/>
          <w:lang w:bidi="ar-EG"/>
        </w:rPr>
      </w:pPr>
      <w:r w:rsidRPr="006043FE">
        <w:rPr>
          <w:rFonts w:ascii="Simplified Arabic" w:hAnsi="Simplified Arabic" w:cs="Simplified Arabic"/>
          <w:sz w:val="28"/>
          <w:szCs w:val="28"/>
          <w:rtl/>
          <w:lang w:bidi="ar-EG"/>
        </w:rPr>
        <w:t xml:space="preserve">وجود علاقة طردية قوية بين المتغير التابع </w:t>
      </w:r>
      <w:r w:rsidRPr="006043FE">
        <w:rPr>
          <w:rFonts w:ascii="Simplified Arabic" w:hAnsi="Simplified Arabic" w:cs="Simplified Arabic"/>
          <w:sz w:val="28"/>
          <w:szCs w:val="28"/>
          <w:lang w:bidi="ar-EG"/>
        </w:rPr>
        <w:t>CPI</w:t>
      </w:r>
      <w:r w:rsidRPr="006043FE">
        <w:rPr>
          <w:rFonts w:ascii="Simplified Arabic" w:hAnsi="Simplified Arabic" w:cs="Simplified Arabic"/>
          <w:sz w:val="28"/>
          <w:szCs w:val="28"/>
          <w:rtl/>
          <w:lang w:bidi="ar-EG"/>
        </w:rPr>
        <w:t xml:space="preserve"> (الرقم القياسي لأسعار المستهلكين) و</w:t>
      </w:r>
      <w:r w:rsidRPr="006043FE">
        <w:rPr>
          <w:rFonts w:ascii="Simplified Arabic" w:hAnsi="Simplified Arabic" w:cs="Simplified Arabic"/>
          <w:sz w:val="28"/>
          <w:szCs w:val="28"/>
          <w:lang w:bidi="ar-EG"/>
        </w:rPr>
        <w:t>DB</w:t>
      </w:r>
      <w:r w:rsidRPr="006043FE">
        <w:rPr>
          <w:rFonts w:ascii="Simplified Arabic" w:hAnsi="Simplified Arabic" w:cs="Simplified Arabic"/>
          <w:sz w:val="28"/>
          <w:szCs w:val="28"/>
          <w:rtl/>
          <w:lang w:bidi="ar-EG"/>
        </w:rPr>
        <w:t xml:space="preserve"> (التمويل المحلي المصرفي) و</w:t>
      </w:r>
      <w:r w:rsidRPr="006043FE">
        <w:rPr>
          <w:rFonts w:ascii="Simplified Arabic" w:hAnsi="Simplified Arabic" w:cs="Simplified Arabic"/>
          <w:sz w:val="28"/>
          <w:szCs w:val="28"/>
          <w:lang w:bidi="ar-EG"/>
        </w:rPr>
        <w:t>DNB</w:t>
      </w:r>
      <w:r w:rsidRPr="006043FE">
        <w:rPr>
          <w:rFonts w:ascii="Simplified Arabic" w:hAnsi="Simplified Arabic" w:cs="Simplified Arabic"/>
          <w:sz w:val="28"/>
          <w:szCs w:val="28"/>
          <w:rtl/>
          <w:lang w:bidi="ar-EG"/>
        </w:rPr>
        <w:t xml:space="preserve"> (التمويل المحلي غير المصرفي) و</w:t>
      </w:r>
      <w:r w:rsidRPr="006043FE">
        <w:rPr>
          <w:rFonts w:ascii="Simplified Arabic" w:hAnsi="Simplified Arabic" w:cs="Simplified Arabic"/>
          <w:sz w:val="28"/>
          <w:szCs w:val="28"/>
          <w:lang w:bidi="ar-EG"/>
        </w:rPr>
        <w:t>XP</w:t>
      </w:r>
      <w:r w:rsidRPr="006043FE">
        <w:rPr>
          <w:rFonts w:ascii="Simplified Arabic" w:hAnsi="Simplified Arabic" w:cs="Simplified Arabic"/>
          <w:sz w:val="28"/>
          <w:szCs w:val="28"/>
          <w:rtl/>
          <w:lang w:bidi="ar-EG"/>
        </w:rPr>
        <w:t xml:space="preserve"> (أسعار الواردات)  و</w:t>
      </w:r>
      <w:r w:rsidRPr="006043FE">
        <w:rPr>
          <w:rFonts w:ascii="Simplified Arabic" w:hAnsi="Simplified Arabic" w:cs="Simplified Arabic"/>
          <w:sz w:val="28"/>
          <w:szCs w:val="28"/>
          <w:lang w:bidi="ar-EG"/>
        </w:rPr>
        <w:t>EX</w:t>
      </w:r>
      <w:r w:rsidRPr="006043FE">
        <w:rPr>
          <w:rFonts w:ascii="Simplified Arabic" w:hAnsi="Simplified Arabic" w:cs="Simplified Arabic"/>
          <w:sz w:val="28"/>
          <w:szCs w:val="28"/>
          <w:rtl/>
          <w:lang w:bidi="ar-EG"/>
        </w:rPr>
        <w:t xml:space="preserve"> (سعر الصرف).</w:t>
      </w:r>
    </w:p>
    <w:p w14:paraId="1CED3C37" w14:textId="77777777" w:rsidR="002959BC" w:rsidRPr="006043FE" w:rsidRDefault="002959BC" w:rsidP="0041332D">
      <w:pPr>
        <w:pStyle w:val="ListParagraph"/>
        <w:numPr>
          <w:ilvl w:val="0"/>
          <w:numId w:val="37"/>
        </w:numPr>
        <w:spacing w:after="0" w:line="240" w:lineRule="auto"/>
        <w:ind w:left="453" w:hanging="357"/>
        <w:contextualSpacing w:val="0"/>
        <w:jc w:val="both"/>
        <w:rPr>
          <w:rFonts w:ascii="Simplified Arabic" w:hAnsi="Simplified Arabic" w:cs="Simplified Arabic"/>
          <w:sz w:val="28"/>
          <w:szCs w:val="28"/>
          <w:lang w:bidi="ar-EG"/>
        </w:rPr>
      </w:pPr>
      <w:r w:rsidRPr="006043FE">
        <w:rPr>
          <w:rFonts w:ascii="Simplified Arabic" w:hAnsi="Simplified Arabic" w:cs="Simplified Arabic"/>
          <w:sz w:val="28"/>
          <w:szCs w:val="28"/>
          <w:rtl/>
          <w:lang w:bidi="ar-EG"/>
        </w:rPr>
        <w:t xml:space="preserve">وجود علاقة طردية متوسطة بين المتغير التابع </w:t>
      </w:r>
      <w:r w:rsidRPr="006043FE">
        <w:rPr>
          <w:rFonts w:ascii="Simplified Arabic" w:hAnsi="Simplified Arabic" w:cs="Simplified Arabic"/>
          <w:sz w:val="28"/>
          <w:szCs w:val="28"/>
          <w:lang w:bidi="ar-EG"/>
        </w:rPr>
        <w:t>CPI</w:t>
      </w:r>
      <w:r w:rsidRPr="006043FE">
        <w:rPr>
          <w:rFonts w:ascii="Simplified Arabic" w:hAnsi="Simplified Arabic" w:cs="Simplified Arabic"/>
          <w:sz w:val="28"/>
          <w:szCs w:val="28"/>
          <w:rtl/>
          <w:lang w:bidi="ar-EG"/>
        </w:rPr>
        <w:t xml:space="preserve"> و</w:t>
      </w:r>
      <w:r w:rsidRPr="006043FE">
        <w:rPr>
          <w:rFonts w:ascii="Simplified Arabic" w:hAnsi="Simplified Arabic" w:cs="Simplified Arabic"/>
          <w:sz w:val="28"/>
          <w:szCs w:val="28"/>
          <w:lang w:bidi="ar-EG"/>
        </w:rPr>
        <w:t>XF</w:t>
      </w:r>
      <w:r w:rsidRPr="006043FE">
        <w:rPr>
          <w:rFonts w:ascii="Simplified Arabic" w:hAnsi="Simplified Arabic" w:cs="Simplified Arabic"/>
          <w:sz w:val="28"/>
          <w:szCs w:val="28"/>
          <w:rtl/>
          <w:lang w:bidi="ar-EG"/>
        </w:rPr>
        <w:t xml:space="preserve"> (التمويل الخارجي) و</w:t>
      </w:r>
      <w:r w:rsidRPr="006043FE">
        <w:rPr>
          <w:rFonts w:ascii="Simplified Arabic" w:hAnsi="Simplified Arabic" w:cs="Simplified Arabic"/>
          <w:sz w:val="28"/>
          <w:szCs w:val="28"/>
          <w:lang w:bidi="ar-EG"/>
        </w:rPr>
        <w:t>PS</w:t>
      </w:r>
      <w:r w:rsidRPr="006043FE">
        <w:rPr>
          <w:rFonts w:ascii="Simplified Arabic" w:hAnsi="Simplified Arabic" w:cs="Simplified Arabic"/>
          <w:sz w:val="28"/>
          <w:szCs w:val="28"/>
          <w:rtl/>
          <w:lang w:bidi="ar-EG"/>
        </w:rPr>
        <w:t xml:space="preserve"> (المتغير الوهمي الدال على الاستقرار السياسي).</w:t>
      </w:r>
    </w:p>
    <w:p w14:paraId="542BC95E" w14:textId="77777777" w:rsidR="002959BC" w:rsidRPr="006043FE" w:rsidRDefault="002959BC" w:rsidP="0041332D">
      <w:pPr>
        <w:pStyle w:val="ListParagraph"/>
        <w:numPr>
          <w:ilvl w:val="0"/>
          <w:numId w:val="37"/>
        </w:numPr>
        <w:spacing w:after="0" w:line="240" w:lineRule="auto"/>
        <w:ind w:left="453" w:hanging="357"/>
        <w:contextualSpacing w:val="0"/>
        <w:jc w:val="both"/>
        <w:rPr>
          <w:rFonts w:ascii="Simplified Arabic" w:hAnsi="Simplified Arabic" w:cs="Simplified Arabic"/>
          <w:sz w:val="28"/>
          <w:szCs w:val="28"/>
          <w:lang w:bidi="ar-EG"/>
        </w:rPr>
      </w:pPr>
      <w:r w:rsidRPr="006043FE">
        <w:rPr>
          <w:rFonts w:ascii="Simplified Arabic" w:hAnsi="Simplified Arabic" w:cs="Simplified Arabic"/>
          <w:sz w:val="28"/>
          <w:szCs w:val="28"/>
          <w:rtl/>
          <w:lang w:bidi="ar-EG"/>
        </w:rPr>
        <w:t xml:space="preserve">وجود علاقة عكسية ضعيفة بين المتغير التابع </w:t>
      </w:r>
      <w:r w:rsidRPr="006043FE">
        <w:rPr>
          <w:rFonts w:ascii="Simplified Arabic" w:hAnsi="Simplified Arabic" w:cs="Simplified Arabic"/>
          <w:sz w:val="28"/>
          <w:szCs w:val="28"/>
          <w:lang w:bidi="ar-EG"/>
        </w:rPr>
        <w:t>CPI</w:t>
      </w:r>
      <w:r w:rsidRPr="006043FE">
        <w:rPr>
          <w:rFonts w:ascii="Simplified Arabic" w:hAnsi="Simplified Arabic" w:cs="Simplified Arabic"/>
          <w:sz w:val="28"/>
          <w:szCs w:val="28"/>
          <w:rtl/>
          <w:lang w:bidi="ar-EG"/>
        </w:rPr>
        <w:t xml:space="preserve"> و</w:t>
      </w:r>
      <w:r w:rsidRPr="006043FE">
        <w:rPr>
          <w:rFonts w:ascii="Simplified Arabic" w:hAnsi="Simplified Arabic" w:cs="Simplified Arabic"/>
          <w:sz w:val="28"/>
          <w:szCs w:val="28"/>
          <w:lang w:bidi="ar-EG"/>
        </w:rPr>
        <w:t>M2</w:t>
      </w:r>
      <w:r w:rsidRPr="006043FE">
        <w:rPr>
          <w:rFonts w:ascii="Simplified Arabic" w:hAnsi="Simplified Arabic" w:cs="Simplified Arabic"/>
          <w:sz w:val="28"/>
          <w:szCs w:val="28"/>
          <w:rtl/>
          <w:lang w:bidi="ar-EG"/>
        </w:rPr>
        <w:t xml:space="preserve"> (نسبة عرض النقود إلى الناتج المحلي الإجمالي).</w:t>
      </w:r>
    </w:p>
    <w:p w14:paraId="2ED90E9D" w14:textId="77777777" w:rsidR="002959BC" w:rsidRDefault="002959BC" w:rsidP="002959BC">
      <w:pPr>
        <w:ind w:firstLine="454"/>
        <w:jc w:val="both"/>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lastRenderedPageBreak/>
        <w:t>وعلى الرغم من أن الارتباط لا يدلل على وجود علاقة سببية بين المتغيرات فهو يوضح مدى اقتران التغير في أحد المتغيرات بالتغير في متغير آخر.</w:t>
      </w:r>
    </w:p>
    <w:p w14:paraId="5812735A" w14:textId="77777777" w:rsidR="002959BC" w:rsidRDefault="002959BC" w:rsidP="002959BC">
      <w:pPr>
        <w:jc w:val="both"/>
        <w:rPr>
          <w:rFonts w:ascii="Simplified Arabic" w:hAnsi="Simplified Arabic" w:cs="Simplified Arabic"/>
          <w:b/>
          <w:bCs/>
          <w:sz w:val="30"/>
          <w:szCs w:val="30"/>
          <w:u w:val="single"/>
          <w:rtl/>
          <w:lang w:bidi="ar-EG"/>
        </w:rPr>
      </w:pPr>
    </w:p>
    <w:p w14:paraId="56E02720" w14:textId="77777777" w:rsidR="002959BC" w:rsidRDefault="002959BC" w:rsidP="002959BC">
      <w:pPr>
        <w:jc w:val="both"/>
        <w:rPr>
          <w:rFonts w:ascii="Simplified Arabic" w:hAnsi="Simplified Arabic" w:cs="Simplified Arabic"/>
          <w:b/>
          <w:bCs/>
          <w:sz w:val="30"/>
          <w:szCs w:val="30"/>
          <w:u w:val="single"/>
          <w:rtl/>
          <w:lang w:bidi="ar-EG"/>
        </w:rPr>
      </w:pPr>
    </w:p>
    <w:p w14:paraId="7049D1E3" w14:textId="77777777" w:rsidR="002959BC" w:rsidRDefault="002959BC" w:rsidP="002959BC">
      <w:pPr>
        <w:jc w:val="both"/>
        <w:rPr>
          <w:rFonts w:ascii="Simplified Arabic" w:hAnsi="Simplified Arabic" w:cs="Simplified Arabic"/>
          <w:b/>
          <w:bCs/>
          <w:sz w:val="30"/>
          <w:szCs w:val="30"/>
          <w:u w:val="single"/>
          <w:rtl/>
          <w:lang w:bidi="ar-EG"/>
        </w:rPr>
      </w:pPr>
    </w:p>
    <w:p w14:paraId="5B05D472" w14:textId="77777777" w:rsidR="002959BC" w:rsidRPr="00090DA3" w:rsidRDefault="002959BC" w:rsidP="002959BC">
      <w:pPr>
        <w:jc w:val="both"/>
        <w:rPr>
          <w:rFonts w:ascii="Simplified Arabic" w:hAnsi="Simplified Arabic" w:cs="Simplified Arabic"/>
          <w:sz w:val="30"/>
          <w:szCs w:val="30"/>
          <w:rtl/>
          <w:lang w:bidi="ar-EG"/>
        </w:rPr>
      </w:pPr>
      <w:r w:rsidRPr="00090DA3">
        <w:rPr>
          <w:rFonts w:ascii="Simplified Arabic" w:hAnsi="Simplified Arabic" w:cs="Simplified Arabic"/>
          <w:b/>
          <w:bCs/>
          <w:sz w:val="30"/>
          <w:szCs w:val="30"/>
          <w:u w:val="single"/>
          <w:rtl/>
          <w:lang w:bidi="ar-EG"/>
        </w:rPr>
        <w:t xml:space="preserve">ثانياً: تقدير معلمات النموذج </w:t>
      </w:r>
      <w:r w:rsidRPr="00090DA3">
        <w:rPr>
          <w:rFonts w:ascii="Simplified Arabic" w:hAnsi="Simplified Arabic" w:cs="Simplified Arabic"/>
          <w:b/>
          <w:bCs/>
          <w:sz w:val="30"/>
          <w:szCs w:val="30"/>
          <w:u w:val="single"/>
          <w:lang w:bidi="ar-EG"/>
        </w:rPr>
        <w:t>Estimation of the Model</w:t>
      </w:r>
      <w:r w:rsidRPr="00090DA3">
        <w:rPr>
          <w:rFonts w:ascii="Simplified Arabic" w:hAnsi="Simplified Arabic" w:cs="Simplified Arabic"/>
          <w:b/>
          <w:bCs/>
          <w:sz w:val="30"/>
          <w:szCs w:val="30"/>
          <w:u w:val="single"/>
          <w:rtl/>
          <w:lang w:bidi="ar-EG"/>
        </w:rPr>
        <w:t xml:space="preserve">  </w:t>
      </w:r>
    </w:p>
    <w:p w14:paraId="09B3F14F" w14:textId="77777777" w:rsidR="002959BC" w:rsidRPr="006043FE" w:rsidRDefault="002959BC" w:rsidP="002959BC">
      <w:pPr>
        <w:jc w:val="both"/>
        <w:rPr>
          <w:rFonts w:ascii="Simplified Arabic" w:hAnsi="Simplified Arabic" w:cs="Simplified Arabic"/>
          <w:b/>
          <w:bCs/>
          <w:sz w:val="28"/>
          <w:szCs w:val="28"/>
          <w:u w:val="single"/>
          <w:rtl/>
          <w:lang w:bidi="ar-EG"/>
        </w:rPr>
      </w:pPr>
    </w:p>
    <w:p w14:paraId="573D19A6" w14:textId="77777777" w:rsidR="002959BC" w:rsidRPr="00090DA3" w:rsidRDefault="002959BC" w:rsidP="0041332D">
      <w:pPr>
        <w:pStyle w:val="ListParagraph"/>
        <w:numPr>
          <w:ilvl w:val="0"/>
          <w:numId w:val="38"/>
        </w:numPr>
        <w:spacing w:after="0" w:line="240" w:lineRule="auto"/>
        <w:ind w:left="453"/>
        <w:contextualSpacing w:val="0"/>
        <w:jc w:val="both"/>
        <w:rPr>
          <w:rFonts w:ascii="Simplified Arabic" w:hAnsi="Simplified Arabic" w:cs="Simplified Arabic"/>
          <w:b/>
          <w:bCs/>
          <w:sz w:val="28"/>
          <w:szCs w:val="28"/>
          <w:rtl/>
        </w:rPr>
      </w:pPr>
      <w:r w:rsidRPr="00090DA3">
        <w:rPr>
          <w:rFonts w:ascii="Simplified Arabic" w:hAnsi="Simplified Arabic" w:cs="Simplified Arabic"/>
          <w:b/>
          <w:bCs/>
          <w:sz w:val="28"/>
          <w:szCs w:val="28"/>
          <w:rtl/>
        </w:rPr>
        <w:t>اختبار جذر الوحدة</w:t>
      </w:r>
      <w:r w:rsidRPr="00090DA3">
        <w:rPr>
          <w:rFonts w:ascii="Simplified Arabic" w:hAnsi="Simplified Arabic" w:cs="Simplified Arabic"/>
          <w:b/>
          <w:bCs/>
          <w:sz w:val="28"/>
          <w:szCs w:val="28"/>
        </w:rPr>
        <w:t xml:space="preserve">Unit Root Test </w:t>
      </w:r>
      <w:r w:rsidRPr="00090DA3">
        <w:rPr>
          <w:rFonts w:ascii="Simplified Arabic" w:hAnsi="Simplified Arabic" w:cs="Simplified Arabic"/>
          <w:b/>
          <w:bCs/>
          <w:sz w:val="28"/>
          <w:szCs w:val="28"/>
          <w:rtl/>
        </w:rPr>
        <w:t>:</w:t>
      </w:r>
    </w:p>
    <w:p w14:paraId="5E0DC6C0" w14:textId="77777777" w:rsidR="002959BC" w:rsidRPr="006043FE" w:rsidRDefault="002959BC" w:rsidP="002959BC">
      <w:pPr>
        <w:ind w:firstLine="454"/>
        <w:jc w:val="both"/>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 xml:space="preserve">تتصف المتغيرات الاقتصادية بشكل عام بأنها غير مستقرة (غير ساكنة) </w:t>
      </w:r>
      <w:r w:rsidRPr="006043FE">
        <w:rPr>
          <w:rFonts w:ascii="Simplified Arabic" w:hAnsi="Simplified Arabic" w:cs="Simplified Arabic"/>
          <w:sz w:val="28"/>
          <w:szCs w:val="28"/>
          <w:lang w:bidi="ar-EG"/>
        </w:rPr>
        <w:t>Non-Stationary</w:t>
      </w:r>
      <w:r w:rsidRPr="006043FE">
        <w:rPr>
          <w:rFonts w:ascii="Simplified Arabic" w:hAnsi="Simplified Arabic" w:cs="Simplified Arabic"/>
          <w:sz w:val="28"/>
          <w:szCs w:val="28"/>
          <w:rtl/>
          <w:lang w:bidi="ar-EG"/>
        </w:rPr>
        <w:t xml:space="preserve"> مما يجعل استخدام طريقة المربعات الصغرى في التقدير غير ملائم حيث أن التقدير الناتج عن استخدام متغيرات غير مستقرة يقود إلى انحدار زائف.</w:t>
      </w:r>
    </w:p>
    <w:p w14:paraId="518E9E99" w14:textId="77777777" w:rsidR="002959BC" w:rsidRPr="006043FE" w:rsidRDefault="002959BC" w:rsidP="002959BC">
      <w:pPr>
        <w:ind w:firstLine="454"/>
        <w:jc w:val="both"/>
        <w:rPr>
          <w:rFonts w:ascii="Simplified Arabic" w:hAnsi="Simplified Arabic" w:cs="Simplified Arabic"/>
          <w:sz w:val="28"/>
          <w:szCs w:val="28"/>
          <w:rtl/>
          <w:lang w:bidi="ar-EG"/>
        </w:rPr>
      </w:pPr>
    </w:p>
    <w:p w14:paraId="67672E2B" w14:textId="77777777" w:rsidR="002959BC" w:rsidRPr="006043FE" w:rsidRDefault="002959BC" w:rsidP="002959BC">
      <w:pPr>
        <w:ind w:firstLine="454"/>
        <w:jc w:val="both"/>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ويرمز للسلسلة الزمنية المستقرة لمتغير ما بالرمز (</w:t>
      </w:r>
      <w:r w:rsidRPr="006043FE">
        <w:rPr>
          <w:rFonts w:ascii="Simplified Arabic" w:hAnsi="Simplified Arabic" w:cs="Simplified Arabic"/>
          <w:sz w:val="28"/>
          <w:szCs w:val="28"/>
          <w:lang w:bidi="ar-EG"/>
        </w:rPr>
        <w:t>d</w:t>
      </w:r>
      <w:r w:rsidRPr="006043FE">
        <w:rPr>
          <w:rFonts w:ascii="Simplified Arabic" w:hAnsi="Simplified Arabic" w:cs="Simplified Arabic"/>
          <w:sz w:val="28"/>
          <w:szCs w:val="28"/>
          <w:rtl/>
          <w:lang w:bidi="ar-EG"/>
        </w:rPr>
        <w:t>)</w:t>
      </w:r>
      <w:r w:rsidRPr="006043FE">
        <w:rPr>
          <w:rFonts w:ascii="Simplified Arabic" w:hAnsi="Simplified Arabic" w:cs="Simplified Arabic"/>
          <w:sz w:val="28"/>
          <w:szCs w:val="28"/>
          <w:lang w:bidi="ar-EG"/>
        </w:rPr>
        <w:t>I</w:t>
      </w:r>
      <w:r w:rsidRPr="006043FE">
        <w:rPr>
          <w:rFonts w:ascii="Simplified Arabic" w:hAnsi="Simplified Arabic" w:cs="Simplified Arabic"/>
          <w:sz w:val="28"/>
          <w:szCs w:val="28"/>
          <w:rtl/>
          <w:lang w:bidi="ar-EG"/>
        </w:rPr>
        <w:t xml:space="preserve"> حيث يدل الرمز (</w:t>
      </w:r>
      <w:r w:rsidRPr="006043FE">
        <w:rPr>
          <w:rFonts w:ascii="Simplified Arabic" w:hAnsi="Simplified Arabic" w:cs="Simplified Arabic"/>
          <w:sz w:val="28"/>
          <w:szCs w:val="28"/>
          <w:lang w:bidi="ar-EG"/>
        </w:rPr>
        <w:t>d</w:t>
      </w:r>
      <w:r w:rsidRPr="006043FE">
        <w:rPr>
          <w:rFonts w:ascii="Simplified Arabic" w:hAnsi="Simplified Arabic" w:cs="Simplified Arabic"/>
          <w:sz w:val="28"/>
          <w:szCs w:val="28"/>
          <w:rtl/>
          <w:lang w:bidi="ar-EG"/>
        </w:rPr>
        <w:t xml:space="preserve">) على عدد الفروق التي تستقر عندها السلسلة الزمنية، فتكون السلسلة الزمنية </w:t>
      </w:r>
      <w:r w:rsidRPr="006043FE">
        <w:rPr>
          <w:rFonts w:ascii="Simplified Arabic" w:hAnsi="Simplified Arabic" w:cs="Simplified Arabic"/>
          <w:sz w:val="28"/>
          <w:szCs w:val="28"/>
          <w:lang w:bidi="ar-EG"/>
        </w:rPr>
        <w:t>I(0)</w:t>
      </w:r>
      <w:r w:rsidRPr="006043FE">
        <w:rPr>
          <w:rFonts w:ascii="Simplified Arabic" w:hAnsi="Simplified Arabic" w:cs="Simplified Arabic"/>
          <w:sz w:val="28"/>
          <w:szCs w:val="28"/>
          <w:rtl/>
          <w:lang w:bidi="ar-EG"/>
        </w:rPr>
        <w:t xml:space="preserve"> مستقرة، والسلسلة الزمنية </w:t>
      </w:r>
      <w:r w:rsidRPr="006043FE">
        <w:rPr>
          <w:rFonts w:ascii="Simplified Arabic" w:hAnsi="Simplified Arabic" w:cs="Simplified Arabic"/>
          <w:sz w:val="28"/>
          <w:szCs w:val="28"/>
          <w:lang w:bidi="ar-EG"/>
        </w:rPr>
        <w:t>I(1)</w:t>
      </w:r>
      <w:r w:rsidRPr="006043FE">
        <w:rPr>
          <w:rFonts w:ascii="Simplified Arabic" w:hAnsi="Simplified Arabic" w:cs="Simplified Arabic"/>
          <w:sz w:val="28"/>
          <w:szCs w:val="28"/>
          <w:rtl/>
          <w:lang w:bidi="ar-EG"/>
        </w:rPr>
        <w:t xml:space="preserve"> مستقرة عند الفرق الأول، وهكذا.</w:t>
      </w:r>
    </w:p>
    <w:p w14:paraId="7C63189C" w14:textId="77777777" w:rsidR="002959BC" w:rsidRPr="006043FE" w:rsidRDefault="002959BC" w:rsidP="002959BC">
      <w:pPr>
        <w:ind w:firstLine="454"/>
        <w:jc w:val="both"/>
        <w:rPr>
          <w:rFonts w:ascii="Simplified Arabic" w:hAnsi="Simplified Arabic" w:cs="Simplified Arabic"/>
          <w:sz w:val="28"/>
          <w:szCs w:val="28"/>
          <w:rtl/>
          <w:lang w:bidi="ar-EG"/>
        </w:rPr>
      </w:pPr>
    </w:p>
    <w:p w14:paraId="00B41595" w14:textId="77777777" w:rsidR="002959BC" w:rsidRPr="006043FE" w:rsidRDefault="002959BC" w:rsidP="002959BC">
      <w:pPr>
        <w:ind w:firstLine="454"/>
        <w:jc w:val="both"/>
        <w:rPr>
          <w:rFonts w:ascii="Simplified Arabic" w:hAnsi="Simplified Arabic" w:cs="Simplified Arabic"/>
          <w:sz w:val="28"/>
          <w:szCs w:val="28"/>
          <w:rtl/>
        </w:rPr>
      </w:pPr>
      <w:r w:rsidRPr="006043FE">
        <w:rPr>
          <w:rFonts w:ascii="Simplified Arabic" w:hAnsi="Simplified Arabic" w:cs="Simplified Arabic"/>
          <w:sz w:val="28"/>
          <w:szCs w:val="28"/>
          <w:rtl/>
          <w:lang w:bidi="ar-EG"/>
        </w:rPr>
        <w:t xml:space="preserve">وهناك عدة اختبارات لجذر الوحد للتحقق من سكون السلاسل الزمنية ولعل أهمها اختبار ديكي فولر الموسع </w:t>
      </w:r>
      <w:r w:rsidRPr="006043FE">
        <w:rPr>
          <w:rFonts w:ascii="Simplified Arabic" w:hAnsi="Simplified Arabic" w:cs="Simplified Arabic"/>
          <w:sz w:val="28"/>
          <w:szCs w:val="28"/>
          <w:lang w:bidi="ar-EG"/>
        </w:rPr>
        <w:t>Augmented Dickey-Fuller test (ADF)</w:t>
      </w:r>
      <w:r w:rsidRPr="006043FE">
        <w:rPr>
          <w:rFonts w:ascii="Simplified Arabic" w:hAnsi="Simplified Arabic" w:cs="Simplified Arabic"/>
          <w:sz w:val="28"/>
          <w:szCs w:val="28"/>
          <w:rtl/>
          <w:lang w:bidi="ar-EG"/>
        </w:rPr>
        <w:t xml:space="preserve">، واختبار فيليبس – بيرون </w:t>
      </w:r>
      <w:r w:rsidRPr="006043FE">
        <w:rPr>
          <w:rFonts w:ascii="Simplified Arabic" w:hAnsi="Simplified Arabic" w:cs="Simplified Arabic"/>
          <w:sz w:val="28"/>
          <w:szCs w:val="28"/>
          <w:lang w:bidi="ar-EG"/>
        </w:rPr>
        <w:t>Philips-Perron test (PP)</w:t>
      </w:r>
      <w:r w:rsidRPr="006043FE">
        <w:rPr>
          <w:rFonts w:ascii="Simplified Arabic" w:hAnsi="Simplified Arabic" w:cs="Simplified Arabic"/>
          <w:sz w:val="28"/>
          <w:szCs w:val="28"/>
          <w:rtl/>
          <w:lang w:bidi="ar-EG"/>
        </w:rPr>
        <w:t xml:space="preserve"> ويتمثل الفرض العدمي في هذين الاختبارين أن السلسلة الزمنية بها جذر للوحدة، بمعنى أن السلسلة غير ساكنة بينما يتمثل الفرض البديل في أن السلسلة تتسم بالسكون</w:t>
      </w:r>
      <w:r w:rsidRPr="006043FE">
        <w:rPr>
          <w:rFonts w:ascii="Simplified Arabic" w:hAnsi="Simplified Arabic" w:cs="Simplified Arabic"/>
          <w:sz w:val="28"/>
          <w:szCs w:val="28"/>
          <w:rtl/>
        </w:rPr>
        <w:t xml:space="preserve">. </w:t>
      </w:r>
    </w:p>
    <w:p w14:paraId="17ACA0D1" w14:textId="77777777" w:rsidR="002959BC" w:rsidRPr="006043FE" w:rsidRDefault="002959BC" w:rsidP="002959BC">
      <w:pPr>
        <w:ind w:firstLine="454"/>
        <w:jc w:val="both"/>
        <w:rPr>
          <w:rFonts w:ascii="Simplified Arabic" w:hAnsi="Simplified Arabic" w:cs="Simplified Arabic"/>
          <w:sz w:val="28"/>
          <w:szCs w:val="28"/>
          <w:rtl/>
        </w:rPr>
      </w:pPr>
    </w:p>
    <w:p w14:paraId="54A2216E" w14:textId="77777777" w:rsidR="002959BC" w:rsidRPr="006043FE" w:rsidRDefault="002959BC" w:rsidP="002959BC">
      <w:pPr>
        <w:ind w:firstLine="454"/>
        <w:jc w:val="both"/>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 xml:space="preserve">ورغم الاستعمال الواسع لاختبار ديكي فولر الموسع </w:t>
      </w:r>
      <w:r w:rsidRPr="006043FE">
        <w:rPr>
          <w:rFonts w:ascii="Simplified Arabic" w:hAnsi="Simplified Arabic" w:cs="Simplified Arabic"/>
          <w:sz w:val="28"/>
          <w:szCs w:val="28"/>
          <w:lang w:bidi="ar-EG"/>
        </w:rPr>
        <w:t>(ADF)</w:t>
      </w:r>
      <w:r w:rsidRPr="006043FE">
        <w:rPr>
          <w:rFonts w:ascii="Simplified Arabic" w:hAnsi="Simplified Arabic" w:cs="Simplified Arabic"/>
          <w:sz w:val="28"/>
          <w:szCs w:val="28"/>
          <w:rtl/>
          <w:lang w:bidi="ar-EG"/>
        </w:rPr>
        <w:t xml:space="preserve"> إلا أنه يعاني مشكلة عدم </w:t>
      </w:r>
      <w:r w:rsidRPr="006043FE">
        <w:rPr>
          <w:rFonts w:ascii="Simplified Arabic" w:hAnsi="Simplified Arabic" w:cs="Simplified Arabic"/>
          <w:sz w:val="28"/>
          <w:szCs w:val="28"/>
          <w:rtl/>
          <w:lang w:bidi="ar-EG"/>
        </w:rPr>
        <w:br/>
        <w:t xml:space="preserve">أخذه بعين الاعتبار وجود مشكلة اختلاف التباين واختبار التوزيع الطبيعي الموجود في </w:t>
      </w:r>
      <w:r w:rsidRPr="006043FE">
        <w:rPr>
          <w:rFonts w:ascii="Simplified Arabic" w:hAnsi="Simplified Arabic" w:cs="Simplified Arabic"/>
          <w:sz w:val="28"/>
          <w:szCs w:val="28"/>
          <w:rtl/>
          <w:lang w:bidi="ar-EG"/>
        </w:rPr>
        <w:br/>
        <w:t xml:space="preserve">سلسلة زمنية ما، ولغرض التأكد من نتيجة الاختبار فسوف يتم استخدام اختبار إضافي وهو اختبار فيليبس – بيرون </w:t>
      </w:r>
      <w:r w:rsidRPr="006043FE">
        <w:rPr>
          <w:rFonts w:ascii="Simplified Arabic" w:hAnsi="Simplified Arabic" w:cs="Simplified Arabic"/>
          <w:sz w:val="28"/>
          <w:szCs w:val="28"/>
          <w:lang w:bidi="ar-EG"/>
        </w:rPr>
        <w:t>PP)</w:t>
      </w:r>
      <w:r w:rsidRPr="006043FE">
        <w:rPr>
          <w:rFonts w:ascii="Simplified Arabic" w:hAnsi="Simplified Arabic" w:cs="Simplified Arabic"/>
          <w:sz w:val="28"/>
          <w:szCs w:val="28"/>
          <w:rtl/>
          <w:lang w:bidi="ar-EG"/>
        </w:rPr>
        <w:t xml:space="preserve">)، مع العلم بأن اختبار فيليبس – بيرون </w:t>
      </w:r>
      <w:r w:rsidRPr="006043FE">
        <w:rPr>
          <w:rFonts w:ascii="Simplified Arabic" w:hAnsi="Simplified Arabic" w:cs="Simplified Arabic"/>
          <w:sz w:val="28"/>
          <w:szCs w:val="28"/>
          <w:lang w:bidi="ar-EG"/>
        </w:rPr>
        <w:t>Philips-Perron test (PP)</w:t>
      </w:r>
      <w:r w:rsidRPr="006043FE">
        <w:rPr>
          <w:rFonts w:ascii="Simplified Arabic" w:hAnsi="Simplified Arabic" w:cs="Simplified Arabic"/>
          <w:sz w:val="28"/>
          <w:szCs w:val="28"/>
          <w:rtl/>
          <w:lang w:bidi="ar-EG"/>
        </w:rPr>
        <w:t xml:space="preserve"> </w:t>
      </w:r>
      <w:r w:rsidRPr="006043FE">
        <w:rPr>
          <w:rFonts w:ascii="Simplified Arabic" w:hAnsi="Simplified Arabic" w:cs="Simplified Arabic"/>
          <w:sz w:val="28"/>
          <w:szCs w:val="28"/>
          <w:rtl/>
          <w:lang w:bidi="ar-EG"/>
        </w:rPr>
        <w:br/>
        <w:t>له قدرة أفضل على اختبار استقرارية السلاسل الزمنية وخاصة عندما يكون حجم العينة صغيراً.</w:t>
      </w:r>
      <w:r w:rsidRPr="006043FE">
        <w:rPr>
          <w:rFonts w:ascii="Simplified Arabic" w:hAnsi="Simplified Arabic" w:cs="Simplified Arabic"/>
          <w:sz w:val="28"/>
          <w:szCs w:val="28"/>
          <w:vertAlign w:val="superscript"/>
          <w:rtl/>
          <w:lang w:bidi="ar-EG"/>
        </w:rPr>
        <w:t>(</w:t>
      </w:r>
      <w:r w:rsidRPr="006043FE">
        <w:rPr>
          <w:rStyle w:val="FootnoteReference"/>
          <w:rFonts w:ascii="Simplified Arabic" w:eastAsiaTheme="minorEastAsia" w:hAnsi="Simplified Arabic" w:cs="Simplified Arabic"/>
          <w:sz w:val="28"/>
          <w:szCs w:val="28"/>
          <w:rtl/>
          <w:lang w:bidi="ar-EG"/>
        </w:rPr>
        <w:footnoteReference w:id="115"/>
      </w:r>
      <w:r w:rsidRPr="006043FE">
        <w:rPr>
          <w:rFonts w:ascii="Simplified Arabic" w:hAnsi="Simplified Arabic" w:cs="Simplified Arabic"/>
          <w:sz w:val="28"/>
          <w:szCs w:val="28"/>
          <w:vertAlign w:val="superscript"/>
          <w:rtl/>
          <w:lang w:bidi="ar-EG"/>
        </w:rPr>
        <w:t>)</w:t>
      </w:r>
    </w:p>
    <w:p w14:paraId="6AE96471" w14:textId="77777777" w:rsidR="002959BC" w:rsidRPr="006043FE" w:rsidRDefault="002959BC" w:rsidP="002959BC">
      <w:pPr>
        <w:ind w:firstLine="454"/>
        <w:jc w:val="both"/>
        <w:rPr>
          <w:rFonts w:ascii="Simplified Arabic" w:hAnsi="Simplified Arabic" w:cs="Simplified Arabic"/>
          <w:sz w:val="28"/>
          <w:szCs w:val="28"/>
          <w:rtl/>
        </w:rPr>
      </w:pPr>
    </w:p>
    <w:p w14:paraId="16BF45BB" w14:textId="77777777" w:rsidR="002959BC" w:rsidRPr="006043FE" w:rsidRDefault="002959BC" w:rsidP="002959BC">
      <w:pPr>
        <w:ind w:firstLine="454"/>
        <w:jc w:val="both"/>
        <w:rPr>
          <w:rFonts w:ascii="Simplified Arabic" w:hAnsi="Simplified Arabic" w:cs="Simplified Arabic"/>
          <w:sz w:val="28"/>
          <w:szCs w:val="28"/>
          <w:rtl/>
        </w:rPr>
      </w:pPr>
    </w:p>
    <w:p w14:paraId="42E2C204" w14:textId="77777777" w:rsidR="002959BC" w:rsidRDefault="002959BC" w:rsidP="002959BC">
      <w:pPr>
        <w:ind w:firstLine="454"/>
        <w:jc w:val="both"/>
        <w:rPr>
          <w:rFonts w:ascii="Simplified Arabic" w:hAnsi="Simplified Arabic" w:cs="Simplified Arabic"/>
          <w:sz w:val="28"/>
          <w:szCs w:val="28"/>
          <w:rtl/>
        </w:rPr>
      </w:pPr>
    </w:p>
    <w:p w14:paraId="1039FE4E" w14:textId="77777777" w:rsidR="002959BC" w:rsidRDefault="002959BC" w:rsidP="002959BC">
      <w:pPr>
        <w:ind w:firstLine="454"/>
        <w:jc w:val="both"/>
        <w:rPr>
          <w:rFonts w:ascii="Simplified Arabic" w:hAnsi="Simplified Arabic" w:cs="Simplified Arabic"/>
          <w:sz w:val="28"/>
          <w:szCs w:val="28"/>
          <w:rtl/>
        </w:rPr>
      </w:pPr>
    </w:p>
    <w:p w14:paraId="1BDDAA90" w14:textId="77777777" w:rsidR="002959BC" w:rsidRPr="006043FE" w:rsidRDefault="002959BC" w:rsidP="002959BC">
      <w:pPr>
        <w:ind w:firstLine="454"/>
        <w:jc w:val="both"/>
        <w:rPr>
          <w:rFonts w:ascii="Simplified Arabic" w:hAnsi="Simplified Arabic" w:cs="Simplified Arabic"/>
          <w:sz w:val="28"/>
          <w:szCs w:val="28"/>
          <w:rtl/>
        </w:rPr>
      </w:pPr>
    </w:p>
    <w:p w14:paraId="21E520F1" w14:textId="77777777" w:rsidR="002959BC" w:rsidRPr="006043FE" w:rsidRDefault="002959BC" w:rsidP="002959BC">
      <w:pPr>
        <w:jc w:val="both"/>
        <w:rPr>
          <w:rFonts w:ascii="Simplified Arabic" w:hAnsi="Simplified Arabic" w:cs="Simplified Arabic"/>
          <w:sz w:val="28"/>
          <w:szCs w:val="28"/>
          <w:rtl/>
        </w:rPr>
      </w:pPr>
    </w:p>
    <w:p w14:paraId="6E2D9417" w14:textId="77777777" w:rsidR="002959BC" w:rsidRPr="006043FE" w:rsidRDefault="002959BC" w:rsidP="002959BC">
      <w:pPr>
        <w:jc w:val="both"/>
        <w:rPr>
          <w:rFonts w:ascii="Simplified Arabic" w:hAnsi="Simplified Arabic" w:cs="Simplified Arabic"/>
          <w:sz w:val="28"/>
          <w:szCs w:val="28"/>
          <w:rtl/>
        </w:rPr>
      </w:pPr>
    </w:p>
    <w:p w14:paraId="65972EB0" w14:textId="77777777" w:rsidR="002959BC"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p>
    <w:p w14:paraId="73E70B59" w14:textId="77777777" w:rsidR="002959BC" w:rsidRPr="00536385"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r w:rsidRPr="00536385">
        <w:rPr>
          <w:rFonts w:ascii="Simplified Arabic" w:eastAsia="Times New Roman" w:hAnsi="Simplified Arabic" w:cs="Simplified Arabic"/>
          <w:b/>
          <w:bCs/>
          <w:sz w:val="24"/>
          <w:szCs w:val="24"/>
          <w:rtl/>
        </w:rPr>
        <w:t>جدول رقم (3-</w:t>
      </w:r>
      <w:r>
        <w:rPr>
          <w:rFonts w:ascii="Simplified Arabic" w:eastAsia="Times New Roman" w:hAnsi="Simplified Arabic" w:cs="Simplified Arabic" w:hint="cs"/>
          <w:b/>
          <w:bCs/>
          <w:sz w:val="24"/>
          <w:szCs w:val="24"/>
          <w:rtl/>
        </w:rPr>
        <w:t>2</w:t>
      </w:r>
      <w:r w:rsidRPr="00536385">
        <w:rPr>
          <w:rFonts w:ascii="Simplified Arabic" w:eastAsia="Times New Roman" w:hAnsi="Simplified Arabic" w:cs="Simplified Arabic"/>
          <w:b/>
          <w:bCs/>
          <w:sz w:val="24"/>
          <w:szCs w:val="24"/>
          <w:rtl/>
        </w:rPr>
        <w:t>)</w:t>
      </w:r>
    </w:p>
    <w:p w14:paraId="01AB4761" w14:textId="77777777" w:rsidR="002959BC" w:rsidRPr="00536385"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Pr>
      </w:pPr>
      <w:r w:rsidRPr="00536385">
        <w:rPr>
          <w:rFonts w:ascii="Simplified Arabic" w:eastAsia="Times New Roman" w:hAnsi="Simplified Arabic" w:cs="Simplified Arabic"/>
          <w:b/>
          <w:bCs/>
          <w:sz w:val="24"/>
          <w:szCs w:val="24"/>
          <w:rtl/>
        </w:rPr>
        <w:t xml:space="preserve">اختبار ديكي فولر الموسع </w:t>
      </w:r>
      <w:r w:rsidRPr="00536385">
        <w:rPr>
          <w:rFonts w:ascii="Simplified Arabic" w:eastAsia="Times New Roman" w:hAnsi="Simplified Arabic" w:cs="Simplified Arabic"/>
          <w:b/>
          <w:bCs/>
          <w:sz w:val="24"/>
          <w:szCs w:val="24"/>
        </w:rPr>
        <w:t>ADF</w:t>
      </w:r>
    </w:p>
    <w:tbl>
      <w:tblPr>
        <w:tblStyle w:val="TableGrid"/>
        <w:bidiVisual/>
        <w:tblW w:w="0" w:type="auto"/>
        <w:jc w:val="center"/>
        <w:tblLayout w:type="fixed"/>
        <w:tblLook w:val="04A0" w:firstRow="1" w:lastRow="0" w:firstColumn="1" w:lastColumn="0" w:noHBand="0" w:noVBand="1"/>
      </w:tblPr>
      <w:tblGrid>
        <w:gridCol w:w="808"/>
        <w:gridCol w:w="808"/>
        <w:gridCol w:w="808"/>
        <w:gridCol w:w="809"/>
        <w:gridCol w:w="808"/>
        <w:gridCol w:w="808"/>
        <w:gridCol w:w="808"/>
        <w:gridCol w:w="809"/>
        <w:gridCol w:w="808"/>
        <w:gridCol w:w="769"/>
        <w:gridCol w:w="848"/>
      </w:tblGrid>
      <w:tr w:rsidR="002959BC" w:rsidRPr="0039778F" w14:paraId="4AC4244E" w14:textId="77777777" w:rsidTr="00270E6A">
        <w:trPr>
          <w:jc w:val="center"/>
        </w:trPr>
        <w:tc>
          <w:tcPr>
            <w:tcW w:w="808" w:type="dxa"/>
            <w:vAlign w:val="center"/>
          </w:tcPr>
          <w:p w14:paraId="22DDF309"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p>
        </w:tc>
        <w:tc>
          <w:tcPr>
            <w:tcW w:w="2425" w:type="dxa"/>
            <w:gridSpan w:val="3"/>
            <w:vAlign w:val="center"/>
          </w:tcPr>
          <w:p w14:paraId="37C16CD9" w14:textId="77777777" w:rsidR="002959BC" w:rsidRPr="0039778F" w:rsidRDefault="002959BC" w:rsidP="00270E6A">
            <w:pPr>
              <w:spacing w:before="40" w:after="40"/>
              <w:jc w:val="center"/>
              <w:rPr>
                <w:rFonts w:asciiTheme="minorBidi" w:hAnsiTheme="minorBidi"/>
                <w:b/>
                <w:bCs/>
                <w:rtl/>
                <w:lang w:bidi="ar-EG"/>
              </w:rPr>
            </w:pPr>
            <w:r w:rsidRPr="0039778F">
              <w:rPr>
                <w:rFonts w:asciiTheme="minorBidi" w:hAnsiTheme="minorBidi" w:hint="cs"/>
                <w:b/>
                <w:bCs/>
                <w:rtl/>
                <w:lang w:bidi="ar-EG"/>
              </w:rPr>
              <w:t xml:space="preserve">المستوى </w:t>
            </w:r>
            <w:r w:rsidRPr="0039778F">
              <w:rPr>
                <w:rFonts w:asciiTheme="minorBidi" w:hAnsiTheme="minorBidi"/>
                <w:b/>
                <w:bCs/>
                <w:lang w:bidi="ar-EG"/>
              </w:rPr>
              <w:t>Level</w:t>
            </w:r>
          </w:p>
        </w:tc>
        <w:tc>
          <w:tcPr>
            <w:tcW w:w="2424" w:type="dxa"/>
            <w:gridSpan w:val="3"/>
            <w:vAlign w:val="center"/>
          </w:tcPr>
          <w:p w14:paraId="1279A3BE" w14:textId="77777777" w:rsidR="002959BC" w:rsidRPr="0039778F" w:rsidRDefault="002959BC" w:rsidP="00270E6A">
            <w:pPr>
              <w:spacing w:before="40" w:after="40"/>
              <w:jc w:val="center"/>
              <w:rPr>
                <w:rFonts w:asciiTheme="minorBidi" w:hAnsiTheme="minorBidi"/>
                <w:b/>
                <w:bCs/>
                <w:rtl/>
                <w:lang w:bidi="ar-EG"/>
              </w:rPr>
            </w:pPr>
            <w:r w:rsidRPr="0039778F">
              <w:rPr>
                <w:rFonts w:asciiTheme="minorBidi" w:hAnsiTheme="minorBidi" w:hint="cs"/>
                <w:b/>
                <w:bCs/>
                <w:rtl/>
                <w:lang w:bidi="ar-EG"/>
              </w:rPr>
              <w:t>الفرق الأول</w:t>
            </w:r>
          </w:p>
          <w:p w14:paraId="5F8B5A82"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inorBidi" w:hAnsiTheme="minorBidi"/>
                <w:b/>
                <w:bCs/>
                <w:lang w:bidi="ar-EG"/>
              </w:rPr>
              <w:t>1</w:t>
            </w:r>
            <w:r w:rsidRPr="0039778F">
              <w:rPr>
                <w:rFonts w:asciiTheme="minorBidi" w:hAnsiTheme="minorBidi"/>
                <w:b/>
                <w:bCs/>
                <w:vertAlign w:val="superscript"/>
                <w:lang w:bidi="ar-EG"/>
              </w:rPr>
              <w:t>st</w:t>
            </w:r>
            <w:r w:rsidRPr="0039778F">
              <w:rPr>
                <w:rFonts w:asciiTheme="minorBidi" w:hAnsiTheme="minorBidi"/>
                <w:b/>
                <w:bCs/>
                <w:lang w:bidi="ar-EG"/>
              </w:rPr>
              <w:t xml:space="preserve"> difference</w:t>
            </w:r>
          </w:p>
        </w:tc>
        <w:tc>
          <w:tcPr>
            <w:tcW w:w="2386" w:type="dxa"/>
            <w:gridSpan w:val="3"/>
            <w:vAlign w:val="center"/>
          </w:tcPr>
          <w:p w14:paraId="001C06B2" w14:textId="77777777" w:rsidR="002959BC" w:rsidRPr="0039778F" w:rsidRDefault="002959BC" w:rsidP="00270E6A">
            <w:pPr>
              <w:spacing w:before="40" w:after="40"/>
              <w:jc w:val="center"/>
              <w:rPr>
                <w:rFonts w:asciiTheme="minorBidi" w:hAnsiTheme="minorBidi"/>
                <w:b/>
                <w:bCs/>
                <w:rtl/>
                <w:lang w:bidi="ar-EG"/>
              </w:rPr>
            </w:pPr>
            <w:r w:rsidRPr="0039778F">
              <w:rPr>
                <w:rFonts w:asciiTheme="minorBidi" w:hAnsiTheme="minorBidi" w:hint="cs"/>
                <w:b/>
                <w:bCs/>
                <w:rtl/>
                <w:lang w:bidi="ar-EG"/>
              </w:rPr>
              <w:t>الفرق الثاني</w:t>
            </w:r>
          </w:p>
          <w:p w14:paraId="4E39897E"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inorBidi" w:hAnsiTheme="minorBidi"/>
                <w:b/>
                <w:bCs/>
                <w:lang w:bidi="ar-EG"/>
              </w:rPr>
              <w:t>2</w:t>
            </w:r>
            <w:r w:rsidRPr="0039778F">
              <w:rPr>
                <w:rFonts w:asciiTheme="minorBidi" w:hAnsiTheme="minorBidi"/>
                <w:b/>
                <w:bCs/>
                <w:vertAlign w:val="superscript"/>
                <w:lang w:bidi="ar-EG"/>
              </w:rPr>
              <w:t>nd</w:t>
            </w:r>
            <w:r w:rsidRPr="0039778F">
              <w:rPr>
                <w:rFonts w:asciiTheme="minorBidi" w:hAnsiTheme="minorBidi"/>
                <w:b/>
                <w:bCs/>
                <w:lang w:bidi="ar-EG"/>
              </w:rPr>
              <w:t xml:space="preserve"> difference</w:t>
            </w:r>
          </w:p>
        </w:tc>
        <w:tc>
          <w:tcPr>
            <w:tcW w:w="848" w:type="dxa"/>
            <w:vAlign w:val="center"/>
          </w:tcPr>
          <w:p w14:paraId="105C94C6"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p>
        </w:tc>
      </w:tr>
      <w:tr w:rsidR="002959BC" w:rsidRPr="0039778F" w14:paraId="28441D35" w14:textId="77777777" w:rsidTr="00270E6A">
        <w:trPr>
          <w:jc w:val="center"/>
        </w:trPr>
        <w:tc>
          <w:tcPr>
            <w:tcW w:w="808" w:type="dxa"/>
            <w:vAlign w:val="center"/>
          </w:tcPr>
          <w:p w14:paraId="61B19CE6"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p>
        </w:tc>
        <w:tc>
          <w:tcPr>
            <w:tcW w:w="808" w:type="dxa"/>
            <w:vAlign w:val="center"/>
          </w:tcPr>
          <w:p w14:paraId="75DD1837" w14:textId="77777777" w:rsidR="002959BC" w:rsidRPr="0039778F" w:rsidRDefault="002959BC" w:rsidP="00270E6A">
            <w:pPr>
              <w:spacing w:before="40" w:after="40"/>
              <w:jc w:val="center"/>
              <w:rPr>
                <w:rFonts w:asciiTheme="minorBidi" w:hAnsiTheme="minorBidi"/>
                <w:b/>
                <w:bCs/>
                <w:sz w:val="14"/>
                <w:szCs w:val="14"/>
                <w:lang w:bidi="ar-EG"/>
              </w:rPr>
            </w:pPr>
            <w:r w:rsidRPr="0039778F">
              <w:rPr>
                <w:rFonts w:asciiTheme="minorBidi" w:hAnsiTheme="minorBidi"/>
                <w:b/>
                <w:bCs/>
                <w:sz w:val="14"/>
                <w:szCs w:val="14"/>
                <w:lang w:bidi="ar-EG"/>
              </w:rPr>
              <w:t>Intercept</w:t>
            </w:r>
          </w:p>
        </w:tc>
        <w:tc>
          <w:tcPr>
            <w:tcW w:w="808" w:type="dxa"/>
            <w:vAlign w:val="center"/>
          </w:tcPr>
          <w:p w14:paraId="3DF6EF11" w14:textId="77777777" w:rsidR="002959BC" w:rsidRPr="0039778F" w:rsidRDefault="002959BC" w:rsidP="00270E6A">
            <w:pPr>
              <w:spacing w:before="40" w:after="40"/>
              <w:jc w:val="center"/>
              <w:rPr>
                <w:rFonts w:asciiTheme="minorBidi" w:hAnsiTheme="minorBidi"/>
                <w:b/>
                <w:bCs/>
                <w:sz w:val="14"/>
                <w:szCs w:val="14"/>
                <w:lang w:bidi="ar-EG"/>
              </w:rPr>
            </w:pPr>
            <w:r w:rsidRPr="0039778F">
              <w:rPr>
                <w:rFonts w:asciiTheme="minorBidi" w:hAnsiTheme="minorBidi"/>
                <w:b/>
                <w:bCs/>
                <w:sz w:val="14"/>
                <w:szCs w:val="14"/>
                <w:lang w:bidi="ar-EG"/>
              </w:rPr>
              <w:t>Trend &amp; intercept</w:t>
            </w:r>
          </w:p>
        </w:tc>
        <w:tc>
          <w:tcPr>
            <w:tcW w:w="809" w:type="dxa"/>
            <w:vAlign w:val="center"/>
          </w:tcPr>
          <w:p w14:paraId="453E2708" w14:textId="77777777" w:rsidR="002959BC" w:rsidRPr="0039778F" w:rsidRDefault="002959BC" w:rsidP="00270E6A">
            <w:pPr>
              <w:spacing w:before="40" w:after="40"/>
              <w:jc w:val="center"/>
              <w:rPr>
                <w:rFonts w:asciiTheme="minorBidi" w:hAnsiTheme="minorBidi"/>
                <w:b/>
                <w:bCs/>
                <w:sz w:val="14"/>
                <w:szCs w:val="14"/>
                <w:rtl/>
                <w:lang w:bidi="ar-EG"/>
              </w:rPr>
            </w:pPr>
            <w:r w:rsidRPr="0039778F">
              <w:rPr>
                <w:rFonts w:asciiTheme="minorBidi" w:hAnsiTheme="minorBidi"/>
                <w:b/>
                <w:bCs/>
                <w:sz w:val="14"/>
                <w:szCs w:val="14"/>
                <w:lang w:bidi="ar-EG"/>
              </w:rPr>
              <w:t>Non</w:t>
            </w:r>
          </w:p>
        </w:tc>
        <w:tc>
          <w:tcPr>
            <w:tcW w:w="808" w:type="dxa"/>
            <w:vAlign w:val="center"/>
          </w:tcPr>
          <w:p w14:paraId="7C6C3F29" w14:textId="77777777" w:rsidR="002959BC" w:rsidRPr="0039778F" w:rsidRDefault="002959BC" w:rsidP="00270E6A">
            <w:pPr>
              <w:spacing w:before="40" w:after="40"/>
              <w:jc w:val="center"/>
              <w:rPr>
                <w:rFonts w:asciiTheme="minorBidi" w:hAnsiTheme="minorBidi"/>
                <w:b/>
                <w:bCs/>
                <w:sz w:val="14"/>
                <w:szCs w:val="14"/>
                <w:lang w:bidi="ar-EG"/>
              </w:rPr>
            </w:pPr>
            <w:r w:rsidRPr="0039778F">
              <w:rPr>
                <w:rFonts w:asciiTheme="minorBidi" w:hAnsiTheme="minorBidi"/>
                <w:b/>
                <w:bCs/>
                <w:sz w:val="14"/>
                <w:szCs w:val="14"/>
                <w:lang w:bidi="ar-EG"/>
              </w:rPr>
              <w:t>Intercept</w:t>
            </w:r>
          </w:p>
        </w:tc>
        <w:tc>
          <w:tcPr>
            <w:tcW w:w="808" w:type="dxa"/>
            <w:vAlign w:val="center"/>
          </w:tcPr>
          <w:p w14:paraId="5FBFFF41" w14:textId="77777777" w:rsidR="002959BC" w:rsidRPr="0039778F" w:rsidRDefault="002959BC" w:rsidP="00270E6A">
            <w:pPr>
              <w:spacing w:before="40" w:after="40"/>
              <w:jc w:val="center"/>
              <w:rPr>
                <w:rFonts w:asciiTheme="minorBidi" w:hAnsiTheme="minorBidi"/>
                <w:b/>
                <w:bCs/>
                <w:sz w:val="14"/>
                <w:szCs w:val="14"/>
                <w:lang w:bidi="ar-EG"/>
              </w:rPr>
            </w:pPr>
            <w:r w:rsidRPr="0039778F">
              <w:rPr>
                <w:rFonts w:asciiTheme="minorBidi" w:hAnsiTheme="minorBidi"/>
                <w:b/>
                <w:bCs/>
                <w:sz w:val="14"/>
                <w:szCs w:val="14"/>
                <w:lang w:bidi="ar-EG"/>
              </w:rPr>
              <w:t>Trend &amp; intercept</w:t>
            </w:r>
          </w:p>
        </w:tc>
        <w:tc>
          <w:tcPr>
            <w:tcW w:w="808" w:type="dxa"/>
            <w:vAlign w:val="center"/>
          </w:tcPr>
          <w:p w14:paraId="63B04816" w14:textId="77777777" w:rsidR="002959BC" w:rsidRPr="0039778F" w:rsidRDefault="002959BC" w:rsidP="00270E6A">
            <w:pPr>
              <w:spacing w:before="40" w:after="40"/>
              <w:jc w:val="center"/>
              <w:rPr>
                <w:rFonts w:asciiTheme="minorBidi" w:hAnsiTheme="minorBidi"/>
                <w:b/>
                <w:bCs/>
                <w:sz w:val="14"/>
                <w:szCs w:val="14"/>
                <w:rtl/>
                <w:lang w:bidi="ar-EG"/>
              </w:rPr>
            </w:pPr>
            <w:r w:rsidRPr="0039778F">
              <w:rPr>
                <w:rFonts w:asciiTheme="minorBidi" w:hAnsiTheme="minorBidi"/>
                <w:b/>
                <w:bCs/>
                <w:sz w:val="14"/>
                <w:szCs w:val="14"/>
                <w:lang w:bidi="ar-EG"/>
              </w:rPr>
              <w:t>Non</w:t>
            </w:r>
          </w:p>
        </w:tc>
        <w:tc>
          <w:tcPr>
            <w:tcW w:w="809" w:type="dxa"/>
            <w:vAlign w:val="center"/>
          </w:tcPr>
          <w:p w14:paraId="7CCA6E46" w14:textId="77777777" w:rsidR="002959BC" w:rsidRPr="0039778F" w:rsidRDefault="002959BC" w:rsidP="00270E6A">
            <w:pPr>
              <w:spacing w:before="40" w:after="40"/>
              <w:jc w:val="center"/>
              <w:rPr>
                <w:rFonts w:asciiTheme="minorBidi" w:hAnsiTheme="minorBidi"/>
                <w:b/>
                <w:bCs/>
                <w:sz w:val="14"/>
                <w:szCs w:val="14"/>
                <w:lang w:bidi="ar-EG"/>
              </w:rPr>
            </w:pPr>
            <w:r w:rsidRPr="0039778F">
              <w:rPr>
                <w:rFonts w:asciiTheme="minorBidi" w:hAnsiTheme="minorBidi"/>
                <w:b/>
                <w:bCs/>
                <w:sz w:val="14"/>
                <w:szCs w:val="14"/>
                <w:lang w:bidi="ar-EG"/>
              </w:rPr>
              <w:t>Intercept</w:t>
            </w:r>
          </w:p>
        </w:tc>
        <w:tc>
          <w:tcPr>
            <w:tcW w:w="808" w:type="dxa"/>
            <w:vAlign w:val="center"/>
          </w:tcPr>
          <w:p w14:paraId="7CF55E0D" w14:textId="77777777" w:rsidR="002959BC" w:rsidRPr="0039778F" w:rsidRDefault="002959BC" w:rsidP="00270E6A">
            <w:pPr>
              <w:spacing w:before="40" w:after="40"/>
              <w:jc w:val="center"/>
              <w:rPr>
                <w:rFonts w:asciiTheme="minorBidi" w:hAnsiTheme="minorBidi"/>
                <w:b/>
                <w:bCs/>
                <w:sz w:val="14"/>
                <w:szCs w:val="14"/>
                <w:lang w:bidi="ar-EG"/>
              </w:rPr>
            </w:pPr>
            <w:r w:rsidRPr="0039778F">
              <w:rPr>
                <w:rFonts w:asciiTheme="minorBidi" w:hAnsiTheme="minorBidi"/>
                <w:b/>
                <w:bCs/>
                <w:sz w:val="14"/>
                <w:szCs w:val="14"/>
                <w:lang w:bidi="ar-EG"/>
              </w:rPr>
              <w:t>Trend &amp; intercept</w:t>
            </w:r>
          </w:p>
        </w:tc>
        <w:tc>
          <w:tcPr>
            <w:tcW w:w="769" w:type="dxa"/>
            <w:vAlign w:val="center"/>
          </w:tcPr>
          <w:p w14:paraId="6C2604D8" w14:textId="77777777" w:rsidR="002959BC" w:rsidRPr="0039778F" w:rsidRDefault="002959BC" w:rsidP="00270E6A">
            <w:pPr>
              <w:spacing w:before="40" w:after="40"/>
              <w:jc w:val="center"/>
              <w:rPr>
                <w:rFonts w:asciiTheme="minorBidi" w:hAnsiTheme="minorBidi"/>
                <w:b/>
                <w:bCs/>
                <w:sz w:val="14"/>
                <w:szCs w:val="14"/>
                <w:rtl/>
                <w:lang w:bidi="ar-EG"/>
              </w:rPr>
            </w:pPr>
            <w:r w:rsidRPr="0039778F">
              <w:rPr>
                <w:rFonts w:asciiTheme="minorBidi" w:hAnsiTheme="minorBidi"/>
                <w:b/>
                <w:bCs/>
                <w:sz w:val="14"/>
                <w:szCs w:val="14"/>
                <w:lang w:bidi="ar-EG"/>
              </w:rPr>
              <w:t>Non</w:t>
            </w:r>
          </w:p>
        </w:tc>
        <w:tc>
          <w:tcPr>
            <w:tcW w:w="848" w:type="dxa"/>
            <w:vAlign w:val="center"/>
          </w:tcPr>
          <w:p w14:paraId="0994B082"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p>
        </w:tc>
      </w:tr>
      <w:tr w:rsidR="002959BC" w:rsidRPr="0039778F" w14:paraId="0FAB4908" w14:textId="77777777" w:rsidTr="00270E6A">
        <w:trPr>
          <w:jc w:val="center"/>
        </w:trPr>
        <w:tc>
          <w:tcPr>
            <w:tcW w:w="808" w:type="dxa"/>
            <w:vAlign w:val="center"/>
          </w:tcPr>
          <w:p w14:paraId="582133A6"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القيم الحرجة</w:t>
            </w:r>
            <w:r w:rsidRPr="0039778F">
              <w:rPr>
                <w:rFonts w:asciiTheme="minorBidi" w:hAnsiTheme="minorBidi" w:hint="cs"/>
                <w:b/>
                <w:bCs/>
                <w:rtl/>
                <w:lang w:bidi="ar-EG"/>
              </w:rPr>
              <w:t xml:space="preserve"> عند 5%</w:t>
            </w:r>
          </w:p>
        </w:tc>
        <w:tc>
          <w:tcPr>
            <w:tcW w:w="808" w:type="dxa"/>
            <w:vAlign w:val="center"/>
          </w:tcPr>
          <w:p w14:paraId="0CC74664"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-2.99</w:t>
            </w:r>
          </w:p>
        </w:tc>
        <w:tc>
          <w:tcPr>
            <w:tcW w:w="808" w:type="dxa"/>
            <w:vAlign w:val="center"/>
          </w:tcPr>
          <w:p w14:paraId="53E4310F"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-3.60</w:t>
            </w:r>
          </w:p>
        </w:tc>
        <w:tc>
          <w:tcPr>
            <w:tcW w:w="809" w:type="dxa"/>
            <w:vAlign w:val="center"/>
          </w:tcPr>
          <w:p w14:paraId="743AF845"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-1.95</w:t>
            </w:r>
          </w:p>
        </w:tc>
        <w:tc>
          <w:tcPr>
            <w:tcW w:w="808" w:type="dxa"/>
            <w:vAlign w:val="center"/>
          </w:tcPr>
          <w:p w14:paraId="15535785"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-2.99</w:t>
            </w:r>
          </w:p>
        </w:tc>
        <w:tc>
          <w:tcPr>
            <w:tcW w:w="808" w:type="dxa"/>
            <w:vAlign w:val="center"/>
          </w:tcPr>
          <w:p w14:paraId="395144E3"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-3.61</w:t>
            </w:r>
          </w:p>
        </w:tc>
        <w:tc>
          <w:tcPr>
            <w:tcW w:w="808" w:type="dxa"/>
            <w:vAlign w:val="center"/>
          </w:tcPr>
          <w:p w14:paraId="7DCC7B73"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-1.95</w:t>
            </w:r>
          </w:p>
        </w:tc>
        <w:tc>
          <w:tcPr>
            <w:tcW w:w="809" w:type="dxa"/>
            <w:vAlign w:val="center"/>
          </w:tcPr>
          <w:p w14:paraId="28A8D374"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-2.99</w:t>
            </w:r>
          </w:p>
        </w:tc>
        <w:tc>
          <w:tcPr>
            <w:tcW w:w="808" w:type="dxa"/>
            <w:vAlign w:val="center"/>
          </w:tcPr>
          <w:p w14:paraId="6FC4D989"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-3.62</w:t>
            </w:r>
          </w:p>
        </w:tc>
        <w:tc>
          <w:tcPr>
            <w:tcW w:w="769" w:type="dxa"/>
            <w:vAlign w:val="center"/>
          </w:tcPr>
          <w:p w14:paraId="6DDA5926"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-1.95</w:t>
            </w:r>
          </w:p>
        </w:tc>
        <w:tc>
          <w:tcPr>
            <w:tcW w:w="848" w:type="dxa"/>
            <w:vAlign w:val="center"/>
          </w:tcPr>
          <w:p w14:paraId="6C9AF4B9"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القرار</w:t>
            </w:r>
            <w:r>
              <w:rPr>
                <w:rFonts w:asciiTheme="majorBidi" w:hAnsiTheme="majorBidi" w:cstheme="majorBidi" w:hint="cs"/>
                <w:b/>
                <w:bCs/>
                <w:rtl/>
                <w:lang w:bidi="ar-EG"/>
              </w:rPr>
              <w:t xml:space="preserve"> </w:t>
            </w:r>
            <w:r w:rsidRPr="00750079">
              <w:rPr>
                <w:rFonts w:asciiTheme="minorBidi" w:hAnsiTheme="minorBidi" w:hint="cs"/>
                <w:sz w:val="28"/>
                <w:szCs w:val="28"/>
                <w:vertAlign w:val="superscript"/>
                <w:rtl/>
                <w:lang w:bidi="ar-EG"/>
              </w:rPr>
              <w:t>(</w:t>
            </w:r>
            <w:r>
              <w:rPr>
                <w:rFonts w:asciiTheme="minorBidi" w:hAnsiTheme="minorBidi" w:hint="cs"/>
                <w:sz w:val="28"/>
                <w:szCs w:val="28"/>
                <w:vertAlign w:val="superscript"/>
                <w:rtl/>
                <w:lang w:bidi="ar-EG"/>
              </w:rPr>
              <w:t>*</w:t>
            </w:r>
            <w:r w:rsidRPr="00B474DF">
              <w:rPr>
                <w:rStyle w:val="FootnoteReference"/>
                <w:rFonts w:asciiTheme="minorBidi" w:eastAsiaTheme="minorEastAsia" w:hAnsiTheme="minorBidi"/>
                <w:sz w:val="2"/>
                <w:szCs w:val="2"/>
                <w:rtl/>
                <w:lang w:bidi="ar-EG"/>
              </w:rPr>
              <w:footnoteReference w:id="116"/>
            </w:r>
            <w:r>
              <w:rPr>
                <w:rFonts w:asciiTheme="minorBidi" w:hAnsiTheme="minorBidi" w:hint="cs"/>
                <w:sz w:val="28"/>
                <w:szCs w:val="28"/>
                <w:vertAlign w:val="superscript"/>
                <w:rtl/>
                <w:lang w:bidi="ar-EG"/>
              </w:rPr>
              <w:t>)</w:t>
            </w:r>
          </w:p>
        </w:tc>
      </w:tr>
      <w:tr w:rsidR="002959BC" w:rsidRPr="0039778F" w14:paraId="652B3293" w14:textId="77777777" w:rsidTr="00270E6A">
        <w:trPr>
          <w:jc w:val="center"/>
        </w:trPr>
        <w:tc>
          <w:tcPr>
            <w:tcW w:w="808" w:type="dxa"/>
            <w:vAlign w:val="center"/>
          </w:tcPr>
          <w:p w14:paraId="391D7A12" w14:textId="77777777" w:rsidR="002959BC" w:rsidRPr="0039778F" w:rsidRDefault="002959BC" w:rsidP="00270E6A">
            <w:pPr>
              <w:autoSpaceDE w:val="0"/>
              <w:autoSpaceDN w:val="0"/>
              <w:adjustRightInd w:val="0"/>
              <w:jc w:val="center"/>
              <w:rPr>
                <w:rFonts w:asciiTheme="minorBidi" w:hAnsiTheme="minorBidi"/>
                <w:b/>
                <w:bCs/>
                <w:lang w:bidi="ar-EG"/>
              </w:rPr>
            </w:pPr>
            <w:r w:rsidRPr="0039778F">
              <w:rPr>
                <w:rFonts w:asciiTheme="minorBidi" w:hAnsiTheme="minorBidi"/>
                <w:b/>
                <w:bCs/>
                <w:lang w:bidi="ar-EG"/>
              </w:rPr>
              <w:t>CPI</w:t>
            </w:r>
          </w:p>
        </w:tc>
        <w:tc>
          <w:tcPr>
            <w:tcW w:w="808" w:type="dxa"/>
            <w:vAlign w:val="center"/>
          </w:tcPr>
          <w:p w14:paraId="3AE0C6ED"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2.89</w:t>
            </w:r>
          </w:p>
          <w:p w14:paraId="5C3C4963"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1.00</w:t>
            </w:r>
            <w:r w:rsidRPr="0039778F">
              <w:rPr>
                <w:rFonts w:asciiTheme="majorBidi" w:hAnsiTheme="majorBidi" w:cstheme="majorBidi" w:hint="cs"/>
                <w:b/>
                <w:bCs/>
                <w:rtl/>
                <w:lang w:bidi="ar-EG"/>
              </w:rPr>
              <w:t>)</w:t>
            </w:r>
          </w:p>
        </w:tc>
        <w:tc>
          <w:tcPr>
            <w:tcW w:w="808" w:type="dxa"/>
            <w:vAlign w:val="center"/>
          </w:tcPr>
          <w:p w14:paraId="0FD84C42"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1.86</w:t>
            </w:r>
          </w:p>
          <w:p w14:paraId="77F24C07"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1.00</w:t>
            </w:r>
            <w:r w:rsidRPr="0039778F">
              <w:rPr>
                <w:rFonts w:asciiTheme="majorBidi" w:hAnsiTheme="majorBidi" w:cstheme="majorBidi" w:hint="cs"/>
                <w:b/>
                <w:bCs/>
                <w:rtl/>
                <w:lang w:bidi="ar-EG"/>
              </w:rPr>
              <w:t>)</w:t>
            </w:r>
          </w:p>
        </w:tc>
        <w:tc>
          <w:tcPr>
            <w:tcW w:w="809" w:type="dxa"/>
            <w:vAlign w:val="center"/>
          </w:tcPr>
          <w:p w14:paraId="255B9065"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2.21</w:t>
            </w:r>
          </w:p>
          <w:p w14:paraId="44BF433D"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0.99</w:t>
            </w:r>
            <w:r w:rsidRPr="0039778F">
              <w:rPr>
                <w:rFonts w:asciiTheme="majorBidi" w:hAnsiTheme="majorBidi" w:cstheme="majorBidi" w:hint="cs"/>
                <w:b/>
                <w:bCs/>
                <w:rtl/>
                <w:lang w:bidi="ar-EG"/>
              </w:rPr>
              <w:t>)</w:t>
            </w:r>
          </w:p>
        </w:tc>
        <w:tc>
          <w:tcPr>
            <w:tcW w:w="808" w:type="dxa"/>
            <w:vAlign w:val="center"/>
          </w:tcPr>
          <w:p w14:paraId="78835F1D"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0.83</w:t>
            </w:r>
          </w:p>
          <w:p w14:paraId="62E4C136"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0.99</w:t>
            </w:r>
            <w:r w:rsidRPr="0039778F">
              <w:rPr>
                <w:rFonts w:asciiTheme="majorBidi" w:hAnsiTheme="majorBidi" w:cstheme="majorBidi" w:hint="cs"/>
                <w:b/>
                <w:bCs/>
                <w:rtl/>
                <w:lang w:bidi="ar-EG"/>
              </w:rPr>
              <w:t>)</w:t>
            </w:r>
          </w:p>
        </w:tc>
        <w:tc>
          <w:tcPr>
            <w:tcW w:w="808" w:type="dxa"/>
            <w:vAlign w:val="center"/>
          </w:tcPr>
          <w:p w14:paraId="7CD5212F"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-1.12</w:t>
            </w:r>
          </w:p>
          <w:p w14:paraId="17670FD9"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0.90</w:t>
            </w:r>
            <w:r w:rsidRPr="0039778F">
              <w:rPr>
                <w:rFonts w:asciiTheme="majorBidi" w:hAnsiTheme="majorBidi" w:cstheme="majorBidi" w:hint="cs"/>
                <w:b/>
                <w:bCs/>
                <w:rtl/>
                <w:lang w:bidi="ar-EG"/>
              </w:rPr>
              <w:t>)</w:t>
            </w:r>
          </w:p>
        </w:tc>
        <w:tc>
          <w:tcPr>
            <w:tcW w:w="808" w:type="dxa"/>
            <w:vAlign w:val="center"/>
          </w:tcPr>
          <w:p w14:paraId="67D7B067"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1.71</w:t>
            </w:r>
          </w:p>
          <w:p w14:paraId="58973E93"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0.97</w:t>
            </w:r>
            <w:r w:rsidRPr="0039778F">
              <w:rPr>
                <w:rFonts w:asciiTheme="majorBidi" w:hAnsiTheme="majorBidi" w:cstheme="majorBidi" w:hint="cs"/>
                <w:b/>
                <w:bCs/>
                <w:rtl/>
                <w:lang w:bidi="ar-EG"/>
              </w:rPr>
              <w:t>)</w:t>
            </w:r>
          </w:p>
        </w:tc>
        <w:tc>
          <w:tcPr>
            <w:tcW w:w="809" w:type="dxa"/>
            <w:vAlign w:val="center"/>
          </w:tcPr>
          <w:p w14:paraId="3D488177"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-4.86</w:t>
            </w:r>
          </w:p>
          <w:p w14:paraId="219B99EF"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0.00</w:t>
            </w:r>
            <w:r w:rsidRPr="0039778F">
              <w:rPr>
                <w:rFonts w:asciiTheme="majorBidi" w:hAnsiTheme="majorBidi" w:cstheme="majorBidi" w:hint="cs"/>
                <w:b/>
                <w:bCs/>
                <w:rtl/>
                <w:lang w:bidi="ar-EG"/>
              </w:rPr>
              <w:t>)</w:t>
            </w:r>
          </w:p>
        </w:tc>
        <w:tc>
          <w:tcPr>
            <w:tcW w:w="808" w:type="dxa"/>
            <w:vAlign w:val="center"/>
          </w:tcPr>
          <w:p w14:paraId="696D2849"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-5.65</w:t>
            </w:r>
          </w:p>
          <w:p w14:paraId="1BAF56C8"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0.00</w:t>
            </w:r>
            <w:r w:rsidRPr="0039778F">
              <w:rPr>
                <w:rFonts w:asciiTheme="majorBidi" w:hAnsiTheme="majorBidi" w:cstheme="majorBidi" w:hint="cs"/>
                <w:b/>
                <w:bCs/>
                <w:rtl/>
                <w:lang w:bidi="ar-EG"/>
              </w:rPr>
              <w:t>)</w:t>
            </w:r>
          </w:p>
        </w:tc>
        <w:tc>
          <w:tcPr>
            <w:tcW w:w="769" w:type="dxa"/>
            <w:vAlign w:val="center"/>
          </w:tcPr>
          <w:p w14:paraId="30A0FD77"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-4.45</w:t>
            </w:r>
          </w:p>
          <w:p w14:paraId="2B288AA9"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0.00</w:t>
            </w:r>
            <w:r w:rsidRPr="0039778F">
              <w:rPr>
                <w:rFonts w:asciiTheme="majorBidi" w:hAnsiTheme="majorBidi" w:cstheme="majorBidi" w:hint="cs"/>
                <w:b/>
                <w:bCs/>
                <w:rtl/>
                <w:lang w:bidi="ar-EG"/>
              </w:rPr>
              <w:t>)</w:t>
            </w:r>
          </w:p>
        </w:tc>
        <w:tc>
          <w:tcPr>
            <w:tcW w:w="848" w:type="dxa"/>
            <w:vAlign w:val="center"/>
          </w:tcPr>
          <w:p w14:paraId="4D5C335C"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I(2)</w:t>
            </w:r>
          </w:p>
        </w:tc>
      </w:tr>
      <w:tr w:rsidR="002959BC" w:rsidRPr="0039778F" w14:paraId="1BB0C8EE" w14:textId="77777777" w:rsidTr="00270E6A">
        <w:trPr>
          <w:jc w:val="center"/>
        </w:trPr>
        <w:tc>
          <w:tcPr>
            <w:tcW w:w="808" w:type="dxa"/>
            <w:vAlign w:val="center"/>
          </w:tcPr>
          <w:p w14:paraId="45402FA8" w14:textId="77777777" w:rsidR="002959BC" w:rsidRPr="0039778F" w:rsidRDefault="002959BC" w:rsidP="00270E6A">
            <w:pPr>
              <w:autoSpaceDE w:val="0"/>
              <w:autoSpaceDN w:val="0"/>
              <w:adjustRightInd w:val="0"/>
              <w:jc w:val="center"/>
              <w:rPr>
                <w:rFonts w:asciiTheme="minorBidi" w:hAnsiTheme="minorBidi"/>
                <w:b/>
                <w:bCs/>
                <w:lang w:bidi="ar-EG"/>
              </w:rPr>
            </w:pPr>
            <w:r w:rsidRPr="0039778F">
              <w:rPr>
                <w:rFonts w:asciiTheme="minorBidi" w:hAnsiTheme="minorBidi"/>
                <w:b/>
                <w:bCs/>
                <w:lang w:bidi="ar-EG"/>
              </w:rPr>
              <w:t>DB</w:t>
            </w:r>
          </w:p>
        </w:tc>
        <w:tc>
          <w:tcPr>
            <w:tcW w:w="808" w:type="dxa"/>
            <w:vAlign w:val="center"/>
          </w:tcPr>
          <w:p w14:paraId="4A711C58"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0.49</w:t>
            </w:r>
          </w:p>
          <w:p w14:paraId="70592D6A"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0.98</w:t>
            </w:r>
            <w:r w:rsidRPr="0039778F">
              <w:rPr>
                <w:rFonts w:asciiTheme="majorBidi" w:hAnsiTheme="majorBidi" w:cstheme="majorBidi" w:hint="cs"/>
                <w:b/>
                <w:bCs/>
                <w:rtl/>
                <w:lang w:bidi="ar-EG"/>
              </w:rPr>
              <w:t>)</w:t>
            </w:r>
          </w:p>
        </w:tc>
        <w:tc>
          <w:tcPr>
            <w:tcW w:w="808" w:type="dxa"/>
            <w:vAlign w:val="center"/>
          </w:tcPr>
          <w:p w14:paraId="2830265B"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-0.99</w:t>
            </w:r>
          </w:p>
          <w:p w14:paraId="5A3C4BCC"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0.92</w:t>
            </w:r>
            <w:r w:rsidRPr="0039778F">
              <w:rPr>
                <w:rFonts w:asciiTheme="majorBidi" w:hAnsiTheme="majorBidi" w:cstheme="majorBidi" w:hint="cs"/>
                <w:b/>
                <w:bCs/>
                <w:rtl/>
                <w:lang w:bidi="ar-EG"/>
              </w:rPr>
              <w:t>)</w:t>
            </w:r>
          </w:p>
        </w:tc>
        <w:tc>
          <w:tcPr>
            <w:tcW w:w="809" w:type="dxa"/>
            <w:vAlign w:val="center"/>
          </w:tcPr>
          <w:p w14:paraId="5634A9AC"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1.19</w:t>
            </w:r>
          </w:p>
          <w:p w14:paraId="3D5E2026"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0.93</w:t>
            </w:r>
            <w:r w:rsidRPr="0039778F">
              <w:rPr>
                <w:rFonts w:asciiTheme="majorBidi" w:hAnsiTheme="majorBidi" w:cstheme="majorBidi" w:hint="cs"/>
                <w:b/>
                <w:bCs/>
                <w:rtl/>
                <w:lang w:bidi="ar-EG"/>
              </w:rPr>
              <w:t>)</w:t>
            </w:r>
          </w:p>
        </w:tc>
        <w:tc>
          <w:tcPr>
            <w:tcW w:w="808" w:type="dxa"/>
            <w:vAlign w:val="center"/>
          </w:tcPr>
          <w:p w14:paraId="5F042486"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-5.34</w:t>
            </w:r>
          </w:p>
          <w:p w14:paraId="3CFA16E6"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0.00</w:t>
            </w:r>
            <w:r w:rsidRPr="0039778F">
              <w:rPr>
                <w:rFonts w:asciiTheme="majorBidi" w:hAnsiTheme="majorBidi" w:cstheme="majorBidi" w:hint="cs"/>
                <w:b/>
                <w:bCs/>
                <w:rtl/>
                <w:lang w:bidi="ar-EG"/>
              </w:rPr>
              <w:t>)</w:t>
            </w:r>
          </w:p>
        </w:tc>
        <w:tc>
          <w:tcPr>
            <w:tcW w:w="808" w:type="dxa"/>
            <w:vAlign w:val="center"/>
          </w:tcPr>
          <w:p w14:paraId="614D56CF"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-6.15</w:t>
            </w:r>
          </w:p>
          <w:p w14:paraId="6F083A8F"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0.00</w:t>
            </w:r>
            <w:r w:rsidRPr="0039778F">
              <w:rPr>
                <w:rFonts w:asciiTheme="majorBidi" w:hAnsiTheme="majorBidi" w:cstheme="majorBidi" w:hint="cs"/>
                <w:b/>
                <w:bCs/>
                <w:rtl/>
                <w:lang w:bidi="ar-EG"/>
              </w:rPr>
              <w:t>)</w:t>
            </w:r>
          </w:p>
        </w:tc>
        <w:tc>
          <w:tcPr>
            <w:tcW w:w="808" w:type="dxa"/>
            <w:vAlign w:val="center"/>
          </w:tcPr>
          <w:p w14:paraId="29BB675A"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-4.86</w:t>
            </w:r>
          </w:p>
          <w:p w14:paraId="1578B4A6"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0.00</w:t>
            </w:r>
            <w:r w:rsidRPr="0039778F">
              <w:rPr>
                <w:rFonts w:asciiTheme="majorBidi" w:hAnsiTheme="majorBidi" w:cstheme="majorBidi" w:hint="cs"/>
                <w:b/>
                <w:bCs/>
                <w:rtl/>
                <w:lang w:bidi="ar-EG"/>
              </w:rPr>
              <w:t>)</w:t>
            </w:r>
          </w:p>
        </w:tc>
        <w:tc>
          <w:tcPr>
            <w:tcW w:w="809" w:type="dxa"/>
            <w:vAlign w:val="center"/>
          </w:tcPr>
          <w:p w14:paraId="52B70CAF"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808" w:type="dxa"/>
            <w:vAlign w:val="center"/>
          </w:tcPr>
          <w:p w14:paraId="536E813F"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769" w:type="dxa"/>
            <w:vAlign w:val="center"/>
          </w:tcPr>
          <w:p w14:paraId="51612866"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848" w:type="dxa"/>
            <w:vAlign w:val="center"/>
          </w:tcPr>
          <w:p w14:paraId="1757BB15"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I(1)</w:t>
            </w:r>
          </w:p>
        </w:tc>
      </w:tr>
      <w:tr w:rsidR="002959BC" w:rsidRPr="0039778F" w14:paraId="6B602873" w14:textId="77777777" w:rsidTr="00270E6A">
        <w:trPr>
          <w:jc w:val="center"/>
        </w:trPr>
        <w:tc>
          <w:tcPr>
            <w:tcW w:w="808" w:type="dxa"/>
            <w:vAlign w:val="center"/>
          </w:tcPr>
          <w:p w14:paraId="6819240E" w14:textId="77777777" w:rsidR="002959BC" w:rsidRPr="0039778F" w:rsidRDefault="002959BC" w:rsidP="00270E6A">
            <w:pPr>
              <w:autoSpaceDE w:val="0"/>
              <w:autoSpaceDN w:val="0"/>
              <w:adjustRightInd w:val="0"/>
              <w:jc w:val="center"/>
              <w:rPr>
                <w:rFonts w:asciiTheme="minorBidi" w:hAnsiTheme="minorBidi"/>
                <w:b/>
                <w:bCs/>
                <w:lang w:bidi="ar-EG"/>
              </w:rPr>
            </w:pPr>
            <w:r w:rsidRPr="0039778F">
              <w:rPr>
                <w:rFonts w:asciiTheme="minorBidi" w:hAnsiTheme="minorBidi"/>
                <w:b/>
                <w:bCs/>
                <w:lang w:bidi="ar-EG"/>
              </w:rPr>
              <w:t>DNB</w:t>
            </w:r>
          </w:p>
        </w:tc>
        <w:tc>
          <w:tcPr>
            <w:tcW w:w="808" w:type="dxa"/>
            <w:vAlign w:val="center"/>
          </w:tcPr>
          <w:p w14:paraId="278925DF"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-0.34</w:t>
            </w:r>
          </w:p>
          <w:p w14:paraId="537EAE5B"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0.90</w:t>
            </w:r>
            <w:r w:rsidRPr="0039778F">
              <w:rPr>
                <w:rFonts w:asciiTheme="majorBidi" w:hAnsiTheme="majorBidi" w:cstheme="majorBidi" w:hint="cs"/>
                <w:b/>
                <w:bCs/>
                <w:rtl/>
                <w:lang w:bidi="ar-EG"/>
              </w:rPr>
              <w:t>)</w:t>
            </w:r>
          </w:p>
        </w:tc>
        <w:tc>
          <w:tcPr>
            <w:tcW w:w="808" w:type="dxa"/>
            <w:vAlign w:val="center"/>
          </w:tcPr>
          <w:p w14:paraId="3DF3CACD"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-4.40</w:t>
            </w:r>
          </w:p>
          <w:p w14:paraId="4CB7E9F9"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0.01</w:t>
            </w:r>
            <w:r w:rsidRPr="0039778F">
              <w:rPr>
                <w:rFonts w:asciiTheme="majorBidi" w:hAnsiTheme="majorBidi" w:cstheme="majorBidi" w:hint="cs"/>
                <w:b/>
                <w:bCs/>
                <w:rtl/>
                <w:lang w:bidi="ar-EG"/>
              </w:rPr>
              <w:t>)</w:t>
            </w:r>
          </w:p>
        </w:tc>
        <w:tc>
          <w:tcPr>
            <w:tcW w:w="809" w:type="dxa"/>
            <w:vAlign w:val="center"/>
          </w:tcPr>
          <w:p w14:paraId="4697C495"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0.66</w:t>
            </w:r>
          </w:p>
          <w:p w14:paraId="475D5AC6"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0.85</w:t>
            </w:r>
            <w:r w:rsidRPr="0039778F">
              <w:rPr>
                <w:rFonts w:asciiTheme="majorBidi" w:hAnsiTheme="majorBidi" w:cstheme="majorBidi" w:hint="cs"/>
                <w:b/>
                <w:bCs/>
                <w:rtl/>
                <w:lang w:bidi="ar-EG"/>
              </w:rPr>
              <w:t>)</w:t>
            </w:r>
          </w:p>
        </w:tc>
        <w:tc>
          <w:tcPr>
            <w:tcW w:w="808" w:type="dxa"/>
            <w:vAlign w:val="center"/>
          </w:tcPr>
          <w:p w14:paraId="6370452E"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808" w:type="dxa"/>
            <w:vAlign w:val="center"/>
          </w:tcPr>
          <w:p w14:paraId="651ADB16"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808" w:type="dxa"/>
            <w:vAlign w:val="center"/>
          </w:tcPr>
          <w:p w14:paraId="5253D1FA"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809" w:type="dxa"/>
            <w:vAlign w:val="center"/>
          </w:tcPr>
          <w:p w14:paraId="74AB4EBD"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808" w:type="dxa"/>
            <w:vAlign w:val="center"/>
          </w:tcPr>
          <w:p w14:paraId="6AF8B094"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769" w:type="dxa"/>
            <w:vAlign w:val="center"/>
          </w:tcPr>
          <w:p w14:paraId="619B0AC9"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848" w:type="dxa"/>
            <w:vAlign w:val="center"/>
          </w:tcPr>
          <w:p w14:paraId="13F9A5F3"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I(0)</w:t>
            </w:r>
          </w:p>
        </w:tc>
      </w:tr>
      <w:tr w:rsidR="002959BC" w:rsidRPr="0039778F" w14:paraId="570AEE4A" w14:textId="77777777" w:rsidTr="00270E6A">
        <w:trPr>
          <w:jc w:val="center"/>
        </w:trPr>
        <w:tc>
          <w:tcPr>
            <w:tcW w:w="808" w:type="dxa"/>
            <w:vAlign w:val="center"/>
          </w:tcPr>
          <w:p w14:paraId="62FCC76D" w14:textId="77777777" w:rsidR="002959BC" w:rsidRPr="0039778F" w:rsidRDefault="002959BC" w:rsidP="00270E6A">
            <w:pPr>
              <w:autoSpaceDE w:val="0"/>
              <w:autoSpaceDN w:val="0"/>
              <w:adjustRightInd w:val="0"/>
              <w:jc w:val="center"/>
              <w:rPr>
                <w:rFonts w:asciiTheme="minorBidi" w:hAnsiTheme="minorBidi"/>
                <w:b/>
                <w:bCs/>
                <w:rtl/>
                <w:lang w:bidi="ar-EG"/>
              </w:rPr>
            </w:pPr>
            <w:r w:rsidRPr="0039778F">
              <w:rPr>
                <w:rFonts w:asciiTheme="minorBidi" w:hAnsiTheme="minorBidi"/>
                <w:b/>
                <w:bCs/>
                <w:lang w:bidi="ar-EG"/>
              </w:rPr>
              <w:t>XF</w:t>
            </w:r>
          </w:p>
        </w:tc>
        <w:tc>
          <w:tcPr>
            <w:tcW w:w="808" w:type="dxa"/>
            <w:vAlign w:val="center"/>
          </w:tcPr>
          <w:p w14:paraId="167B7FFC"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-2.61</w:t>
            </w:r>
          </w:p>
          <w:p w14:paraId="1AE9A2CB"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0.10</w:t>
            </w:r>
            <w:r w:rsidRPr="0039778F">
              <w:rPr>
                <w:rFonts w:asciiTheme="majorBidi" w:hAnsiTheme="majorBidi" w:cstheme="majorBidi" w:hint="cs"/>
                <w:b/>
                <w:bCs/>
                <w:rtl/>
                <w:lang w:bidi="ar-EG"/>
              </w:rPr>
              <w:t>)</w:t>
            </w:r>
          </w:p>
        </w:tc>
        <w:tc>
          <w:tcPr>
            <w:tcW w:w="808" w:type="dxa"/>
            <w:vAlign w:val="center"/>
          </w:tcPr>
          <w:p w14:paraId="1016FAB9"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-4.26</w:t>
            </w:r>
          </w:p>
          <w:p w14:paraId="5C9D4ECA"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0.01</w:t>
            </w:r>
            <w:r w:rsidRPr="0039778F">
              <w:rPr>
                <w:rFonts w:asciiTheme="majorBidi" w:hAnsiTheme="majorBidi" w:cstheme="majorBidi" w:hint="cs"/>
                <w:b/>
                <w:bCs/>
                <w:rtl/>
                <w:lang w:bidi="ar-EG"/>
              </w:rPr>
              <w:t>)</w:t>
            </w:r>
          </w:p>
        </w:tc>
        <w:tc>
          <w:tcPr>
            <w:tcW w:w="809" w:type="dxa"/>
            <w:vAlign w:val="center"/>
          </w:tcPr>
          <w:p w14:paraId="19E49572"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-1.96</w:t>
            </w:r>
          </w:p>
          <w:p w14:paraId="7145E5C4"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0.00</w:t>
            </w:r>
            <w:r w:rsidRPr="0039778F">
              <w:rPr>
                <w:rFonts w:asciiTheme="majorBidi" w:hAnsiTheme="majorBidi" w:cstheme="majorBidi" w:hint="cs"/>
                <w:b/>
                <w:bCs/>
                <w:rtl/>
                <w:lang w:bidi="ar-EG"/>
              </w:rPr>
              <w:t>)</w:t>
            </w:r>
          </w:p>
        </w:tc>
        <w:tc>
          <w:tcPr>
            <w:tcW w:w="808" w:type="dxa"/>
            <w:vAlign w:val="center"/>
          </w:tcPr>
          <w:p w14:paraId="218C889D"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808" w:type="dxa"/>
            <w:vAlign w:val="center"/>
          </w:tcPr>
          <w:p w14:paraId="2761C4FB"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808" w:type="dxa"/>
            <w:vAlign w:val="center"/>
          </w:tcPr>
          <w:p w14:paraId="6CCE91C5"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809" w:type="dxa"/>
            <w:vAlign w:val="center"/>
          </w:tcPr>
          <w:p w14:paraId="4BBB226F"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808" w:type="dxa"/>
            <w:vAlign w:val="center"/>
          </w:tcPr>
          <w:p w14:paraId="6524DD81"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769" w:type="dxa"/>
            <w:vAlign w:val="center"/>
          </w:tcPr>
          <w:p w14:paraId="52528E41"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848" w:type="dxa"/>
            <w:vAlign w:val="center"/>
          </w:tcPr>
          <w:p w14:paraId="44283F23"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I(0)</w:t>
            </w:r>
          </w:p>
        </w:tc>
      </w:tr>
      <w:tr w:rsidR="002959BC" w:rsidRPr="0039778F" w14:paraId="1F7A36DE" w14:textId="77777777" w:rsidTr="00270E6A">
        <w:trPr>
          <w:jc w:val="center"/>
        </w:trPr>
        <w:tc>
          <w:tcPr>
            <w:tcW w:w="808" w:type="dxa"/>
            <w:vAlign w:val="center"/>
          </w:tcPr>
          <w:p w14:paraId="59647F26" w14:textId="77777777" w:rsidR="002959BC" w:rsidRPr="0039778F" w:rsidRDefault="002959BC" w:rsidP="00270E6A">
            <w:pPr>
              <w:autoSpaceDE w:val="0"/>
              <w:autoSpaceDN w:val="0"/>
              <w:adjustRightInd w:val="0"/>
              <w:jc w:val="center"/>
              <w:rPr>
                <w:rFonts w:asciiTheme="minorBidi" w:hAnsiTheme="minorBidi"/>
                <w:b/>
                <w:bCs/>
                <w:rtl/>
                <w:lang w:bidi="ar-EG"/>
              </w:rPr>
            </w:pPr>
            <w:r w:rsidRPr="0039778F">
              <w:rPr>
                <w:rFonts w:asciiTheme="minorBidi" w:hAnsiTheme="minorBidi"/>
                <w:b/>
                <w:bCs/>
                <w:lang w:bidi="ar-EG"/>
              </w:rPr>
              <w:t>XP</w:t>
            </w:r>
          </w:p>
        </w:tc>
        <w:tc>
          <w:tcPr>
            <w:tcW w:w="808" w:type="dxa"/>
            <w:vAlign w:val="center"/>
          </w:tcPr>
          <w:p w14:paraId="7F6EAEB7"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-0.31</w:t>
            </w:r>
          </w:p>
          <w:p w14:paraId="5431A17C"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0.90</w:t>
            </w:r>
            <w:r w:rsidRPr="0039778F">
              <w:rPr>
                <w:rFonts w:asciiTheme="majorBidi" w:hAnsiTheme="majorBidi" w:cstheme="majorBidi" w:hint="cs"/>
                <w:b/>
                <w:bCs/>
                <w:rtl/>
                <w:lang w:bidi="ar-EG"/>
              </w:rPr>
              <w:t>)</w:t>
            </w:r>
          </w:p>
        </w:tc>
        <w:tc>
          <w:tcPr>
            <w:tcW w:w="808" w:type="dxa"/>
            <w:vAlign w:val="center"/>
          </w:tcPr>
          <w:p w14:paraId="0F0CE765"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-2.29</w:t>
            </w:r>
          </w:p>
          <w:p w14:paraId="7D15BCE5"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0.41</w:t>
            </w:r>
            <w:r w:rsidRPr="0039778F">
              <w:rPr>
                <w:rFonts w:asciiTheme="majorBidi" w:hAnsiTheme="majorBidi" w:cstheme="majorBidi" w:hint="cs"/>
                <w:b/>
                <w:bCs/>
                <w:rtl/>
                <w:lang w:bidi="ar-EG"/>
              </w:rPr>
              <w:t>)</w:t>
            </w:r>
          </w:p>
        </w:tc>
        <w:tc>
          <w:tcPr>
            <w:tcW w:w="809" w:type="dxa"/>
            <w:vAlign w:val="center"/>
          </w:tcPr>
          <w:p w14:paraId="45FC87AA"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1.50</w:t>
            </w:r>
          </w:p>
          <w:p w14:paraId="03ED62F2"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0.96</w:t>
            </w:r>
            <w:r w:rsidRPr="0039778F">
              <w:rPr>
                <w:rFonts w:asciiTheme="majorBidi" w:hAnsiTheme="majorBidi" w:cstheme="majorBidi" w:hint="cs"/>
                <w:b/>
                <w:bCs/>
                <w:rtl/>
                <w:lang w:bidi="ar-EG"/>
              </w:rPr>
              <w:t>)</w:t>
            </w:r>
          </w:p>
        </w:tc>
        <w:tc>
          <w:tcPr>
            <w:tcW w:w="808" w:type="dxa"/>
            <w:vAlign w:val="center"/>
          </w:tcPr>
          <w:p w14:paraId="44F99DC1"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-3.86</w:t>
            </w:r>
          </w:p>
          <w:p w14:paraId="3725C5A9"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0.00</w:t>
            </w:r>
            <w:r w:rsidRPr="0039778F">
              <w:rPr>
                <w:rFonts w:asciiTheme="majorBidi" w:hAnsiTheme="majorBidi" w:cstheme="majorBidi" w:hint="cs"/>
                <w:b/>
                <w:bCs/>
                <w:rtl/>
                <w:lang w:bidi="ar-EG"/>
              </w:rPr>
              <w:t>)</w:t>
            </w:r>
          </w:p>
        </w:tc>
        <w:tc>
          <w:tcPr>
            <w:tcW w:w="808" w:type="dxa"/>
            <w:vAlign w:val="center"/>
          </w:tcPr>
          <w:p w14:paraId="3F1CC859"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-3.74</w:t>
            </w:r>
          </w:p>
          <w:p w14:paraId="4E3EE402"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0.03</w:t>
            </w:r>
            <w:r w:rsidRPr="0039778F">
              <w:rPr>
                <w:rFonts w:asciiTheme="majorBidi" w:hAnsiTheme="majorBidi" w:cstheme="majorBidi" w:hint="cs"/>
                <w:b/>
                <w:bCs/>
                <w:rtl/>
                <w:lang w:bidi="ar-EG"/>
              </w:rPr>
              <w:t>)</w:t>
            </w:r>
          </w:p>
        </w:tc>
        <w:tc>
          <w:tcPr>
            <w:tcW w:w="808" w:type="dxa"/>
            <w:vAlign w:val="center"/>
          </w:tcPr>
          <w:p w14:paraId="5DBE0D39"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-3.48</w:t>
            </w:r>
          </w:p>
          <w:p w14:paraId="5F0E1E25"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0.00</w:t>
            </w:r>
            <w:r w:rsidRPr="0039778F">
              <w:rPr>
                <w:rFonts w:asciiTheme="majorBidi" w:hAnsiTheme="majorBidi" w:cstheme="majorBidi" w:hint="cs"/>
                <w:b/>
                <w:bCs/>
                <w:rtl/>
                <w:lang w:bidi="ar-EG"/>
              </w:rPr>
              <w:t>)</w:t>
            </w:r>
          </w:p>
        </w:tc>
        <w:tc>
          <w:tcPr>
            <w:tcW w:w="809" w:type="dxa"/>
            <w:vAlign w:val="center"/>
          </w:tcPr>
          <w:p w14:paraId="3BA7547F"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808" w:type="dxa"/>
            <w:vAlign w:val="center"/>
          </w:tcPr>
          <w:p w14:paraId="1D616AEC"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769" w:type="dxa"/>
            <w:vAlign w:val="center"/>
          </w:tcPr>
          <w:p w14:paraId="3D4FB0F5"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848" w:type="dxa"/>
            <w:vAlign w:val="center"/>
          </w:tcPr>
          <w:p w14:paraId="35447CF3"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I(1)</w:t>
            </w:r>
          </w:p>
        </w:tc>
      </w:tr>
      <w:tr w:rsidR="002959BC" w:rsidRPr="0039778F" w14:paraId="26600EFA" w14:textId="77777777" w:rsidTr="00270E6A">
        <w:trPr>
          <w:jc w:val="center"/>
        </w:trPr>
        <w:tc>
          <w:tcPr>
            <w:tcW w:w="808" w:type="dxa"/>
            <w:vAlign w:val="center"/>
          </w:tcPr>
          <w:p w14:paraId="2E97AC28" w14:textId="77777777" w:rsidR="002959BC" w:rsidRPr="0039778F" w:rsidRDefault="002959BC" w:rsidP="00270E6A">
            <w:pPr>
              <w:autoSpaceDE w:val="0"/>
              <w:autoSpaceDN w:val="0"/>
              <w:adjustRightInd w:val="0"/>
              <w:jc w:val="center"/>
              <w:rPr>
                <w:rFonts w:asciiTheme="minorBidi" w:hAnsiTheme="minorBidi"/>
                <w:b/>
                <w:bCs/>
                <w:lang w:bidi="ar-EG"/>
              </w:rPr>
            </w:pPr>
            <w:r w:rsidRPr="0039778F">
              <w:rPr>
                <w:rFonts w:asciiTheme="minorBidi" w:hAnsiTheme="minorBidi"/>
                <w:b/>
                <w:bCs/>
                <w:lang w:bidi="ar-EG"/>
              </w:rPr>
              <w:t>M</w:t>
            </w:r>
            <w:r>
              <w:rPr>
                <w:rFonts w:asciiTheme="minorBidi" w:hAnsiTheme="minorBidi"/>
                <w:b/>
                <w:bCs/>
                <w:lang w:bidi="ar-EG"/>
              </w:rPr>
              <w:t>2</w:t>
            </w:r>
          </w:p>
        </w:tc>
        <w:tc>
          <w:tcPr>
            <w:tcW w:w="808" w:type="dxa"/>
            <w:vAlign w:val="center"/>
          </w:tcPr>
          <w:p w14:paraId="0BB43547"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-4.45</w:t>
            </w:r>
          </w:p>
          <w:p w14:paraId="1B6CA7DB"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0.00</w:t>
            </w:r>
            <w:r w:rsidRPr="0039778F">
              <w:rPr>
                <w:rFonts w:asciiTheme="majorBidi" w:hAnsiTheme="majorBidi" w:cstheme="majorBidi" w:hint="cs"/>
                <w:b/>
                <w:bCs/>
                <w:rtl/>
                <w:lang w:bidi="ar-EG"/>
              </w:rPr>
              <w:t>)</w:t>
            </w:r>
          </w:p>
        </w:tc>
        <w:tc>
          <w:tcPr>
            <w:tcW w:w="808" w:type="dxa"/>
            <w:vAlign w:val="center"/>
          </w:tcPr>
          <w:p w14:paraId="327045D7"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-4.95</w:t>
            </w:r>
          </w:p>
          <w:p w14:paraId="1834154F"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0.00</w:t>
            </w:r>
            <w:r w:rsidRPr="0039778F">
              <w:rPr>
                <w:rFonts w:asciiTheme="majorBidi" w:hAnsiTheme="majorBidi" w:cstheme="majorBidi" w:hint="cs"/>
                <w:b/>
                <w:bCs/>
                <w:rtl/>
                <w:lang w:bidi="ar-EG"/>
              </w:rPr>
              <w:t>)</w:t>
            </w:r>
          </w:p>
        </w:tc>
        <w:tc>
          <w:tcPr>
            <w:tcW w:w="809" w:type="dxa"/>
            <w:vAlign w:val="center"/>
          </w:tcPr>
          <w:p w14:paraId="21224720"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0.54</w:t>
            </w:r>
          </w:p>
          <w:p w14:paraId="3B0F5EC8"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0.82</w:t>
            </w:r>
            <w:r w:rsidRPr="0039778F">
              <w:rPr>
                <w:rFonts w:asciiTheme="majorBidi" w:hAnsiTheme="majorBidi" w:cstheme="majorBidi" w:hint="cs"/>
                <w:b/>
                <w:bCs/>
                <w:rtl/>
                <w:lang w:bidi="ar-EG"/>
              </w:rPr>
              <w:t>)</w:t>
            </w:r>
          </w:p>
        </w:tc>
        <w:tc>
          <w:tcPr>
            <w:tcW w:w="808" w:type="dxa"/>
            <w:vAlign w:val="center"/>
          </w:tcPr>
          <w:p w14:paraId="57B3F56C"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808" w:type="dxa"/>
            <w:vAlign w:val="center"/>
          </w:tcPr>
          <w:p w14:paraId="2DDB171D"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808" w:type="dxa"/>
            <w:vAlign w:val="center"/>
          </w:tcPr>
          <w:p w14:paraId="49127612"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809" w:type="dxa"/>
            <w:vAlign w:val="center"/>
          </w:tcPr>
          <w:p w14:paraId="644875C4"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808" w:type="dxa"/>
            <w:vAlign w:val="center"/>
          </w:tcPr>
          <w:p w14:paraId="4ADAC941"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769" w:type="dxa"/>
            <w:vAlign w:val="center"/>
          </w:tcPr>
          <w:p w14:paraId="46678F6A"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848" w:type="dxa"/>
            <w:vAlign w:val="center"/>
          </w:tcPr>
          <w:p w14:paraId="0DF5B652"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I(0)</w:t>
            </w:r>
          </w:p>
        </w:tc>
      </w:tr>
      <w:tr w:rsidR="002959BC" w:rsidRPr="0039778F" w14:paraId="512C1333" w14:textId="77777777" w:rsidTr="00270E6A">
        <w:trPr>
          <w:jc w:val="center"/>
        </w:trPr>
        <w:tc>
          <w:tcPr>
            <w:tcW w:w="808" w:type="dxa"/>
            <w:vAlign w:val="center"/>
          </w:tcPr>
          <w:p w14:paraId="4E2B6695" w14:textId="77777777" w:rsidR="002959BC" w:rsidRPr="0039778F" w:rsidRDefault="002959BC" w:rsidP="00270E6A">
            <w:pPr>
              <w:autoSpaceDE w:val="0"/>
              <w:autoSpaceDN w:val="0"/>
              <w:adjustRightInd w:val="0"/>
              <w:jc w:val="center"/>
              <w:rPr>
                <w:rFonts w:asciiTheme="minorBidi" w:hAnsiTheme="minorBidi"/>
                <w:b/>
                <w:bCs/>
                <w:lang w:bidi="ar-EG"/>
              </w:rPr>
            </w:pPr>
            <w:r w:rsidRPr="0039778F">
              <w:rPr>
                <w:rFonts w:asciiTheme="minorBidi" w:hAnsiTheme="minorBidi"/>
                <w:b/>
                <w:bCs/>
                <w:lang w:bidi="ar-EG"/>
              </w:rPr>
              <w:t>EX</w:t>
            </w:r>
          </w:p>
        </w:tc>
        <w:tc>
          <w:tcPr>
            <w:tcW w:w="808" w:type="dxa"/>
            <w:vAlign w:val="center"/>
          </w:tcPr>
          <w:p w14:paraId="720B5331"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1.28</w:t>
            </w:r>
          </w:p>
          <w:p w14:paraId="378382AD"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0.99</w:t>
            </w:r>
            <w:r w:rsidRPr="0039778F">
              <w:rPr>
                <w:rFonts w:asciiTheme="majorBidi" w:hAnsiTheme="majorBidi" w:cstheme="majorBidi" w:hint="cs"/>
                <w:b/>
                <w:bCs/>
                <w:rtl/>
                <w:lang w:bidi="ar-EG"/>
              </w:rPr>
              <w:t>)</w:t>
            </w:r>
          </w:p>
        </w:tc>
        <w:tc>
          <w:tcPr>
            <w:tcW w:w="808" w:type="dxa"/>
            <w:vAlign w:val="center"/>
          </w:tcPr>
          <w:p w14:paraId="4B38F4B3"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-0.82</w:t>
            </w:r>
          </w:p>
          <w:p w14:paraId="6310464D"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0.94</w:t>
            </w:r>
            <w:r w:rsidRPr="0039778F">
              <w:rPr>
                <w:rFonts w:asciiTheme="majorBidi" w:hAnsiTheme="majorBidi" w:cstheme="majorBidi" w:hint="cs"/>
                <w:b/>
                <w:bCs/>
                <w:rtl/>
                <w:lang w:bidi="ar-EG"/>
              </w:rPr>
              <w:t>)</w:t>
            </w:r>
          </w:p>
        </w:tc>
        <w:tc>
          <w:tcPr>
            <w:tcW w:w="809" w:type="dxa"/>
            <w:vAlign w:val="center"/>
          </w:tcPr>
          <w:p w14:paraId="0265D88F"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1.63</w:t>
            </w:r>
          </w:p>
          <w:p w14:paraId="18319E99"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0.97</w:t>
            </w:r>
            <w:r w:rsidRPr="0039778F">
              <w:rPr>
                <w:rFonts w:asciiTheme="majorBidi" w:hAnsiTheme="majorBidi" w:cstheme="majorBidi" w:hint="cs"/>
                <w:b/>
                <w:bCs/>
                <w:rtl/>
                <w:lang w:bidi="ar-EG"/>
              </w:rPr>
              <w:t>)</w:t>
            </w:r>
          </w:p>
        </w:tc>
        <w:tc>
          <w:tcPr>
            <w:tcW w:w="808" w:type="dxa"/>
            <w:vAlign w:val="center"/>
          </w:tcPr>
          <w:p w14:paraId="429E1359"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-1.17</w:t>
            </w:r>
          </w:p>
          <w:p w14:paraId="45591DEA"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0.66</w:t>
            </w:r>
            <w:r w:rsidRPr="0039778F">
              <w:rPr>
                <w:rFonts w:asciiTheme="majorBidi" w:hAnsiTheme="majorBidi" w:cstheme="majorBidi" w:hint="cs"/>
                <w:b/>
                <w:bCs/>
                <w:rtl/>
                <w:lang w:bidi="ar-EG"/>
              </w:rPr>
              <w:t>)</w:t>
            </w:r>
          </w:p>
        </w:tc>
        <w:tc>
          <w:tcPr>
            <w:tcW w:w="808" w:type="dxa"/>
            <w:vAlign w:val="center"/>
          </w:tcPr>
          <w:p w14:paraId="06DD7905"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-1.60</w:t>
            </w:r>
          </w:p>
          <w:p w14:paraId="79787494"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0.75</w:t>
            </w:r>
            <w:r w:rsidRPr="0039778F">
              <w:rPr>
                <w:rFonts w:asciiTheme="majorBidi" w:hAnsiTheme="majorBidi" w:cstheme="majorBidi" w:hint="cs"/>
                <w:b/>
                <w:bCs/>
                <w:rtl/>
                <w:lang w:bidi="ar-EG"/>
              </w:rPr>
              <w:t>)</w:t>
            </w:r>
          </w:p>
        </w:tc>
        <w:tc>
          <w:tcPr>
            <w:tcW w:w="808" w:type="dxa"/>
            <w:vAlign w:val="center"/>
          </w:tcPr>
          <w:p w14:paraId="1D1D41B6" w14:textId="77777777" w:rsidR="002959BC" w:rsidRPr="0039778F" w:rsidRDefault="002959BC" w:rsidP="00270E6A">
            <w:pPr>
              <w:autoSpaceDE w:val="0"/>
              <w:autoSpaceDN w:val="0"/>
              <w:adjustRightInd w:val="0"/>
              <w:jc w:val="center"/>
              <w:rPr>
                <w:rFonts w:asciiTheme="majorBidi" w:hAnsiTheme="majorBidi" w:cstheme="majorBidi"/>
                <w:b/>
                <w:bCs/>
                <w:lang w:bidi="ar-EG"/>
              </w:rPr>
            </w:pPr>
            <w:r w:rsidRPr="0039778F">
              <w:rPr>
                <w:rFonts w:asciiTheme="majorBidi" w:hAnsiTheme="majorBidi" w:cstheme="majorBidi"/>
                <w:b/>
                <w:bCs/>
                <w:lang w:bidi="ar-EG"/>
              </w:rPr>
              <w:t>-0.64</w:t>
            </w:r>
          </w:p>
          <w:p w14:paraId="066EA4FC"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0.42</w:t>
            </w:r>
            <w:r w:rsidRPr="0039778F">
              <w:rPr>
                <w:rFonts w:asciiTheme="majorBidi" w:hAnsiTheme="majorBidi" w:cstheme="majorBidi" w:hint="cs"/>
                <w:b/>
                <w:bCs/>
                <w:rtl/>
                <w:lang w:bidi="ar-EG"/>
              </w:rPr>
              <w:t>)</w:t>
            </w:r>
          </w:p>
        </w:tc>
        <w:tc>
          <w:tcPr>
            <w:tcW w:w="809" w:type="dxa"/>
            <w:vAlign w:val="center"/>
          </w:tcPr>
          <w:p w14:paraId="5DBBFE0F"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-4.02</w:t>
            </w:r>
          </w:p>
          <w:p w14:paraId="100E6D3A"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0.00</w:t>
            </w:r>
            <w:r w:rsidRPr="0039778F">
              <w:rPr>
                <w:rFonts w:asciiTheme="majorBidi" w:hAnsiTheme="majorBidi" w:cstheme="majorBidi" w:hint="cs"/>
                <w:b/>
                <w:bCs/>
                <w:rtl/>
                <w:lang w:bidi="ar-EG"/>
              </w:rPr>
              <w:t>)</w:t>
            </w:r>
          </w:p>
        </w:tc>
        <w:tc>
          <w:tcPr>
            <w:tcW w:w="808" w:type="dxa"/>
            <w:vAlign w:val="center"/>
          </w:tcPr>
          <w:p w14:paraId="14811381"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-4.17</w:t>
            </w:r>
          </w:p>
          <w:p w14:paraId="36D5EFA4"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0.01</w:t>
            </w:r>
            <w:r w:rsidRPr="0039778F">
              <w:rPr>
                <w:rFonts w:asciiTheme="majorBidi" w:hAnsiTheme="majorBidi" w:cstheme="majorBidi" w:hint="cs"/>
                <w:b/>
                <w:bCs/>
                <w:rtl/>
                <w:lang w:bidi="ar-EG"/>
              </w:rPr>
              <w:t>)</w:t>
            </w:r>
          </w:p>
        </w:tc>
        <w:tc>
          <w:tcPr>
            <w:tcW w:w="769" w:type="dxa"/>
            <w:vAlign w:val="center"/>
          </w:tcPr>
          <w:p w14:paraId="48572DC3"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-3.99</w:t>
            </w:r>
          </w:p>
          <w:p w14:paraId="53835ABF"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0.00</w:t>
            </w:r>
            <w:r w:rsidRPr="0039778F">
              <w:rPr>
                <w:rFonts w:asciiTheme="majorBidi" w:hAnsiTheme="majorBidi" w:cstheme="majorBidi" w:hint="cs"/>
                <w:b/>
                <w:bCs/>
                <w:rtl/>
                <w:lang w:bidi="ar-EG"/>
              </w:rPr>
              <w:t>)</w:t>
            </w:r>
          </w:p>
        </w:tc>
        <w:tc>
          <w:tcPr>
            <w:tcW w:w="848" w:type="dxa"/>
            <w:vAlign w:val="center"/>
          </w:tcPr>
          <w:p w14:paraId="713D211C"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I(2)</w:t>
            </w:r>
          </w:p>
        </w:tc>
      </w:tr>
      <w:tr w:rsidR="002959BC" w:rsidRPr="0039778F" w14:paraId="5B00A880" w14:textId="77777777" w:rsidTr="00270E6A">
        <w:trPr>
          <w:jc w:val="center"/>
        </w:trPr>
        <w:tc>
          <w:tcPr>
            <w:tcW w:w="808" w:type="dxa"/>
            <w:vAlign w:val="center"/>
          </w:tcPr>
          <w:p w14:paraId="22E97840" w14:textId="77777777" w:rsidR="002959BC" w:rsidRPr="0039778F" w:rsidRDefault="002959BC" w:rsidP="00270E6A">
            <w:pPr>
              <w:autoSpaceDE w:val="0"/>
              <w:autoSpaceDN w:val="0"/>
              <w:adjustRightInd w:val="0"/>
              <w:jc w:val="center"/>
              <w:rPr>
                <w:rFonts w:asciiTheme="minorBidi" w:hAnsiTheme="minorBidi"/>
                <w:b/>
                <w:bCs/>
                <w:lang w:bidi="ar-EG"/>
              </w:rPr>
            </w:pPr>
            <w:r w:rsidRPr="0039778F">
              <w:rPr>
                <w:rFonts w:asciiTheme="minorBidi" w:hAnsiTheme="minorBidi"/>
                <w:b/>
                <w:bCs/>
                <w:lang w:bidi="ar-EG"/>
              </w:rPr>
              <w:t>PS</w:t>
            </w:r>
          </w:p>
        </w:tc>
        <w:tc>
          <w:tcPr>
            <w:tcW w:w="808" w:type="dxa"/>
            <w:vAlign w:val="center"/>
          </w:tcPr>
          <w:p w14:paraId="71B6F83A"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-3.26</w:t>
            </w:r>
          </w:p>
          <w:p w14:paraId="135DC621"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0.02</w:t>
            </w:r>
            <w:r w:rsidRPr="0039778F">
              <w:rPr>
                <w:rFonts w:asciiTheme="majorBidi" w:hAnsiTheme="majorBidi" w:cstheme="majorBidi" w:hint="cs"/>
                <w:b/>
                <w:bCs/>
                <w:rtl/>
                <w:lang w:bidi="ar-EG"/>
              </w:rPr>
              <w:t>)</w:t>
            </w:r>
          </w:p>
        </w:tc>
        <w:tc>
          <w:tcPr>
            <w:tcW w:w="808" w:type="dxa"/>
            <w:vAlign w:val="center"/>
          </w:tcPr>
          <w:p w14:paraId="0F86999D"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-4.15</w:t>
            </w:r>
          </w:p>
          <w:p w14:paraId="39BFC34C"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0.01</w:t>
            </w:r>
            <w:r w:rsidRPr="0039778F">
              <w:rPr>
                <w:rFonts w:asciiTheme="majorBidi" w:hAnsiTheme="majorBidi" w:cstheme="majorBidi" w:hint="cs"/>
                <w:b/>
                <w:bCs/>
                <w:rtl/>
                <w:lang w:bidi="ar-EG"/>
              </w:rPr>
              <w:t>)</w:t>
            </w:r>
          </w:p>
        </w:tc>
        <w:tc>
          <w:tcPr>
            <w:tcW w:w="809" w:type="dxa"/>
            <w:vAlign w:val="center"/>
          </w:tcPr>
          <w:p w14:paraId="0CB41B58"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-1.85</w:t>
            </w:r>
          </w:p>
          <w:p w14:paraId="7489C58C"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hint="cs"/>
                <w:b/>
                <w:bCs/>
                <w:rtl/>
                <w:lang w:bidi="ar-EG"/>
              </w:rPr>
              <w:t>(</w:t>
            </w:r>
            <w:r w:rsidRPr="0039778F">
              <w:rPr>
                <w:rFonts w:asciiTheme="majorBidi" w:hAnsiTheme="majorBidi" w:cstheme="majorBidi"/>
                <w:b/>
                <w:bCs/>
                <w:lang w:bidi="ar-EG"/>
              </w:rPr>
              <w:t>0.06</w:t>
            </w:r>
            <w:r w:rsidRPr="0039778F">
              <w:rPr>
                <w:rFonts w:asciiTheme="majorBidi" w:hAnsiTheme="majorBidi" w:cstheme="majorBidi" w:hint="cs"/>
                <w:b/>
                <w:bCs/>
                <w:rtl/>
                <w:lang w:bidi="ar-EG"/>
              </w:rPr>
              <w:t>)</w:t>
            </w:r>
          </w:p>
        </w:tc>
        <w:tc>
          <w:tcPr>
            <w:tcW w:w="808" w:type="dxa"/>
            <w:vAlign w:val="center"/>
          </w:tcPr>
          <w:p w14:paraId="646C901B"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808" w:type="dxa"/>
            <w:vAlign w:val="center"/>
          </w:tcPr>
          <w:p w14:paraId="33E14C94"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808" w:type="dxa"/>
            <w:vAlign w:val="center"/>
          </w:tcPr>
          <w:p w14:paraId="65438B67"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809" w:type="dxa"/>
            <w:vAlign w:val="center"/>
          </w:tcPr>
          <w:p w14:paraId="6B47CCC0"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808" w:type="dxa"/>
            <w:vAlign w:val="center"/>
          </w:tcPr>
          <w:p w14:paraId="3C86D5E4"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769" w:type="dxa"/>
            <w:vAlign w:val="center"/>
          </w:tcPr>
          <w:p w14:paraId="1BC85449"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w:t>
            </w:r>
          </w:p>
        </w:tc>
        <w:tc>
          <w:tcPr>
            <w:tcW w:w="848" w:type="dxa"/>
            <w:vAlign w:val="center"/>
          </w:tcPr>
          <w:p w14:paraId="6F5640CB" w14:textId="77777777" w:rsidR="002959BC" w:rsidRPr="0039778F" w:rsidRDefault="002959BC" w:rsidP="00270E6A">
            <w:pPr>
              <w:autoSpaceDE w:val="0"/>
              <w:autoSpaceDN w:val="0"/>
              <w:adjustRightInd w:val="0"/>
              <w:jc w:val="center"/>
              <w:rPr>
                <w:rFonts w:asciiTheme="majorBidi" w:hAnsiTheme="majorBidi" w:cstheme="majorBidi"/>
                <w:b/>
                <w:bCs/>
                <w:rtl/>
                <w:lang w:bidi="ar-EG"/>
              </w:rPr>
            </w:pPr>
            <w:r w:rsidRPr="0039778F">
              <w:rPr>
                <w:rFonts w:asciiTheme="majorBidi" w:hAnsiTheme="majorBidi" w:cstheme="majorBidi"/>
                <w:b/>
                <w:bCs/>
                <w:lang w:bidi="ar-EG"/>
              </w:rPr>
              <w:t>I(0)</w:t>
            </w:r>
          </w:p>
        </w:tc>
      </w:tr>
    </w:tbl>
    <w:p w14:paraId="434D20F9" w14:textId="77777777" w:rsidR="002959BC" w:rsidRPr="00884538" w:rsidRDefault="002959BC" w:rsidP="002959BC">
      <w:pPr>
        <w:autoSpaceDE w:val="0"/>
        <w:autoSpaceDN w:val="0"/>
        <w:adjustRightInd w:val="0"/>
        <w:jc w:val="both"/>
        <w:rPr>
          <w:rFonts w:ascii="Simplified Arabic" w:hAnsi="Simplified Arabic" w:cs="Simplified Arabic"/>
          <w:rtl/>
        </w:rPr>
      </w:pPr>
      <w:r w:rsidRPr="00884538">
        <w:rPr>
          <w:rFonts w:ascii="Simplified Arabic" w:hAnsi="Simplified Arabic" w:cs="Simplified Arabic"/>
          <w:rtl/>
        </w:rPr>
        <w:t xml:space="preserve">المصدر: من إعداد الباحث بالاعتماد على بيانات الجدول رقم (4-5) من الملحق الإحصائي وباستخدام برنامج </w:t>
      </w:r>
      <w:r w:rsidRPr="00884538">
        <w:rPr>
          <w:rFonts w:ascii="Simplified Arabic" w:hAnsi="Simplified Arabic" w:cs="Simplified Arabic"/>
        </w:rPr>
        <w:t>EViews 10</w:t>
      </w:r>
      <w:r w:rsidRPr="00884538">
        <w:rPr>
          <w:rFonts w:ascii="Simplified Arabic" w:hAnsi="Simplified Arabic" w:cs="Simplified Arabic"/>
          <w:rtl/>
        </w:rPr>
        <w:t>.</w:t>
      </w:r>
    </w:p>
    <w:p w14:paraId="00F6CE92" w14:textId="77777777" w:rsidR="002959BC" w:rsidRPr="006043FE" w:rsidRDefault="002959BC" w:rsidP="002959BC">
      <w:pPr>
        <w:spacing w:line="216" w:lineRule="auto"/>
        <w:ind w:firstLine="28"/>
        <w:jc w:val="both"/>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وكما يتضح من الجدول رقم (3-2) فإنه:</w:t>
      </w:r>
    </w:p>
    <w:p w14:paraId="175F6FEA" w14:textId="77777777" w:rsidR="002959BC" w:rsidRPr="006043FE" w:rsidRDefault="002959BC" w:rsidP="0041332D">
      <w:pPr>
        <w:pStyle w:val="ListParagraph"/>
        <w:numPr>
          <w:ilvl w:val="0"/>
          <w:numId w:val="37"/>
        </w:numPr>
        <w:spacing w:after="0" w:line="216" w:lineRule="auto"/>
        <w:ind w:left="306" w:hanging="357"/>
        <w:contextualSpacing w:val="0"/>
        <w:jc w:val="both"/>
        <w:rPr>
          <w:rFonts w:ascii="Simplified Arabic" w:hAnsi="Simplified Arabic" w:cs="Simplified Arabic"/>
          <w:sz w:val="28"/>
          <w:szCs w:val="28"/>
          <w:lang w:bidi="ar-EG"/>
        </w:rPr>
      </w:pPr>
      <w:r w:rsidRPr="006043FE">
        <w:rPr>
          <w:rFonts w:ascii="Simplified Arabic" w:hAnsi="Simplified Arabic" w:cs="Simplified Arabic"/>
          <w:sz w:val="28"/>
          <w:szCs w:val="28"/>
          <w:rtl/>
          <w:lang w:bidi="ar-EG"/>
        </w:rPr>
        <w:t>يمكن رفض الفرض العدمي القائل بوجود جذر الوحدة للسلاسل الزمنية (</w:t>
      </w:r>
      <w:r w:rsidRPr="006043FE">
        <w:rPr>
          <w:rFonts w:ascii="Simplified Arabic" w:hAnsi="Simplified Arabic" w:cs="Simplified Arabic"/>
          <w:sz w:val="28"/>
          <w:szCs w:val="28"/>
          <w:lang w:bidi="ar-EG"/>
        </w:rPr>
        <w:t>BNB</w:t>
      </w:r>
      <w:r w:rsidRPr="006043FE">
        <w:rPr>
          <w:rFonts w:ascii="Simplified Arabic" w:hAnsi="Simplified Arabic" w:cs="Simplified Arabic"/>
          <w:sz w:val="28"/>
          <w:szCs w:val="28"/>
          <w:rtl/>
          <w:lang w:bidi="ar-EG"/>
        </w:rPr>
        <w:t xml:space="preserve">، </w:t>
      </w:r>
      <w:r w:rsidRPr="006043FE">
        <w:rPr>
          <w:rFonts w:ascii="Simplified Arabic" w:hAnsi="Simplified Arabic" w:cs="Simplified Arabic"/>
          <w:sz w:val="28"/>
          <w:szCs w:val="28"/>
          <w:lang w:bidi="ar-EG"/>
        </w:rPr>
        <w:t>XF</w:t>
      </w:r>
      <w:r w:rsidRPr="006043FE">
        <w:rPr>
          <w:rFonts w:ascii="Simplified Arabic" w:hAnsi="Simplified Arabic" w:cs="Simplified Arabic"/>
          <w:sz w:val="28"/>
          <w:szCs w:val="28"/>
          <w:rtl/>
          <w:lang w:bidi="ar-EG"/>
        </w:rPr>
        <w:t xml:space="preserve">، </w:t>
      </w:r>
      <w:r w:rsidRPr="006043FE">
        <w:rPr>
          <w:rFonts w:ascii="Simplified Arabic" w:hAnsi="Simplified Arabic" w:cs="Simplified Arabic"/>
          <w:sz w:val="28"/>
          <w:szCs w:val="28"/>
          <w:lang w:bidi="ar-EG"/>
        </w:rPr>
        <w:t>M2</w:t>
      </w:r>
      <w:r w:rsidRPr="006043FE">
        <w:rPr>
          <w:rFonts w:ascii="Simplified Arabic" w:hAnsi="Simplified Arabic" w:cs="Simplified Arabic"/>
          <w:sz w:val="28"/>
          <w:szCs w:val="28"/>
          <w:rtl/>
          <w:lang w:bidi="ar-EG"/>
        </w:rPr>
        <w:t xml:space="preserve">، </w:t>
      </w:r>
      <w:r w:rsidRPr="006043FE">
        <w:rPr>
          <w:rFonts w:ascii="Simplified Arabic" w:hAnsi="Simplified Arabic" w:cs="Simplified Arabic"/>
          <w:sz w:val="28"/>
          <w:szCs w:val="28"/>
          <w:lang w:bidi="ar-EG"/>
        </w:rPr>
        <w:t>PS</w:t>
      </w:r>
      <w:r w:rsidRPr="006043FE">
        <w:rPr>
          <w:rFonts w:ascii="Simplified Arabic" w:hAnsi="Simplified Arabic" w:cs="Simplified Arabic"/>
          <w:sz w:val="28"/>
          <w:szCs w:val="28"/>
          <w:rtl/>
          <w:lang w:bidi="ar-EG"/>
        </w:rPr>
        <w:t xml:space="preserve">) حيث يشير اختبار ديكي فولر الموسع </w:t>
      </w:r>
      <w:r w:rsidRPr="006043FE">
        <w:rPr>
          <w:rFonts w:ascii="Simplified Arabic" w:hAnsi="Simplified Arabic" w:cs="Simplified Arabic"/>
          <w:sz w:val="28"/>
          <w:szCs w:val="28"/>
          <w:lang w:bidi="ar-EG"/>
        </w:rPr>
        <w:t>ADF</w:t>
      </w:r>
      <w:r w:rsidRPr="006043FE">
        <w:rPr>
          <w:rFonts w:ascii="Simplified Arabic" w:hAnsi="Simplified Arabic" w:cs="Simplified Arabic"/>
          <w:sz w:val="28"/>
          <w:szCs w:val="28"/>
          <w:rtl/>
          <w:lang w:bidi="ar-EG"/>
        </w:rPr>
        <w:t xml:space="preserve"> إلى استقرارها عند المستوى </w:t>
      </w:r>
      <w:r w:rsidRPr="006043FE">
        <w:rPr>
          <w:rFonts w:ascii="Simplified Arabic" w:hAnsi="Simplified Arabic" w:cs="Simplified Arabic"/>
          <w:sz w:val="28"/>
          <w:szCs w:val="28"/>
          <w:lang w:bidi="ar-EG"/>
        </w:rPr>
        <w:t>I(0)</w:t>
      </w:r>
      <w:r w:rsidRPr="006043FE">
        <w:rPr>
          <w:rFonts w:ascii="Simplified Arabic" w:hAnsi="Simplified Arabic" w:cs="Simplified Arabic"/>
          <w:sz w:val="28"/>
          <w:szCs w:val="28"/>
          <w:rtl/>
          <w:lang w:bidi="ar-EG"/>
        </w:rPr>
        <w:t>.</w:t>
      </w:r>
    </w:p>
    <w:p w14:paraId="43551251" w14:textId="77777777" w:rsidR="002959BC" w:rsidRPr="006043FE" w:rsidRDefault="002959BC" w:rsidP="0041332D">
      <w:pPr>
        <w:pStyle w:val="ListParagraph"/>
        <w:numPr>
          <w:ilvl w:val="0"/>
          <w:numId w:val="37"/>
        </w:numPr>
        <w:spacing w:after="0" w:line="216" w:lineRule="auto"/>
        <w:ind w:left="306" w:hanging="357"/>
        <w:contextualSpacing w:val="0"/>
        <w:jc w:val="both"/>
        <w:rPr>
          <w:rFonts w:ascii="Simplified Arabic" w:hAnsi="Simplified Arabic" w:cs="Simplified Arabic"/>
          <w:sz w:val="28"/>
          <w:szCs w:val="28"/>
          <w:lang w:bidi="ar-EG"/>
        </w:rPr>
      </w:pPr>
      <w:r w:rsidRPr="006043FE">
        <w:rPr>
          <w:rFonts w:ascii="Simplified Arabic" w:hAnsi="Simplified Arabic" w:cs="Simplified Arabic"/>
          <w:sz w:val="28"/>
          <w:szCs w:val="28"/>
          <w:rtl/>
          <w:lang w:bidi="ar-EG"/>
        </w:rPr>
        <w:t>لا يمكن رفض الفرض العدمي القائل بوجود جذر الوحدة بالنسبة للسلسلتين الزمنيتين (</w:t>
      </w:r>
      <w:r w:rsidRPr="006043FE">
        <w:rPr>
          <w:rFonts w:ascii="Simplified Arabic" w:hAnsi="Simplified Arabic" w:cs="Simplified Arabic"/>
          <w:sz w:val="28"/>
          <w:szCs w:val="28"/>
          <w:lang w:bidi="ar-EG"/>
        </w:rPr>
        <w:t>DB</w:t>
      </w:r>
      <w:r w:rsidRPr="006043FE">
        <w:rPr>
          <w:rFonts w:ascii="Simplified Arabic" w:hAnsi="Simplified Arabic" w:cs="Simplified Arabic"/>
          <w:sz w:val="28"/>
          <w:szCs w:val="28"/>
          <w:rtl/>
          <w:lang w:bidi="ar-EG"/>
        </w:rPr>
        <w:t xml:space="preserve">، </w:t>
      </w:r>
      <w:r w:rsidRPr="006043FE">
        <w:rPr>
          <w:rFonts w:ascii="Simplified Arabic" w:hAnsi="Simplified Arabic" w:cs="Simplified Arabic"/>
          <w:sz w:val="28"/>
          <w:szCs w:val="28"/>
          <w:lang w:bidi="ar-EG"/>
        </w:rPr>
        <w:t>XP</w:t>
      </w:r>
      <w:r w:rsidRPr="006043FE">
        <w:rPr>
          <w:rFonts w:ascii="Simplified Arabic" w:hAnsi="Simplified Arabic" w:cs="Simplified Arabic"/>
          <w:sz w:val="28"/>
          <w:szCs w:val="28"/>
          <w:rtl/>
          <w:lang w:bidi="ar-EG"/>
        </w:rPr>
        <w:t xml:space="preserve">) حيث يشير اختبار ديكي فولر الموسع </w:t>
      </w:r>
      <w:r w:rsidRPr="006043FE">
        <w:rPr>
          <w:rFonts w:ascii="Simplified Arabic" w:hAnsi="Simplified Arabic" w:cs="Simplified Arabic"/>
          <w:sz w:val="28"/>
          <w:szCs w:val="28"/>
          <w:lang w:bidi="ar-EG"/>
        </w:rPr>
        <w:t>ADF</w:t>
      </w:r>
      <w:r w:rsidRPr="006043FE">
        <w:rPr>
          <w:rFonts w:ascii="Simplified Arabic" w:hAnsi="Simplified Arabic" w:cs="Simplified Arabic"/>
          <w:sz w:val="28"/>
          <w:szCs w:val="28"/>
          <w:rtl/>
          <w:lang w:bidi="ar-EG"/>
        </w:rPr>
        <w:t xml:space="preserve"> إلى عدم سكونهما في المستوى، أما عند تطبيق الاختبار لها عند الفرق الأول فيتضح أنه يمكن رفض الفرض العدمي الخاص بوجود جذر الوحدة، مما يعني قبول الفرض البديل القائل بعدم وجود جذر الوحدة أي استقرارهما في الفرق الأول </w:t>
      </w:r>
      <w:r w:rsidRPr="006043FE">
        <w:rPr>
          <w:rFonts w:ascii="Simplified Arabic" w:hAnsi="Simplified Arabic" w:cs="Simplified Arabic"/>
          <w:sz w:val="28"/>
          <w:szCs w:val="28"/>
          <w:lang w:bidi="ar-EG"/>
        </w:rPr>
        <w:t>I(1)</w:t>
      </w:r>
      <w:r w:rsidRPr="006043FE">
        <w:rPr>
          <w:rFonts w:ascii="Simplified Arabic" w:hAnsi="Simplified Arabic" w:cs="Simplified Arabic"/>
          <w:sz w:val="28"/>
          <w:szCs w:val="28"/>
          <w:rtl/>
          <w:lang w:bidi="ar-EG"/>
        </w:rPr>
        <w:t>.</w:t>
      </w:r>
    </w:p>
    <w:p w14:paraId="31AC7625" w14:textId="77777777" w:rsidR="002959BC" w:rsidRDefault="002959BC" w:rsidP="0041332D">
      <w:pPr>
        <w:pStyle w:val="ListParagraph"/>
        <w:numPr>
          <w:ilvl w:val="0"/>
          <w:numId w:val="37"/>
        </w:numPr>
        <w:spacing w:after="0" w:line="216" w:lineRule="auto"/>
        <w:ind w:left="306" w:hanging="357"/>
        <w:contextualSpacing w:val="0"/>
        <w:jc w:val="both"/>
        <w:rPr>
          <w:rFonts w:ascii="Simplified Arabic" w:hAnsi="Simplified Arabic" w:cs="Simplified Arabic"/>
          <w:sz w:val="28"/>
          <w:szCs w:val="28"/>
          <w:lang w:bidi="ar-EG"/>
        </w:rPr>
      </w:pPr>
      <w:r w:rsidRPr="006043FE">
        <w:rPr>
          <w:rFonts w:ascii="Simplified Arabic" w:hAnsi="Simplified Arabic" w:cs="Simplified Arabic"/>
          <w:sz w:val="28"/>
          <w:szCs w:val="28"/>
          <w:rtl/>
          <w:lang w:bidi="ar-EG"/>
        </w:rPr>
        <w:t>لا يمكن رفض الفرض العدمي القائل بوجود جذر الوحدة بالنسبة للسلاسل الزمنية (</w:t>
      </w:r>
      <w:r w:rsidRPr="006043FE">
        <w:rPr>
          <w:rFonts w:ascii="Simplified Arabic" w:hAnsi="Simplified Arabic" w:cs="Simplified Arabic"/>
          <w:sz w:val="28"/>
          <w:szCs w:val="28"/>
          <w:lang w:bidi="ar-EG"/>
        </w:rPr>
        <w:t>CPI</w:t>
      </w:r>
      <w:r w:rsidRPr="006043FE">
        <w:rPr>
          <w:rFonts w:ascii="Simplified Arabic" w:hAnsi="Simplified Arabic" w:cs="Simplified Arabic"/>
          <w:sz w:val="28"/>
          <w:szCs w:val="28"/>
          <w:rtl/>
          <w:lang w:bidi="ar-EG"/>
        </w:rPr>
        <w:t xml:space="preserve">، </w:t>
      </w:r>
      <w:r w:rsidRPr="006043FE">
        <w:rPr>
          <w:rFonts w:ascii="Simplified Arabic" w:hAnsi="Simplified Arabic" w:cs="Simplified Arabic"/>
          <w:sz w:val="28"/>
          <w:szCs w:val="28"/>
          <w:lang w:bidi="ar-EG"/>
        </w:rPr>
        <w:t>EX</w:t>
      </w:r>
      <w:r w:rsidRPr="006043FE">
        <w:rPr>
          <w:rFonts w:ascii="Simplified Arabic" w:hAnsi="Simplified Arabic" w:cs="Simplified Arabic"/>
          <w:sz w:val="28"/>
          <w:szCs w:val="28"/>
          <w:rtl/>
          <w:lang w:bidi="ar-EG"/>
        </w:rPr>
        <w:t xml:space="preserve">) حيث يشير اختبار ديكي فولر الموسع </w:t>
      </w:r>
      <w:r w:rsidRPr="006043FE">
        <w:rPr>
          <w:rFonts w:ascii="Simplified Arabic" w:hAnsi="Simplified Arabic" w:cs="Simplified Arabic"/>
          <w:sz w:val="28"/>
          <w:szCs w:val="28"/>
          <w:lang w:bidi="ar-EG"/>
        </w:rPr>
        <w:t>ADF</w:t>
      </w:r>
      <w:r w:rsidRPr="006043FE">
        <w:rPr>
          <w:rFonts w:ascii="Simplified Arabic" w:hAnsi="Simplified Arabic" w:cs="Simplified Arabic"/>
          <w:sz w:val="28"/>
          <w:szCs w:val="28"/>
          <w:rtl/>
          <w:lang w:bidi="ar-EG"/>
        </w:rPr>
        <w:t xml:space="preserve"> إلى عدم سكونهما في المستوى وفي الفرق الأول، أما عند تطبيق </w:t>
      </w:r>
      <w:r w:rsidRPr="006043FE">
        <w:rPr>
          <w:rFonts w:ascii="Simplified Arabic" w:hAnsi="Simplified Arabic" w:cs="Simplified Arabic"/>
          <w:sz w:val="28"/>
          <w:szCs w:val="28"/>
          <w:rtl/>
          <w:lang w:bidi="ar-EG"/>
        </w:rPr>
        <w:lastRenderedPageBreak/>
        <w:t xml:space="preserve">الاختبار لها عند الفرق الثاني فيتضح أنه يمكن رفض الفرض العدمي الخاص بوجود جذر الوحدة، مما يعني قبول الفرض البديل القائل بعدم وجود جذر الوحدة أي استقرارهما في الفرق الثاني </w:t>
      </w:r>
      <w:r w:rsidRPr="006043FE">
        <w:rPr>
          <w:rFonts w:ascii="Simplified Arabic" w:hAnsi="Simplified Arabic" w:cs="Simplified Arabic"/>
          <w:sz w:val="28"/>
          <w:szCs w:val="28"/>
          <w:lang w:bidi="ar-EG"/>
        </w:rPr>
        <w:t>I(2)</w:t>
      </w:r>
      <w:r w:rsidRPr="006043FE">
        <w:rPr>
          <w:rFonts w:ascii="Simplified Arabic" w:hAnsi="Simplified Arabic" w:cs="Simplified Arabic"/>
          <w:sz w:val="28"/>
          <w:szCs w:val="28"/>
          <w:rtl/>
          <w:lang w:bidi="ar-EG"/>
        </w:rPr>
        <w:t>.</w:t>
      </w:r>
    </w:p>
    <w:p w14:paraId="403D3AF7" w14:textId="77777777" w:rsidR="002959BC"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lang w:bidi="ar-EG"/>
        </w:rPr>
      </w:pPr>
    </w:p>
    <w:p w14:paraId="080BE130" w14:textId="77777777" w:rsidR="002959BC"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lang w:bidi="ar-EG"/>
        </w:rPr>
      </w:pPr>
    </w:p>
    <w:p w14:paraId="4ACA9E8B" w14:textId="77777777" w:rsidR="002959BC" w:rsidRPr="00536385"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r w:rsidRPr="00536385">
        <w:rPr>
          <w:rFonts w:ascii="Simplified Arabic" w:eastAsia="Times New Roman" w:hAnsi="Simplified Arabic" w:cs="Simplified Arabic"/>
          <w:b/>
          <w:bCs/>
          <w:sz w:val="24"/>
          <w:szCs w:val="24"/>
          <w:rtl/>
        </w:rPr>
        <w:t>جدول رقم (3-</w:t>
      </w:r>
      <w:r>
        <w:rPr>
          <w:rFonts w:ascii="Simplified Arabic" w:eastAsia="Times New Roman" w:hAnsi="Simplified Arabic" w:cs="Simplified Arabic" w:hint="cs"/>
          <w:b/>
          <w:bCs/>
          <w:sz w:val="24"/>
          <w:szCs w:val="24"/>
          <w:rtl/>
        </w:rPr>
        <w:t>3</w:t>
      </w:r>
      <w:r w:rsidRPr="00536385">
        <w:rPr>
          <w:rFonts w:ascii="Simplified Arabic" w:eastAsia="Times New Roman" w:hAnsi="Simplified Arabic" w:cs="Simplified Arabic"/>
          <w:b/>
          <w:bCs/>
          <w:sz w:val="24"/>
          <w:szCs w:val="24"/>
          <w:rtl/>
        </w:rPr>
        <w:t>)</w:t>
      </w:r>
    </w:p>
    <w:p w14:paraId="5A31057F" w14:textId="77777777" w:rsidR="002959BC" w:rsidRPr="00536385"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r w:rsidRPr="00536385">
        <w:rPr>
          <w:rFonts w:ascii="Simplified Arabic" w:eastAsia="Times New Roman" w:hAnsi="Simplified Arabic" w:cs="Simplified Arabic"/>
          <w:b/>
          <w:bCs/>
          <w:sz w:val="24"/>
          <w:szCs w:val="24"/>
          <w:rtl/>
        </w:rPr>
        <w:t xml:space="preserve">اختبار فيليبس بيرون </w:t>
      </w:r>
      <w:r w:rsidRPr="00536385">
        <w:rPr>
          <w:rFonts w:ascii="Simplified Arabic" w:eastAsia="Times New Roman" w:hAnsi="Simplified Arabic" w:cs="Simplified Arabic"/>
          <w:b/>
          <w:bCs/>
          <w:sz w:val="24"/>
          <w:szCs w:val="24"/>
        </w:rPr>
        <w:t>pp</w:t>
      </w:r>
    </w:p>
    <w:tbl>
      <w:tblPr>
        <w:tblStyle w:val="TableGrid"/>
        <w:bidiVisual/>
        <w:tblW w:w="0" w:type="auto"/>
        <w:jc w:val="center"/>
        <w:tblLayout w:type="fixed"/>
        <w:tblLook w:val="04A0" w:firstRow="1" w:lastRow="0" w:firstColumn="1" w:lastColumn="0" w:noHBand="0" w:noVBand="1"/>
      </w:tblPr>
      <w:tblGrid>
        <w:gridCol w:w="808"/>
        <w:gridCol w:w="808"/>
        <w:gridCol w:w="808"/>
        <w:gridCol w:w="809"/>
        <w:gridCol w:w="808"/>
        <w:gridCol w:w="808"/>
        <w:gridCol w:w="808"/>
        <w:gridCol w:w="809"/>
        <w:gridCol w:w="808"/>
        <w:gridCol w:w="808"/>
        <w:gridCol w:w="809"/>
      </w:tblGrid>
      <w:tr w:rsidR="002959BC" w:rsidRPr="00477649" w14:paraId="415F1147" w14:textId="77777777" w:rsidTr="00270E6A">
        <w:trPr>
          <w:jc w:val="center"/>
        </w:trPr>
        <w:tc>
          <w:tcPr>
            <w:tcW w:w="808" w:type="dxa"/>
            <w:vAlign w:val="center"/>
          </w:tcPr>
          <w:p w14:paraId="25ACD286"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p>
        </w:tc>
        <w:tc>
          <w:tcPr>
            <w:tcW w:w="2425" w:type="dxa"/>
            <w:gridSpan w:val="3"/>
            <w:vAlign w:val="center"/>
          </w:tcPr>
          <w:p w14:paraId="72151C0B" w14:textId="77777777" w:rsidR="002959BC" w:rsidRPr="00477649" w:rsidRDefault="002959BC" w:rsidP="00270E6A">
            <w:pPr>
              <w:spacing w:before="40" w:after="40"/>
              <w:jc w:val="center"/>
              <w:rPr>
                <w:rFonts w:asciiTheme="minorBidi" w:hAnsiTheme="minorBidi"/>
                <w:b/>
                <w:bCs/>
                <w:rtl/>
                <w:lang w:bidi="ar-EG"/>
              </w:rPr>
            </w:pPr>
            <w:r w:rsidRPr="00477649">
              <w:rPr>
                <w:rFonts w:asciiTheme="minorBidi" w:hAnsiTheme="minorBidi" w:hint="cs"/>
                <w:b/>
                <w:bCs/>
                <w:rtl/>
                <w:lang w:bidi="ar-EG"/>
              </w:rPr>
              <w:t xml:space="preserve">المستوى </w:t>
            </w:r>
            <w:r w:rsidRPr="00477649">
              <w:rPr>
                <w:rFonts w:asciiTheme="minorBidi" w:hAnsiTheme="minorBidi"/>
                <w:b/>
                <w:bCs/>
                <w:lang w:bidi="ar-EG"/>
              </w:rPr>
              <w:t>Level</w:t>
            </w:r>
          </w:p>
        </w:tc>
        <w:tc>
          <w:tcPr>
            <w:tcW w:w="2424" w:type="dxa"/>
            <w:gridSpan w:val="3"/>
            <w:vAlign w:val="center"/>
          </w:tcPr>
          <w:p w14:paraId="2EE1C922" w14:textId="77777777" w:rsidR="002959BC" w:rsidRPr="00477649" w:rsidRDefault="002959BC" w:rsidP="00270E6A">
            <w:pPr>
              <w:spacing w:before="40" w:after="40"/>
              <w:jc w:val="center"/>
              <w:rPr>
                <w:rFonts w:asciiTheme="minorBidi" w:hAnsiTheme="minorBidi"/>
                <w:b/>
                <w:bCs/>
                <w:rtl/>
                <w:lang w:bidi="ar-EG"/>
              </w:rPr>
            </w:pPr>
            <w:r w:rsidRPr="00477649">
              <w:rPr>
                <w:rFonts w:asciiTheme="minorBidi" w:hAnsiTheme="minorBidi" w:hint="cs"/>
                <w:b/>
                <w:bCs/>
                <w:rtl/>
                <w:lang w:bidi="ar-EG"/>
              </w:rPr>
              <w:t>الفرق الأول</w:t>
            </w:r>
          </w:p>
          <w:p w14:paraId="26EDF000"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inorBidi" w:hAnsiTheme="minorBidi"/>
                <w:b/>
                <w:bCs/>
                <w:lang w:bidi="ar-EG"/>
              </w:rPr>
              <w:t>1</w:t>
            </w:r>
            <w:r w:rsidRPr="00477649">
              <w:rPr>
                <w:rFonts w:asciiTheme="minorBidi" w:hAnsiTheme="minorBidi"/>
                <w:b/>
                <w:bCs/>
                <w:vertAlign w:val="superscript"/>
                <w:lang w:bidi="ar-EG"/>
              </w:rPr>
              <w:t>st</w:t>
            </w:r>
            <w:r w:rsidRPr="00477649">
              <w:rPr>
                <w:rFonts w:asciiTheme="minorBidi" w:hAnsiTheme="minorBidi"/>
                <w:b/>
                <w:bCs/>
                <w:lang w:bidi="ar-EG"/>
              </w:rPr>
              <w:t xml:space="preserve"> difference</w:t>
            </w:r>
          </w:p>
        </w:tc>
        <w:tc>
          <w:tcPr>
            <w:tcW w:w="2425" w:type="dxa"/>
            <w:gridSpan w:val="3"/>
            <w:vAlign w:val="center"/>
          </w:tcPr>
          <w:p w14:paraId="111CF0E4" w14:textId="77777777" w:rsidR="002959BC" w:rsidRPr="00477649" w:rsidRDefault="002959BC" w:rsidP="00270E6A">
            <w:pPr>
              <w:spacing w:before="40" w:after="40"/>
              <w:jc w:val="center"/>
              <w:rPr>
                <w:rFonts w:asciiTheme="minorBidi" w:hAnsiTheme="minorBidi"/>
                <w:b/>
                <w:bCs/>
                <w:rtl/>
                <w:lang w:bidi="ar-EG"/>
              </w:rPr>
            </w:pPr>
            <w:r w:rsidRPr="00477649">
              <w:rPr>
                <w:rFonts w:asciiTheme="minorBidi" w:hAnsiTheme="minorBidi" w:hint="cs"/>
                <w:b/>
                <w:bCs/>
                <w:rtl/>
                <w:lang w:bidi="ar-EG"/>
              </w:rPr>
              <w:t>الفرق الثاني</w:t>
            </w:r>
          </w:p>
          <w:p w14:paraId="1E5219D8"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inorBidi" w:hAnsiTheme="minorBidi"/>
                <w:b/>
                <w:bCs/>
                <w:lang w:bidi="ar-EG"/>
              </w:rPr>
              <w:t>2</w:t>
            </w:r>
            <w:r w:rsidRPr="00477649">
              <w:rPr>
                <w:rFonts w:asciiTheme="minorBidi" w:hAnsiTheme="minorBidi"/>
                <w:b/>
                <w:bCs/>
                <w:vertAlign w:val="superscript"/>
                <w:lang w:bidi="ar-EG"/>
              </w:rPr>
              <w:t>nd</w:t>
            </w:r>
            <w:r w:rsidRPr="00477649">
              <w:rPr>
                <w:rFonts w:asciiTheme="minorBidi" w:hAnsiTheme="minorBidi"/>
                <w:b/>
                <w:bCs/>
                <w:lang w:bidi="ar-EG"/>
              </w:rPr>
              <w:t xml:space="preserve"> difference</w:t>
            </w:r>
          </w:p>
        </w:tc>
        <w:tc>
          <w:tcPr>
            <w:tcW w:w="809" w:type="dxa"/>
            <w:vAlign w:val="center"/>
          </w:tcPr>
          <w:p w14:paraId="4EB64417" w14:textId="77777777" w:rsidR="002959BC" w:rsidRPr="00477649" w:rsidRDefault="002959BC" w:rsidP="00270E6A">
            <w:pPr>
              <w:spacing w:before="40" w:after="40"/>
              <w:jc w:val="center"/>
              <w:rPr>
                <w:rFonts w:asciiTheme="majorBidi" w:hAnsiTheme="majorBidi" w:cstheme="majorBidi"/>
                <w:b/>
                <w:bCs/>
                <w:rtl/>
                <w:lang w:bidi="ar-EG"/>
              </w:rPr>
            </w:pPr>
          </w:p>
        </w:tc>
      </w:tr>
      <w:tr w:rsidR="002959BC" w:rsidRPr="00477649" w14:paraId="58CB6739" w14:textId="77777777" w:rsidTr="00270E6A">
        <w:trPr>
          <w:jc w:val="center"/>
        </w:trPr>
        <w:tc>
          <w:tcPr>
            <w:tcW w:w="808" w:type="dxa"/>
            <w:vAlign w:val="center"/>
          </w:tcPr>
          <w:p w14:paraId="7726B259"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p>
        </w:tc>
        <w:tc>
          <w:tcPr>
            <w:tcW w:w="808" w:type="dxa"/>
            <w:vAlign w:val="center"/>
          </w:tcPr>
          <w:p w14:paraId="2294ED34" w14:textId="77777777" w:rsidR="002959BC" w:rsidRPr="00477649" w:rsidRDefault="002959BC" w:rsidP="00270E6A">
            <w:pPr>
              <w:spacing w:before="40" w:after="40"/>
              <w:jc w:val="center"/>
              <w:rPr>
                <w:rFonts w:asciiTheme="minorBidi" w:hAnsiTheme="minorBidi"/>
                <w:b/>
                <w:bCs/>
                <w:sz w:val="14"/>
                <w:szCs w:val="14"/>
                <w:lang w:bidi="ar-EG"/>
              </w:rPr>
            </w:pPr>
            <w:r w:rsidRPr="00477649">
              <w:rPr>
                <w:rFonts w:asciiTheme="minorBidi" w:hAnsiTheme="minorBidi"/>
                <w:b/>
                <w:bCs/>
                <w:sz w:val="14"/>
                <w:szCs w:val="14"/>
                <w:lang w:bidi="ar-EG"/>
              </w:rPr>
              <w:t>Intercept</w:t>
            </w:r>
          </w:p>
        </w:tc>
        <w:tc>
          <w:tcPr>
            <w:tcW w:w="808" w:type="dxa"/>
            <w:vAlign w:val="center"/>
          </w:tcPr>
          <w:p w14:paraId="465CBAE2" w14:textId="77777777" w:rsidR="002959BC" w:rsidRPr="00477649" w:rsidRDefault="002959BC" w:rsidP="00270E6A">
            <w:pPr>
              <w:spacing w:before="40" w:after="40"/>
              <w:jc w:val="center"/>
              <w:rPr>
                <w:rFonts w:asciiTheme="minorBidi" w:hAnsiTheme="minorBidi"/>
                <w:b/>
                <w:bCs/>
                <w:sz w:val="14"/>
                <w:szCs w:val="14"/>
                <w:lang w:bidi="ar-EG"/>
              </w:rPr>
            </w:pPr>
            <w:r w:rsidRPr="00477649">
              <w:rPr>
                <w:rFonts w:asciiTheme="minorBidi" w:hAnsiTheme="minorBidi"/>
                <w:b/>
                <w:bCs/>
                <w:sz w:val="14"/>
                <w:szCs w:val="14"/>
                <w:lang w:bidi="ar-EG"/>
              </w:rPr>
              <w:t>Trend &amp; intercept</w:t>
            </w:r>
          </w:p>
        </w:tc>
        <w:tc>
          <w:tcPr>
            <w:tcW w:w="809" w:type="dxa"/>
            <w:vAlign w:val="center"/>
          </w:tcPr>
          <w:p w14:paraId="6E7A4584" w14:textId="77777777" w:rsidR="002959BC" w:rsidRPr="00477649" w:rsidRDefault="002959BC" w:rsidP="00270E6A">
            <w:pPr>
              <w:spacing w:before="40" w:after="40"/>
              <w:jc w:val="center"/>
              <w:rPr>
                <w:rFonts w:asciiTheme="minorBidi" w:hAnsiTheme="minorBidi"/>
                <w:b/>
                <w:bCs/>
                <w:sz w:val="14"/>
                <w:szCs w:val="14"/>
                <w:rtl/>
                <w:lang w:bidi="ar-EG"/>
              </w:rPr>
            </w:pPr>
            <w:r w:rsidRPr="00477649">
              <w:rPr>
                <w:rFonts w:asciiTheme="minorBidi" w:hAnsiTheme="minorBidi"/>
                <w:b/>
                <w:bCs/>
                <w:sz w:val="14"/>
                <w:szCs w:val="14"/>
                <w:lang w:bidi="ar-EG"/>
              </w:rPr>
              <w:t>Non</w:t>
            </w:r>
          </w:p>
        </w:tc>
        <w:tc>
          <w:tcPr>
            <w:tcW w:w="808" w:type="dxa"/>
            <w:vAlign w:val="center"/>
          </w:tcPr>
          <w:p w14:paraId="63C9DBDA" w14:textId="77777777" w:rsidR="002959BC" w:rsidRPr="00477649" w:rsidRDefault="002959BC" w:rsidP="00270E6A">
            <w:pPr>
              <w:spacing w:before="40" w:after="40"/>
              <w:jc w:val="center"/>
              <w:rPr>
                <w:rFonts w:asciiTheme="minorBidi" w:hAnsiTheme="minorBidi"/>
                <w:b/>
                <w:bCs/>
                <w:sz w:val="14"/>
                <w:szCs w:val="14"/>
                <w:lang w:bidi="ar-EG"/>
              </w:rPr>
            </w:pPr>
            <w:r w:rsidRPr="00477649">
              <w:rPr>
                <w:rFonts w:asciiTheme="minorBidi" w:hAnsiTheme="minorBidi"/>
                <w:b/>
                <w:bCs/>
                <w:sz w:val="14"/>
                <w:szCs w:val="14"/>
                <w:lang w:bidi="ar-EG"/>
              </w:rPr>
              <w:t>Intercept</w:t>
            </w:r>
          </w:p>
        </w:tc>
        <w:tc>
          <w:tcPr>
            <w:tcW w:w="808" w:type="dxa"/>
            <w:vAlign w:val="center"/>
          </w:tcPr>
          <w:p w14:paraId="5204209F" w14:textId="77777777" w:rsidR="002959BC" w:rsidRPr="00477649" w:rsidRDefault="002959BC" w:rsidP="00270E6A">
            <w:pPr>
              <w:spacing w:before="40" w:after="40"/>
              <w:jc w:val="center"/>
              <w:rPr>
                <w:rFonts w:asciiTheme="minorBidi" w:hAnsiTheme="minorBidi"/>
                <w:b/>
                <w:bCs/>
                <w:sz w:val="14"/>
                <w:szCs w:val="14"/>
                <w:lang w:bidi="ar-EG"/>
              </w:rPr>
            </w:pPr>
            <w:r w:rsidRPr="00477649">
              <w:rPr>
                <w:rFonts w:asciiTheme="minorBidi" w:hAnsiTheme="minorBidi"/>
                <w:b/>
                <w:bCs/>
                <w:sz w:val="14"/>
                <w:szCs w:val="14"/>
                <w:lang w:bidi="ar-EG"/>
              </w:rPr>
              <w:t>Trend &amp; intercept</w:t>
            </w:r>
          </w:p>
        </w:tc>
        <w:tc>
          <w:tcPr>
            <w:tcW w:w="808" w:type="dxa"/>
            <w:vAlign w:val="center"/>
          </w:tcPr>
          <w:p w14:paraId="03645938" w14:textId="77777777" w:rsidR="002959BC" w:rsidRPr="00477649" w:rsidRDefault="002959BC" w:rsidP="00270E6A">
            <w:pPr>
              <w:spacing w:before="40" w:after="40"/>
              <w:jc w:val="center"/>
              <w:rPr>
                <w:rFonts w:asciiTheme="minorBidi" w:hAnsiTheme="minorBidi"/>
                <w:b/>
                <w:bCs/>
                <w:sz w:val="14"/>
                <w:szCs w:val="14"/>
                <w:rtl/>
                <w:lang w:bidi="ar-EG"/>
              </w:rPr>
            </w:pPr>
            <w:r w:rsidRPr="00477649">
              <w:rPr>
                <w:rFonts w:asciiTheme="minorBidi" w:hAnsiTheme="minorBidi"/>
                <w:b/>
                <w:bCs/>
                <w:sz w:val="14"/>
                <w:szCs w:val="14"/>
                <w:lang w:bidi="ar-EG"/>
              </w:rPr>
              <w:t>Non</w:t>
            </w:r>
          </w:p>
        </w:tc>
        <w:tc>
          <w:tcPr>
            <w:tcW w:w="809" w:type="dxa"/>
            <w:vAlign w:val="center"/>
          </w:tcPr>
          <w:p w14:paraId="3BBF6A92" w14:textId="77777777" w:rsidR="002959BC" w:rsidRPr="00477649" w:rsidRDefault="002959BC" w:rsidP="00270E6A">
            <w:pPr>
              <w:spacing w:before="40" w:after="40"/>
              <w:jc w:val="center"/>
              <w:rPr>
                <w:rFonts w:asciiTheme="minorBidi" w:hAnsiTheme="minorBidi"/>
                <w:b/>
                <w:bCs/>
                <w:sz w:val="14"/>
                <w:szCs w:val="14"/>
                <w:lang w:bidi="ar-EG"/>
              </w:rPr>
            </w:pPr>
            <w:r w:rsidRPr="00477649">
              <w:rPr>
                <w:rFonts w:asciiTheme="minorBidi" w:hAnsiTheme="minorBidi"/>
                <w:b/>
                <w:bCs/>
                <w:sz w:val="14"/>
                <w:szCs w:val="14"/>
                <w:lang w:bidi="ar-EG"/>
              </w:rPr>
              <w:t>Intercept</w:t>
            </w:r>
          </w:p>
        </w:tc>
        <w:tc>
          <w:tcPr>
            <w:tcW w:w="808" w:type="dxa"/>
            <w:vAlign w:val="center"/>
          </w:tcPr>
          <w:p w14:paraId="396849D7" w14:textId="77777777" w:rsidR="002959BC" w:rsidRPr="00477649" w:rsidRDefault="002959BC" w:rsidP="00270E6A">
            <w:pPr>
              <w:spacing w:before="40" w:after="40"/>
              <w:jc w:val="center"/>
              <w:rPr>
                <w:rFonts w:asciiTheme="minorBidi" w:hAnsiTheme="minorBidi"/>
                <w:b/>
                <w:bCs/>
                <w:sz w:val="14"/>
                <w:szCs w:val="14"/>
                <w:lang w:bidi="ar-EG"/>
              </w:rPr>
            </w:pPr>
            <w:r w:rsidRPr="00477649">
              <w:rPr>
                <w:rFonts w:asciiTheme="minorBidi" w:hAnsiTheme="minorBidi"/>
                <w:b/>
                <w:bCs/>
                <w:sz w:val="14"/>
                <w:szCs w:val="14"/>
                <w:lang w:bidi="ar-EG"/>
              </w:rPr>
              <w:t>Trend &amp; intercept</w:t>
            </w:r>
          </w:p>
        </w:tc>
        <w:tc>
          <w:tcPr>
            <w:tcW w:w="808" w:type="dxa"/>
            <w:vAlign w:val="center"/>
          </w:tcPr>
          <w:p w14:paraId="70E59F09" w14:textId="77777777" w:rsidR="002959BC" w:rsidRPr="00477649" w:rsidRDefault="002959BC" w:rsidP="00270E6A">
            <w:pPr>
              <w:spacing w:before="40" w:after="40"/>
              <w:jc w:val="center"/>
              <w:rPr>
                <w:rFonts w:asciiTheme="minorBidi" w:hAnsiTheme="minorBidi"/>
                <w:b/>
                <w:bCs/>
                <w:sz w:val="14"/>
                <w:szCs w:val="14"/>
                <w:rtl/>
                <w:lang w:bidi="ar-EG"/>
              </w:rPr>
            </w:pPr>
            <w:r w:rsidRPr="00477649">
              <w:rPr>
                <w:rFonts w:asciiTheme="minorBidi" w:hAnsiTheme="minorBidi"/>
                <w:b/>
                <w:bCs/>
                <w:sz w:val="14"/>
                <w:szCs w:val="14"/>
                <w:lang w:bidi="ar-EG"/>
              </w:rPr>
              <w:t>Non</w:t>
            </w:r>
          </w:p>
        </w:tc>
        <w:tc>
          <w:tcPr>
            <w:tcW w:w="809" w:type="dxa"/>
            <w:vAlign w:val="center"/>
          </w:tcPr>
          <w:p w14:paraId="3413059F"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p>
        </w:tc>
      </w:tr>
      <w:tr w:rsidR="002959BC" w:rsidRPr="00477649" w14:paraId="17AEB799" w14:textId="77777777" w:rsidTr="00270E6A">
        <w:trPr>
          <w:jc w:val="center"/>
        </w:trPr>
        <w:tc>
          <w:tcPr>
            <w:tcW w:w="808" w:type="dxa"/>
            <w:vAlign w:val="center"/>
          </w:tcPr>
          <w:p w14:paraId="0E43D3F8"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القيم الحرجة</w:t>
            </w:r>
            <w:r w:rsidRPr="00477649">
              <w:rPr>
                <w:rFonts w:asciiTheme="minorBidi" w:hAnsiTheme="minorBidi" w:hint="cs"/>
                <w:b/>
                <w:bCs/>
                <w:rtl/>
                <w:lang w:bidi="ar-EG"/>
              </w:rPr>
              <w:t xml:space="preserve"> عند 5%</w:t>
            </w:r>
          </w:p>
        </w:tc>
        <w:tc>
          <w:tcPr>
            <w:tcW w:w="808" w:type="dxa"/>
            <w:vAlign w:val="center"/>
          </w:tcPr>
          <w:p w14:paraId="5B2797E6"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-2.99</w:t>
            </w:r>
          </w:p>
        </w:tc>
        <w:tc>
          <w:tcPr>
            <w:tcW w:w="808" w:type="dxa"/>
            <w:vAlign w:val="center"/>
          </w:tcPr>
          <w:p w14:paraId="18FB4559"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-3.60</w:t>
            </w:r>
          </w:p>
        </w:tc>
        <w:tc>
          <w:tcPr>
            <w:tcW w:w="809" w:type="dxa"/>
            <w:vAlign w:val="center"/>
          </w:tcPr>
          <w:p w14:paraId="7AA0254B"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-1.95</w:t>
            </w:r>
          </w:p>
        </w:tc>
        <w:tc>
          <w:tcPr>
            <w:tcW w:w="808" w:type="dxa"/>
            <w:vAlign w:val="center"/>
          </w:tcPr>
          <w:p w14:paraId="6CC3B6C3"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-2.99</w:t>
            </w:r>
          </w:p>
        </w:tc>
        <w:tc>
          <w:tcPr>
            <w:tcW w:w="808" w:type="dxa"/>
            <w:vAlign w:val="center"/>
          </w:tcPr>
          <w:p w14:paraId="2B47553F"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-3.61</w:t>
            </w:r>
          </w:p>
        </w:tc>
        <w:tc>
          <w:tcPr>
            <w:tcW w:w="808" w:type="dxa"/>
            <w:vAlign w:val="center"/>
          </w:tcPr>
          <w:p w14:paraId="6A9E15D8"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-1.95</w:t>
            </w:r>
          </w:p>
        </w:tc>
        <w:tc>
          <w:tcPr>
            <w:tcW w:w="809" w:type="dxa"/>
            <w:vAlign w:val="center"/>
          </w:tcPr>
          <w:p w14:paraId="4DB8F601"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-2.99</w:t>
            </w:r>
          </w:p>
        </w:tc>
        <w:tc>
          <w:tcPr>
            <w:tcW w:w="808" w:type="dxa"/>
            <w:vAlign w:val="center"/>
          </w:tcPr>
          <w:p w14:paraId="4BC26BD7"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-3.62</w:t>
            </w:r>
          </w:p>
        </w:tc>
        <w:tc>
          <w:tcPr>
            <w:tcW w:w="808" w:type="dxa"/>
            <w:vAlign w:val="center"/>
          </w:tcPr>
          <w:p w14:paraId="7CAFEB06"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-1.95</w:t>
            </w:r>
          </w:p>
        </w:tc>
        <w:tc>
          <w:tcPr>
            <w:tcW w:w="809" w:type="dxa"/>
            <w:vAlign w:val="center"/>
          </w:tcPr>
          <w:p w14:paraId="03D82FCF"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inorBidi" w:hAnsiTheme="minorBidi" w:hint="cs"/>
                <w:b/>
                <w:bCs/>
                <w:rtl/>
                <w:lang w:bidi="ar-EG"/>
              </w:rPr>
              <w:t>القرار</w:t>
            </w:r>
            <w:r w:rsidRPr="00750079">
              <w:rPr>
                <w:rFonts w:asciiTheme="minorBidi" w:hAnsiTheme="minorBidi" w:hint="cs"/>
                <w:sz w:val="28"/>
                <w:szCs w:val="28"/>
                <w:vertAlign w:val="superscript"/>
                <w:rtl/>
                <w:lang w:bidi="ar-EG"/>
              </w:rPr>
              <w:t>(</w:t>
            </w:r>
            <w:r>
              <w:rPr>
                <w:rFonts w:asciiTheme="minorBidi" w:hAnsiTheme="minorBidi" w:hint="cs"/>
                <w:sz w:val="28"/>
                <w:szCs w:val="28"/>
                <w:vertAlign w:val="superscript"/>
                <w:rtl/>
                <w:lang w:bidi="ar-EG"/>
              </w:rPr>
              <w:t>*</w:t>
            </w:r>
            <w:r w:rsidRPr="00B474DF">
              <w:rPr>
                <w:rStyle w:val="FootnoteReference"/>
                <w:rFonts w:asciiTheme="minorBidi" w:eastAsiaTheme="minorEastAsia" w:hAnsiTheme="minorBidi"/>
                <w:sz w:val="2"/>
                <w:szCs w:val="2"/>
                <w:rtl/>
                <w:lang w:bidi="ar-EG"/>
              </w:rPr>
              <w:footnoteReference w:id="117"/>
            </w:r>
            <w:r>
              <w:rPr>
                <w:rFonts w:asciiTheme="minorBidi" w:hAnsiTheme="minorBidi" w:hint="cs"/>
                <w:sz w:val="28"/>
                <w:szCs w:val="28"/>
                <w:vertAlign w:val="superscript"/>
                <w:rtl/>
                <w:lang w:bidi="ar-EG"/>
              </w:rPr>
              <w:t>)</w:t>
            </w:r>
          </w:p>
        </w:tc>
      </w:tr>
      <w:tr w:rsidR="002959BC" w:rsidRPr="00477649" w14:paraId="51F34F3C" w14:textId="77777777" w:rsidTr="00270E6A">
        <w:trPr>
          <w:jc w:val="center"/>
        </w:trPr>
        <w:tc>
          <w:tcPr>
            <w:tcW w:w="808" w:type="dxa"/>
            <w:vAlign w:val="center"/>
          </w:tcPr>
          <w:p w14:paraId="24C6202E" w14:textId="77777777" w:rsidR="002959BC" w:rsidRPr="00477649" w:rsidRDefault="002959BC" w:rsidP="00270E6A">
            <w:pPr>
              <w:autoSpaceDE w:val="0"/>
              <w:autoSpaceDN w:val="0"/>
              <w:adjustRightInd w:val="0"/>
              <w:jc w:val="center"/>
              <w:rPr>
                <w:rFonts w:asciiTheme="minorBidi" w:hAnsiTheme="minorBidi"/>
                <w:b/>
                <w:bCs/>
                <w:lang w:bidi="ar-EG"/>
              </w:rPr>
            </w:pPr>
            <w:r w:rsidRPr="00477649">
              <w:rPr>
                <w:rFonts w:asciiTheme="minorBidi" w:hAnsiTheme="minorBidi"/>
                <w:b/>
                <w:bCs/>
                <w:lang w:bidi="ar-EG"/>
              </w:rPr>
              <w:t>CPI</w:t>
            </w:r>
          </w:p>
        </w:tc>
        <w:tc>
          <w:tcPr>
            <w:tcW w:w="808" w:type="dxa"/>
            <w:vAlign w:val="center"/>
          </w:tcPr>
          <w:p w14:paraId="5FCD5602"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Pr>
                <w:rFonts w:asciiTheme="majorBidi" w:hAnsiTheme="majorBidi" w:cstheme="majorBidi"/>
                <w:b/>
                <w:bCs/>
                <w:lang w:bidi="ar-EG"/>
              </w:rPr>
              <w:t>7.83</w:t>
            </w:r>
          </w:p>
          <w:p w14:paraId="636967A3"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1.00</w:t>
            </w:r>
            <w:r w:rsidRPr="00477649">
              <w:rPr>
                <w:rFonts w:asciiTheme="majorBidi" w:hAnsiTheme="majorBidi" w:cstheme="majorBidi" w:hint="cs"/>
                <w:b/>
                <w:bCs/>
                <w:rtl/>
                <w:lang w:bidi="ar-EG"/>
              </w:rPr>
              <w:t>)</w:t>
            </w:r>
          </w:p>
        </w:tc>
        <w:tc>
          <w:tcPr>
            <w:tcW w:w="808" w:type="dxa"/>
            <w:vAlign w:val="center"/>
          </w:tcPr>
          <w:p w14:paraId="5DB9BB0B"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Pr>
                <w:rFonts w:asciiTheme="majorBidi" w:hAnsiTheme="majorBidi" w:cstheme="majorBidi"/>
                <w:b/>
                <w:bCs/>
                <w:lang w:bidi="ar-EG"/>
              </w:rPr>
              <w:t>3.19</w:t>
            </w:r>
          </w:p>
          <w:p w14:paraId="3949853D"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1.00</w:t>
            </w:r>
            <w:r w:rsidRPr="00477649">
              <w:rPr>
                <w:rFonts w:asciiTheme="majorBidi" w:hAnsiTheme="majorBidi" w:cstheme="majorBidi" w:hint="cs"/>
                <w:b/>
                <w:bCs/>
                <w:rtl/>
                <w:lang w:bidi="ar-EG"/>
              </w:rPr>
              <w:t>)</w:t>
            </w:r>
          </w:p>
        </w:tc>
        <w:tc>
          <w:tcPr>
            <w:tcW w:w="809" w:type="dxa"/>
            <w:vAlign w:val="center"/>
          </w:tcPr>
          <w:p w14:paraId="548952BF"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11.33</w:t>
            </w:r>
          </w:p>
          <w:p w14:paraId="33383E35"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1.00</w:t>
            </w:r>
            <w:r w:rsidRPr="00477649">
              <w:rPr>
                <w:rFonts w:asciiTheme="majorBidi" w:hAnsiTheme="majorBidi" w:cstheme="majorBidi" w:hint="cs"/>
                <w:b/>
                <w:bCs/>
                <w:rtl/>
                <w:lang w:bidi="ar-EG"/>
              </w:rPr>
              <w:t>)</w:t>
            </w:r>
          </w:p>
        </w:tc>
        <w:tc>
          <w:tcPr>
            <w:tcW w:w="808" w:type="dxa"/>
            <w:vAlign w:val="center"/>
          </w:tcPr>
          <w:p w14:paraId="0FB74269"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1.36</w:t>
            </w:r>
          </w:p>
          <w:p w14:paraId="047B70BE"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1.00</w:t>
            </w:r>
            <w:r w:rsidRPr="00477649">
              <w:rPr>
                <w:rFonts w:asciiTheme="majorBidi" w:hAnsiTheme="majorBidi" w:cstheme="majorBidi" w:hint="cs"/>
                <w:b/>
                <w:bCs/>
                <w:rtl/>
                <w:lang w:bidi="ar-EG"/>
              </w:rPr>
              <w:t>)</w:t>
            </w:r>
          </w:p>
        </w:tc>
        <w:tc>
          <w:tcPr>
            <w:tcW w:w="808" w:type="dxa"/>
            <w:vAlign w:val="center"/>
          </w:tcPr>
          <w:p w14:paraId="0EA0DE27"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-1.12</w:t>
            </w:r>
          </w:p>
          <w:p w14:paraId="4C772954"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0.90</w:t>
            </w:r>
            <w:r w:rsidRPr="00477649">
              <w:rPr>
                <w:rFonts w:asciiTheme="majorBidi" w:hAnsiTheme="majorBidi" w:cstheme="majorBidi" w:hint="cs"/>
                <w:b/>
                <w:bCs/>
                <w:rtl/>
                <w:lang w:bidi="ar-EG"/>
              </w:rPr>
              <w:t>)</w:t>
            </w:r>
          </w:p>
        </w:tc>
        <w:tc>
          <w:tcPr>
            <w:tcW w:w="808" w:type="dxa"/>
            <w:vAlign w:val="center"/>
          </w:tcPr>
          <w:p w14:paraId="127946F9"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2.39</w:t>
            </w:r>
          </w:p>
          <w:p w14:paraId="51A46E8F"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0.99</w:t>
            </w:r>
            <w:r w:rsidRPr="00477649">
              <w:rPr>
                <w:rFonts w:asciiTheme="majorBidi" w:hAnsiTheme="majorBidi" w:cstheme="majorBidi" w:hint="cs"/>
                <w:b/>
                <w:bCs/>
                <w:rtl/>
                <w:lang w:bidi="ar-EG"/>
              </w:rPr>
              <w:t>)</w:t>
            </w:r>
          </w:p>
        </w:tc>
        <w:tc>
          <w:tcPr>
            <w:tcW w:w="809" w:type="dxa"/>
            <w:vAlign w:val="center"/>
          </w:tcPr>
          <w:p w14:paraId="2C325551"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-4.86</w:t>
            </w:r>
          </w:p>
          <w:p w14:paraId="21FFD773"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0.00</w:t>
            </w:r>
            <w:r w:rsidRPr="00477649">
              <w:rPr>
                <w:rFonts w:asciiTheme="majorBidi" w:hAnsiTheme="majorBidi" w:cstheme="majorBidi" w:hint="cs"/>
                <w:b/>
                <w:bCs/>
                <w:rtl/>
                <w:lang w:bidi="ar-EG"/>
              </w:rPr>
              <w:t>)</w:t>
            </w:r>
          </w:p>
        </w:tc>
        <w:tc>
          <w:tcPr>
            <w:tcW w:w="808" w:type="dxa"/>
            <w:vAlign w:val="center"/>
          </w:tcPr>
          <w:p w14:paraId="6EF91424"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-5.65</w:t>
            </w:r>
          </w:p>
          <w:p w14:paraId="6486A036"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0.00</w:t>
            </w:r>
            <w:r w:rsidRPr="00477649">
              <w:rPr>
                <w:rFonts w:asciiTheme="majorBidi" w:hAnsiTheme="majorBidi" w:cstheme="majorBidi" w:hint="cs"/>
                <w:b/>
                <w:bCs/>
                <w:rtl/>
                <w:lang w:bidi="ar-EG"/>
              </w:rPr>
              <w:t>)</w:t>
            </w:r>
          </w:p>
        </w:tc>
        <w:tc>
          <w:tcPr>
            <w:tcW w:w="808" w:type="dxa"/>
            <w:vAlign w:val="center"/>
          </w:tcPr>
          <w:p w14:paraId="1BBD30A1"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-4.48</w:t>
            </w:r>
          </w:p>
          <w:p w14:paraId="43FF5160"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0.00</w:t>
            </w:r>
            <w:r w:rsidRPr="00477649">
              <w:rPr>
                <w:rFonts w:asciiTheme="majorBidi" w:hAnsiTheme="majorBidi" w:cstheme="majorBidi" w:hint="cs"/>
                <w:b/>
                <w:bCs/>
                <w:rtl/>
                <w:lang w:bidi="ar-EG"/>
              </w:rPr>
              <w:t>)</w:t>
            </w:r>
          </w:p>
        </w:tc>
        <w:tc>
          <w:tcPr>
            <w:tcW w:w="809" w:type="dxa"/>
            <w:vAlign w:val="center"/>
          </w:tcPr>
          <w:p w14:paraId="34E1B541"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I(2)</w:t>
            </w:r>
          </w:p>
        </w:tc>
      </w:tr>
      <w:tr w:rsidR="002959BC" w:rsidRPr="00477649" w14:paraId="2F1AC96A" w14:textId="77777777" w:rsidTr="00270E6A">
        <w:trPr>
          <w:jc w:val="center"/>
        </w:trPr>
        <w:tc>
          <w:tcPr>
            <w:tcW w:w="808" w:type="dxa"/>
            <w:vAlign w:val="center"/>
          </w:tcPr>
          <w:p w14:paraId="7E339BB7" w14:textId="77777777" w:rsidR="002959BC" w:rsidRPr="00477649" w:rsidRDefault="002959BC" w:rsidP="00270E6A">
            <w:pPr>
              <w:autoSpaceDE w:val="0"/>
              <w:autoSpaceDN w:val="0"/>
              <w:adjustRightInd w:val="0"/>
              <w:jc w:val="center"/>
              <w:rPr>
                <w:rFonts w:asciiTheme="minorBidi" w:hAnsiTheme="minorBidi"/>
                <w:b/>
                <w:bCs/>
                <w:lang w:bidi="ar-EG"/>
              </w:rPr>
            </w:pPr>
            <w:r w:rsidRPr="00477649">
              <w:rPr>
                <w:rFonts w:asciiTheme="minorBidi" w:hAnsiTheme="minorBidi"/>
                <w:b/>
                <w:bCs/>
                <w:lang w:bidi="ar-EG"/>
              </w:rPr>
              <w:t>DB</w:t>
            </w:r>
          </w:p>
        </w:tc>
        <w:tc>
          <w:tcPr>
            <w:tcW w:w="808" w:type="dxa"/>
            <w:vAlign w:val="center"/>
          </w:tcPr>
          <w:p w14:paraId="1CE9C367"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0.89</w:t>
            </w:r>
          </w:p>
          <w:p w14:paraId="4EFA0D13"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0.99</w:t>
            </w:r>
            <w:r w:rsidRPr="00477649">
              <w:rPr>
                <w:rFonts w:asciiTheme="majorBidi" w:hAnsiTheme="majorBidi" w:cstheme="majorBidi" w:hint="cs"/>
                <w:b/>
                <w:bCs/>
                <w:rtl/>
                <w:lang w:bidi="ar-EG"/>
              </w:rPr>
              <w:t>)</w:t>
            </w:r>
          </w:p>
        </w:tc>
        <w:tc>
          <w:tcPr>
            <w:tcW w:w="808" w:type="dxa"/>
            <w:vAlign w:val="center"/>
          </w:tcPr>
          <w:p w14:paraId="69D476C1"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-0.99</w:t>
            </w:r>
          </w:p>
          <w:p w14:paraId="16DCB6B0"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0.93</w:t>
            </w:r>
            <w:r w:rsidRPr="00477649">
              <w:rPr>
                <w:rFonts w:asciiTheme="majorBidi" w:hAnsiTheme="majorBidi" w:cstheme="majorBidi" w:hint="cs"/>
                <w:b/>
                <w:bCs/>
                <w:rtl/>
                <w:lang w:bidi="ar-EG"/>
              </w:rPr>
              <w:t>)</w:t>
            </w:r>
          </w:p>
        </w:tc>
        <w:tc>
          <w:tcPr>
            <w:tcW w:w="809" w:type="dxa"/>
            <w:vAlign w:val="center"/>
          </w:tcPr>
          <w:p w14:paraId="2C5938FC"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1.68</w:t>
            </w:r>
          </w:p>
          <w:p w14:paraId="75EBD41D"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0.97</w:t>
            </w:r>
            <w:r w:rsidRPr="00477649">
              <w:rPr>
                <w:rFonts w:asciiTheme="majorBidi" w:hAnsiTheme="majorBidi" w:cstheme="majorBidi" w:hint="cs"/>
                <w:b/>
                <w:bCs/>
                <w:rtl/>
                <w:lang w:bidi="ar-EG"/>
              </w:rPr>
              <w:t>)</w:t>
            </w:r>
          </w:p>
        </w:tc>
        <w:tc>
          <w:tcPr>
            <w:tcW w:w="808" w:type="dxa"/>
            <w:vAlign w:val="center"/>
          </w:tcPr>
          <w:p w14:paraId="7335620E"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-5.34</w:t>
            </w:r>
          </w:p>
          <w:p w14:paraId="61FFA74C"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0.00</w:t>
            </w:r>
            <w:r w:rsidRPr="00477649">
              <w:rPr>
                <w:rFonts w:asciiTheme="majorBidi" w:hAnsiTheme="majorBidi" w:cstheme="majorBidi" w:hint="cs"/>
                <w:b/>
                <w:bCs/>
                <w:rtl/>
                <w:lang w:bidi="ar-EG"/>
              </w:rPr>
              <w:t>)</w:t>
            </w:r>
          </w:p>
        </w:tc>
        <w:tc>
          <w:tcPr>
            <w:tcW w:w="808" w:type="dxa"/>
            <w:vAlign w:val="center"/>
          </w:tcPr>
          <w:p w14:paraId="27C20453"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-6.38</w:t>
            </w:r>
          </w:p>
          <w:p w14:paraId="592CA557"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0.00</w:t>
            </w:r>
            <w:r w:rsidRPr="00477649">
              <w:rPr>
                <w:rFonts w:asciiTheme="majorBidi" w:hAnsiTheme="majorBidi" w:cstheme="majorBidi" w:hint="cs"/>
                <w:b/>
                <w:bCs/>
                <w:rtl/>
                <w:lang w:bidi="ar-EG"/>
              </w:rPr>
              <w:t>)</w:t>
            </w:r>
          </w:p>
        </w:tc>
        <w:tc>
          <w:tcPr>
            <w:tcW w:w="808" w:type="dxa"/>
            <w:vAlign w:val="center"/>
          </w:tcPr>
          <w:p w14:paraId="20CFD57F"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-4.86</w:t>
            </w:r>
          </w:p>
          <w:p w14:paraId="603E2946"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0.00</w:t>
            </w:r>
            <w:r w:rsidRPr="00477649">
              <w:rPr>
                <w:rFonts w:asciiTheme="majorBidi" w:hAnsiTheme="majorBidi" w:cstheme="majorBidi" w:hint="cs"/>
                <w:b/>
                <w:bCs/>
                <w:rtl/>
                <w:lang w:bidi="ar-EG"/>
              </w:rPr>
              <w:t>)</w:t>
            </w:r>
          </w:p>
        </w:tc>
        <w:tc>
          <w:tcPr>
            <w:tcW w:w="809" w:type="dxa"/>
            <w:vAlign w:val="center"/>
          </w:tcPr>
          <w:p w14:paraId="4BC24EDA"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w:t>
            </w:r>
          </w:p>
        </w:tc>
        <w:tc>
          <w:tcPr>
            <w:tcW w:w="808" w:type="dxa"/>
            <w:vAlign w:val="center"/>
          </w:tcPr>
          <w:p w14:paraId="7857D4AA"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w:t>
            </w:r>
          </w:p>
        </w:tc>
        <w:tc>
          <w:tcPr>
            <w:tcW w:w="808" w:type="dxa"/>
            <w:vAlign w:val="center"/>
          </w:tcPr>
          <w:p w14:paraId="5C8664EF"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w:t>
            </w:r>
          </w:p>
        </w:tc>
        <w:tc>
          <w:tcPr>
            <w:tcW w:w="809" w:type="dxa"/>
            <w:vAlign w:val="center"/>
          </w:tcPr>
          <w:p w14:paraId="2ADB034F"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I(1)</w:t>
            </w:r>
          </w:p>
        </w:tc>
      </w:tr>
      <w:tr w:rsidR="002959BC" w:rsidRPr="00477649" w14:paraId="31AE5BB0" w14:textId="77777777" w:rsidTr="00270E6A">
        <w:trPr>
          <w:jc w:val="center"/>
        </w:trPr>
        <w:tc>
          <w:tcPr>
            <w:tcW w:w="808" w:type="dxa"/>
            <w:vAlign w:val="center"/>
          </w:tcPr>
          <w:p w14:paraId="31ADA793" w14:textId="77777777" w:rsidR="002959BC" w:rsidRPr="00477649" w:rsidRDefault="002959BC" w:rsidP="00270E6A">
            <w:pPr>
              <w:autoSpaceDE w:val="0"/>
              <w:autoSpaceDN w:val="0"/>
              <w:adjustRightInd w:val="0"/>
              <w:jc w:val="center"/>
              <w:rPr>
                <w:rFonts w:asciiTheme="minorBidi" w:hAnsiTheme="minorBidi"/>
                <w:b/>
                <w:bCs/>
                <w:lang w:bidi="ar-EG"/>
              </w:rPr>
            </w:pPr>
            <w:r w:rsidRPr="00477649">
              <w:rPr>
                <w:rFonts w:asciiTheme="minorBidi" w:hAnsiTheme="minorBidi"/>
                <w:b/>
                <w:bCs/>
                <w:lang w:bidi="ar-EG"/>
              </w:rPr>
              <w:t>DNB</w:t>
            </w:r>
          </w:p>
        </w:tc>
        <w:tc>
          <w:tcPr>
            <w:tcW w:w="808" w:type="dxa"/>
            <w:vAlign w:val="center"/>
          </w:tcPr>
          <w:p w14:paraId="6E02717D"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-2.09</w:t>
            </w:r>
          </w:p>
          <w:p w14:paraId="6EC8C65D"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0.25</w:t>
            </w:r>
            <w:r w:rsidRPr="00477649">
              <w:rPr>
                <w:rFonts w:asciiTheme="majorBidi" w:hAnsiTheme="majorBidi" w:cstheme="majorBidi" w:hint="cs"/>
                <w:b/>
                <w:bCs/>
                <w:rtl/>
                <w:lang w:bidi="ar-EG"/>
              </w:rPr>
              <w:t>)</w:t>
            </w:r>
          </w:p>
        </w:tc>
        <w:tc>
          <w:tcPr>
            <w:tcW w:w="808" w:type="dxa"/>
            <w:vAlign w:val="center"/>
          </w:tcPr>
          <w:p w14:paraId="276EC4AA"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-4.42</w:t>
            </w:r>
          </w:p>
          <w:p w14:paraId="5F7B705E"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0.01</w:t>
            </w:r>
            <w:r w:rsidRPr="00477649">
              <w:rPr>
                <w:rFonts w:asciiTheme="majorBidi" w:hAnsiTheme="majorBidi" w:cstheme="majorBidi" w:hint="cs"/>
                <w:b/>
                <w:bCs/>
                <w:rtl/>
                <w:lang w:bidi="ar-EG"/>
              </w:rPr>
              <w:t>)</w:t>
            </w:r>
          </w:p>
        </w:tc>
        <w:tc>
          <w:tcPr>
            <w:tcW w:w="809" w:type="dxa"/>
            <w:vAlign w:val="center"/>
          </w:tcPr>
          <w:p w14:paraId="1D92B259"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-0.91</w:t>
            </w:r>
          </w:p>
          <w:p w14:paraId="1FD0BEE6"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0.31</w:t>
            </w:r>
            <w:r w:rsidRPr="00477649">
              <w:rPr>
                <w:rFonts w:asciiTheme="majorBidi" w:hAnsiTheme="majorBidi" w:cstheme="majorBidi" w:hint="cs"/>
                <w:b/>
                <w:bCs/>
                <w:rtl/>
                <w:lang w:bidi="ar-EG"/>
              </w:rPr>
              <w:t>)</w:t>
            </w:r>
          </w:p>
        </w:tc>
        <w:tc>
          <w:tcPr>
            <w:tcW w:w="808" w:type="dxa"/>
            <w:vAlign w:val="center"/>
          </w:tcPr>
          <w:p w14:paraId="26384ABC"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w:t>
            </w:r>
          </w:p>
        </w:tc>
        <w:tc>
          <w:tcPr>
            <w:tcW w:w="808" w:type="dxa"/>
            <w:vAlign w:val="center"/>
          </w:tcPr>
          <w:p w14:paraId="5897C538"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w:t>
            </w:r>
          </w:p>
        </w:tc>
        <w:tc>
          <w:tcPr>
            <w:tcW w:w="808" w:type="dxa"/>
            <w:vAlign w:val="center"/>
          </w:tcPr>
          <w:p w14:paraId="5175D4A7"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w:t>
            </w:r>
          </w:p>
        </w:tc>
        <w:tc>
          <w:tcPr>
            <w:tcW w:w="809" w:type="dxa"/>
            <w:vAlign w:val="center"/>
          </w:tcPr>
          <w:p w14:paraId="306BE64E"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w:t>
            </w:r>
          </w:p>
        </w:tc>
        <w:tc>
          <w:tcPr>
            <w:tcW w:w="808" w:type="dxa"/>
            <w:vAlign w:val="center"/>
          </w:tcPr>
          <w:p w14:paraId="366F1DCC"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w:t>
            </w:r>
          </w:p>
        </w:tc>
        <w:tc>
          <w:tcPr>
            <w:tcW w:w="808" w:type="dxa"/>
            <w:vAlign w:val="center"/>
          </w:tcPr>
          <w:p w14:paraId="5FD6DE52"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w:t>
            </w:r>
          </w:p>
        </w:tc>
        <w:tc>
          <w:tcPr>
            <w:tcW w:w="809" w:type="dxa"/>
            <w:vAlign w:val="center"/>
          </w:tcPr>
          <w:p w14:paraId="511BC701"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I(0)</w:t>
            </w:r>
          </w:p>
        </w:tc>
      </w:tr>
      <w:tr w:rsidR="002959BC" w:rsidRPr="00477649" w14:paraId="099A3E07" w14:textId="77777777" w:rsidTr="00270E6A">
        <w:trPr>
          <w:jc w:val="center"/>
        </w:trPr>
        <w:tc>
          <w:tcPr>
            <w:tcW w:w="808" w:type="dxa"/>
            <w:vAlign w:val="center"/>
          </w:tcPr>
          <w:p w14:paraId="09003F1D" w14:textId="77777777" w:rsidR="002959BC" w:rsidRPr="00477649" w:rsidRDefault="002959BC" w:rsidP="00270E6A">
            <w:pPr>
              <w:autoSpaceDE w:val="0"/>
              <w:autoSpaceDN w:val="0"/>
              <w:adjustRightInd w:val="0"/>
              <w:jc w:val="center"/>
              <w:rPr>
                <w:rFonts w:asciiTheme="minorBidi" w:hAnsiTheme="minorBidi"/>
                <w:b/>
                <w:bCs/>
                <w:lang w:bidi="ar-EG"/>
              </w:rPr>
            </w:pPr>
            <w:r w:rsidRPr="00477649">
              <w:rPr>
                <w:rFonts w:asciiTheme="minorBidi" w:hAnsiTheme="minorBidi"/>
                <w:b/>
                <w:bCs/>
                <w:lang w:bidi="ar-EG"/>
              </w:rPr>
              <w:t>XF</w:t>
            </w:r>
          </w:p>
        </w:tc>
        <w:tc>
          <w:tcPr>
            <w:tcW w:w="808" w:type="dxa"/>
            <w:vAlign w:val="center"/>
          </w:tcPr>
          <w:p w14:paraId="6981FCA5"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-3.71</w:t>
            </w:r>
          </w:p>
          <w:p w14:paraId="3AC6403A"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0.01</w:t>
            </w:r>
            <w:r w:rsidRPr="00477649">
              <w:rPr>
                <w:rFonts w:asciiTheme="majorBidi" w:hAnsiTheme="majorBidi" w:cstheme="majorBidi" w:hint="cs"/>
                <w:b/>
                <w:bCs/>
                <w:rtl/>
                <w:lang w:bidi="ar-EG"/>
              </w:rPr>
              <w:t>)</w:t>
            </w:r>
          </w:p>
        </w:tc>
        <w:tc>
          <w:tcPr>
            <w:tcW w:w="808" w:type="dxa"/>
            <w:vAlign w:val="center"/>
          </w:tcPr>
          <w:p w14:paraId="629AB554"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-2.97</w:t>
            </w:r>
          </w:p>
          <w:p w14:paraId="642B438F"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0.16</w:t>
            </w:r>
            <w:r w:rsidRPr="00477649">
              <w:rPr>
                <w:rFonts w:asciiTheme="majorBidi" w:hAnsiTheme="majorBidi" w:cstheme="majorBidi" w:hint="cs"/>
                <w:b/>
                <w:bCs/>
                <w:rtl/>
                <w:lang w:bidi="ar-EG"/>
              </w:rPr>
              <w:t>)</w:t>
            </w:r>
          </w:p>
        </w:tc>
        <w:tc>
          <w:tcPr>
            <w:tcW w:w="809" w:type="dxa"/>
            <w:vAlign w:val="center"/>
          </w:tcPr>
          <w:p w14:paraId="6ACBC24D"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-4.12</w:t>
            </w:r>
          </w:p>
          <w:p w14:paraId="25E9FFC2"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0.00</w:t>
            </w:r>
            <w:r w:rsidRPr="00477649">
              <w:rPr>
                <w:rFonts w:asciiTheme="majorBidi" w:hAnsiTheme="majorBidi" w:cstheme="majorBidi" w:hint="cs"/>
                <w:b/>
                <w:bCs/>
                <w:rtl/>
                <w:lang w:bidi="ar-EG"/>
              </w:rPr>
              <w:t>)</w:t>
            </w:r>
          </w:p>
        </w:tc>
        <w:tc>
          <w:tcPr>
            <w:tcW w:w="808" w:type="dxa"/>
            <w:vAlign w:val="center"/>
          </w:tcPr>
          <w:p w14:paraId="1D056BA7"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w:t>
            </w:r>
          </w:p>
        </w:tc>
        <w:tc>
          <w:tcPr>
            <w:tcW w:w="808" w:type="dxa"/>
            <w:vAlign w:val="center"/>
          </w:tcPr>
          <w:p w14:paraId="73FFA5A7"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w:t>
            </w:r>
          </w:p>
        </w:tc>
        <w:tc>
          <w:tcPr>
            <w:tcW w:w="808" w:type="dxa"/>
            <w:vAlign w:val="center"/>
          </w:tcPr>
          <w:p w14:paraId="3182FC84"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w:t>
            </w:r>
          </w:p>
        </w:tc>
        <w:tc>
          <w:tcPr>
            <w:tcW w:w="809" w:type="dxa"/>
            <w:vAlign w:val="center"/>
          </w:tcPr>
          <w:p w14:paraId="091E2FBE"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w:t>
            </w:r>
          </w:p>
        </w:tc>
        <w:tc>
          <w:tcPr>
            <w:tcW w:w="808" w:type="dxa"/>
            <w:vAlign w:val="center"/>
          </w:tcPr>
          <w:p w14:paraId="661A530E"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w:t>
            </w:r>
          </w:p>
        </w:tc>
        <w:tc>
          <w:tcPr>
            <w:tcW w:w="808" w:type="dxa"/>
            <w:vAlign w:val="center"/>
          </w:tcPr>
          <w:p w14:paraId="1AF1216C"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w:t>
            </w:r>
          </w:p>
        </w:tc>
        <w:tc>
          <w:tcPr>
            <w:tcW w:w="809" w:type="dxa"/>
            <w:vAlign w:val="center"/>
          </w:tcPr>
          <w:p w14:paraId="2F9BDDD7"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I(0)</w:t>
            </w:r>
          </w:p>
        </w:tc>
      </w:tr>
      <w:tr w:rsidR="002959BC" w:rsidRPr="00477649" w14:paraId="6E93FA0F" w14:textId="77777777" w:rsidTr="00270E6A">
        <w:trPr>
          <w:jc w:val="center"/>
        </w:trPr>
        <w:tc>
          <w:tcPr>
            <w:tcW w:w="808" w:type="dxa"/>
            <w:vAlign w:val="center"/>
          </w:tcPr>
          <w:p w14:paraId="7D4A3981" w14:textId="77777777" w:rsidR="002959BC" w:rsidRPr="00477649" w:rsidRDefault="002959BC" w:rsidP="00270E6A">
            <w:pPr>
              <w:autoSpaceDE w:val="0"/>
              <w:autoSpaceDN w:val="0"/>
              <w:adjustRightInd w:val="0"/>
              <w:jc w:val="center"/>
              <w:rPr>
                <w:rFonts w:asciiTheme="minorBidi" w:hAnsiTheme="minorBidi"/>
                <w:b/>
                <w:bCs/>
                <w:rtl/>
                <w:lang w:bidi="ar-EG"/>
              </w:rPr>
            </w:pPr>
            <w:r w:rsidRPr="00477649">
              <w:rPr>
                <w:rFonts w:asciiTheme="minorBidi" w:hAnsiTheme="minorBidi"/>
                <w:b/>
                <w:bCs/>
                <w:lang w:bidi="ar-EG"/>
              </w:rPr>
              <w:t>XP</w:t>
            </w:r>
          </w:p>
        </w:tc>
        <w:tc>
          <w:tcPr>
            <w:tcW w:w="808" w:type="dxa"/>
            <w:vAlign w:val="center"/>
          </w:tcPr>
          <w:p w14:paraId="238CF516"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-0.39</w:t>
            </w:r>
          </w:p>
          <w:p w14:paraId="71A32422"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0.89</w:t>
            </w:r>
            <w:r w:rsidRPr="00477649">
              <w:rPr>
                <w:rFonts w:asciiTheme="majorBidi" w:hAnsiTheme="majorBidi" w:cstheme="majorBidi" w:hint="cs"/>
                <w:b/>
                <w:bCs/>
                <w:rtl/>
                <w:lang w:bidi="ar-EG"/>
              </w:rPr>
              <w:t>)</w:t>
            </w:r>
          </w:p>
        </w:tc>
        <w:tc>
          <w:tcPr>
            <w:tcW w:w="808" w:type="dxa"/>
            <w:vAlign w:val="center"/>
          </w:tcPr>
          <w:p w14:paraId="1AAE0FB6"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-1.98</w:t>
            </w:r>
          </w:p>
          <w:p w14:paraId="229D6733"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0.58</w:t>
            </w:r>
            <w:r w:rsidRPr="00477649">
              <w:rPr>
                <w:rFonts w:asciiTheme="majorBidi" w:hAnsiTheme="majorBidi" w:cstheme="majorBidi" w:hint="cs"/>
                <w:b/>
                <w:bCs/>
                <w:rtl/>
                <w:lang w:bidi="ar-EG"/>
              </w:rPr>
              <w:t>)</w:t>
            </w:r>
          </w:p>
        </w:tc>
        <w:tc>
          <w:tcPr>
            <w:tcW w:w="809" w:type="dxa"/>
            <w:vAlign w:val="center"/>
          </w:tcPr>
          <w:p w14:paraId="0B8CDE35"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1.32</w:t>
            </w:r>
          </w:p>
          <w:p w14:paraId="36354017"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0.95</w:t>
            </w:r>
            <w:r w:rsidRPr="00477649">
              <w:rPr>
                <w:rFonts w:asciiTheme="majorBidi" w:hAnsiTheme="majorBidi" w:cstheme="majorBidi" w:hint="cs"/>
                <w:b/>
                <w:bCs/>
                <w:rtl/>
                <w:lang w:bidi="ar-EG"/>
              </w:rPr>
              <w:t>)</w:t>
            </w:r>
          </w:p>
        </w:tc>
        <w:tc>
          <w:tcPr>
            <w:tcW w:w="808" w:type="dxa"/>
            <w:vAlign w:val="center"/>
          </w:tcPr>
          <w:p w14:paraId="33E88BF9"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-3.77</w:t>
            </w:r>
          </w:p>
          <w:p w14:paraId="7B4E8C38"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0.00</w:t>
            </w:r>
            <w:r w:rsidRPr="00477649">
              <w:rPr>
                <w:rFonts w:asciiTheme="majorBidi" w:hAnsiTheme="majorBidi" w:cstheme="majorBidi" w:hint="cs"/>
                <w:b/>
                <w:bCs/>
                <w:rtl/>
                <w:lang w:bidi="ar-EG"/>
              </w:rPr>
              <w:t>)</w:t>
            </w:r>
          </w:p>
        </w:tc>
        <w:tc>
          <w:tcPr>
            <w:tcW w:w="808" w:type="dxa"/>
            <w:vAlign w:val="center"/>
          </w:tcPr>
          <w:p w14:paraId="0F664C77"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-3.64</w:t>
            </w:r>
          </w:p>
          <w:p w14:paraId="6290181E"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0.04</w:t>
            </w:r>
            <w:r w:rsidRPr="00477649">
              <w:rPr>
                <w:rFonts w:asciiTheme="majorBidi" w:hAnsiTheme="majorBidi" w:cstheme="majorBidi" w:hint="cs"/>
                <w:b/>
                <w:bCs/>
                <w:rtl/>
                <w:lang w:bidi="ar-EG"/>
              </w:rPr>
              <w:t>)</w:t>
            </w:r>
          </w:p>
        </w:tc>
        <w:tc>
          <w:tcPr>
            <w:tcW w:w="808" w:type="dxa"/>
            <w:vAlign w:val="center"/>
          </w:tcPr>
          <w:p w14:paraId="4CFA1B27"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-3.46</w:t>
            </w:r>
          </w:p>
          <w:p w14:paraId="31F0825B"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0.00</w:t>
            </w:r>
            <w:r w:rsidRPr="00477649">
              <w:rPr>
                <w:rFonts w:asciiTheme="majorBidi" w:hAnsiTheme="majorBidi" w:cstheme="majorBidi" w:hint="cs"/>
                <w:b/>
                <w:bCs/>
                <w:rtl/>
                <w:lang w:bidi="ar-EG"/>
              </w:rPr>
              <w:t>)</w:t>
            </w:r>
          </w:p>
        </w:tc>
        <w:tc>
          <w:tcPr>
            <w:tcW w:w="809" w:type="dxa"/>
            <w:vAlign w:val="center"/>
          </w:tcPr>
          <w:p w14:paraId="72C5B911"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w:t>
            </w:r>
          </w:p>
        </w:tc>
        <w:tc>
          <w:tcPr>
            <w:tcW w:w="808" w:type="dxa"/>
            <w:vAlign w:val="center"/>
          </w:tcPr>
          <w:p w14:paraId="2659C37A"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w:t>
            </w:r>
          </w:p>
        </w:tc>
        <w:tc>
          <w:tcPr>
            <w:tcW w:w="808" w:type="dxa"/>
            <w:vAlign w:val="center"/>
          </w:tcPr>
          <w:p w14:paraId="5CACF45D"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w:t>
            </w:r>
          </w:p>
        </w:tc>
        <w:tc>
          <w:tcPr>
            <w:tcW w:w="809" w:type="dxa"/>
            <w:vAlign w:val="center"/>
          </w:tcPr>
          <w:p w14:paraId="722773D7"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I(1)</w:t>
            </w:r>
          </w:p>
        </w:tc>
      </w:tr>
      <w:tr w:rsidR="002959BC" w:rsidRPr="00477649" w14:paraId="1FC20BB5" w14:textId="77777777" w:rsidTr="00270E6A">
        <w:trPr>
          <w:jc w:val="center"/>
        </w:trPr>
        <w:tc>
          <w:tcPr>
            <w:tcW w:w="808" w:type="dxa"/>
            <w:vAlign w:val="center"/>
          </w:tcPr>
          <w:p w14:paraId="3DED1480" w14:textId="77777777" w:rsidR="002959BC" w:rsidRPr="00477649" w:rsidRDefault="002959BC" w:rsidP="00270E6A">
            <w:pPr>
              <w:autoSpaceDE w:val="0"/>
              <w:autoSpaceDN w:val="0"/>
              <w:adjustRightInd w:val="0"/>
              <w:jc w:val="center"/>
              <w:rPr>
                <w:rFonts w:asciiTheme="minorBidi" w:hAnsiTheme="minorBidi"/>
                <w:b/>
                <w:bCs/>
                <w:lang w:bidi="ar-EG"/>
              </w:rPr>
            </w:pPr>
            <w:r w:rsidRPr="00477649">
              <w:rPr>
                <w:rFonts w:asciiTheme="minorBidi" w:hAnsiTheme="minorBidi"/>
                <w:b/>
                <w:bCs/>
                <w:lang w:bidi="ar-EG"/>
              </w:rPr>
              <w:t>M</w:t>
            </w:r>
            <w:r>
              <w:rPr>
                <w:rFonts w:asciiTheme="minorBidi" w:hAnsiTheme="minorBidi"/>
                <w:b/>
                <w:bCs/>
                <w:lang w:bidi="ar-EG"/>
              </w:rPr>
              <w:t>2</w:t>
            </w:r>
          </w:p>
        </w:tc>
        <w:tc>
          <w:tcPr>
            <w:tcW w:w="808" w:type="dxa"/>
            <w:vAlign w:val="center"/>
          </w:tcPr>
          <w:p w14:paraId="4B384080"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-1.73</w:t>
            </w:r>
          </w:p>
          <w:p w14:paraId="480F4BB6"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0.40</w:t>
            </w:r>
            <w:r w:rsidRPr="00477649">
              <w:rPr>
                <w:rFonts w:asciiTheme="majorBidi" w:hAnsiTheme="majorBidi" w:cstheme="majorBidi" w:hint="cs"/>
                <w:b/>
                <w:bCs/>
                <w:rtl/>
                <w:lang w:bidi="ar-EG"/>
              </w:rPr>
              <w:t>)</w:t>
            </w:r>
          </w:p>
        </w:tc>
        <w:tc>
          <w:tcPr>
            <w:tcW w:w="808" w:type="dxa"/>
            <w:vAlign w:val="center"/>
          </w:tcPr>
          <w:p w14:paraId="0DD85D76"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-1.64</w:t>
            </w:r>
          </w:p>
          <w:p w14:paraId="40863143"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0.74</w:t>
            </w:r>
            <w:r w:rsidRPr="00477649">
              <w:rPr>
                <w:rFonts w:asciiTheme="majorBidi" w:hAnsiTheme="majorBidi" w:cstheme="majorBidi" w:hint="cs"/>
                <w:b/>
                <w:bCs/>
                <w:rtl/>
                <w:lang w:bidi="ar-EG"/>
              </w:rPr>
              <w:t>)</w:t>
            </w:r>
          </w:p>
        </w:tc>
        <w:tc>
          <w:tcPr>
            <w:tcW w:w="809" w:type="dxa"/>
            <w:vAlign w:val="center"/>
          </w:tcPr>
          <w:p w14:paraId="771CB66C"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0.13</w:t>
            </w:r>
          </w:p>
          <w:p w14:paraId="238F3A55"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0.72</w:t>
            </w:r>
            <w:r w:rsidRPr="00477649">
              <w:rPr>
                <w:rFonts w:asciiTheme="majorBidi" w:hAnsiTheme="majorBidi" w:cstheme="majorBidi" w:hint="cs"/>
                <w:b/>
                <w:bCs/>
                <w:rtl/>
                <w:lang w:bidi="ar-EG"/>
              </w:rPr>
              <w:t>)</w:t>
            </w:r>
          </w:p>
        </w:tc>
        <w:tc>
          <w:tcPr>
            <w:tcW w:w="808" w:type="dxa"/>
            <w:vAlign w:val="center"/>
          </w:tcPr>
          <w:p w14:paraId="48BD9456"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-1.42</w:t>
            </w:r>
          </w:p>
          <w:p w14:paraId="2BF08FB2"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0.55</w:t>
            </w:r>
            <w:r w:rsidRPr="00477649">
              <w:rPr>
                <w:rFonts w:asciiTheme="majorBidi" w:hAnsiTheme="majorBidi" w:cstheme="majorBidi" w:hint="cs"/>
                <w:b/>
                <w:bCs/>
                <w:rtl/>
                <w:lang w:bidi="ar-EG"/>
              </w:rPr>
              <w:t>)</w:t>
            </w:r>
          </w:p>
        </w:tc>
        <w:tc>
          <w:tcPr>
            <w:tcW w:w="808" w:type="dxa"/>
            <w:vAlign w:val="center"/>
          </w:tcPr>
          <w:p w14:paraId="46C55B15"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-1.36</w:t>
            </w:r>
          </w:p>
          <w:p w14:paraId="1C44100B"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0.84</w:t>
            </w:r>
            <w:r w:rsidRPr="00477649">
              <w:rPr>
                <w:rFonts w:asciiTheme="majorBidi" w:hAnsiTheme="majorBidi" w:cstheme="majorBidi" w:hint="cs"/>
                <w:b/>
                <w:bCs/>
                <w:rtl/>
                <w:lang w:bidi="ar-EG"/>
              </w:rPr>
              <w:t>)</w:t>
            </w:r>
          </w:p>
        </w:tc>
        <w:tc>
          <w:tcPr>
            <w:tcW w:w="808" w:type="dxa"/>
            <w:vAlign w:val="center"/>
          </w:tcPr>
          <w:p w14:paraId="7A28408C"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-1.53</w:t>
            </w:r>
          </w:p>
          <w:p w14:paraId="754130CB"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0.11</w:t>
            </w:r>
            <w:r w:rsidRPr="00477649">
              <w:rPr>
                <w:rFonts w:asciiTheme="majorBidi" w:hAnsiTheme="majorBidi" w:cstheme="majorBidi" w:hint="cs"/>
                <w:b/>
                <w:bCs/>
                <w:rtl/>
                <w:lang w:bidi="ar-EG"/>
              </w:rPr>
              <w:t>)</w:t>
            </w:r>
          </w:p>
        </w:tc>
        <w:tc>
          <w:tcPr>
            <w:tcW w:w="809" w:type="dxa"/>
            <w:vAlign w:val="center"/>
          </w:tcPr>
          <w:p w14:paraId="60F9D85A"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-4.68</w:t>
            </w:r>
          </w:p>
          <w:p w14:paraId="6BEDD13B"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0.00</w:t>
            </w:r>
            <w:r w:rsidRPr="00477649">
              <w:rPr>
                <w:rFonts w:asciiTheme="majorBidi" w:hAnsiTheme="majorBidi" w:cstheme="majorBidi" w:hint="cs"/>
                <w:b/>
                <w:bCs/>
                <w:rtl/>
                <w:lang w:bidi="ar-EG"/>
              </w:rPr>
              <w:t>)</w:t>
            </w:r>
          </w:p>
        </w:tc>
        <w:tc>
          <w:tcPr>
            <w:tcW w:w="808" w:type="dxa"/>
            <w:vAlign w:val="center"/>
          </w:tcPr>
          <w:p w14:paraId="1D80AACA"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-4.82</w:t>
            </w:r>
          </w:p>
          <w:p w14:paraId="6C24BFA7"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0.00</w:t>
            </w:r>
            <w:r w:rsidRPr="00477649">
              <w:rPr>
                <w:rFonts w:asciiTheme="majorBidi" w:hAnsiTheme="majorBidi" w:cstheme="majorBidi" w:hint="cs"/>
                <w:b/>
                <w:bCs/>
                <w:rtl/>
                <w:lang w:bidi="ar-EG"/>
              </w:rPr>
              <w:t>)</w:t>
            </w:r>
          </w:p>
        </w:tc>
        <w:tc>
          <w:tcPr>
            <w:tcW w:w="808" w:type="dxa"/>
            <w:vAlign w:val="center"/>
          </w:tcPr>
          <w:p w14:paraId="58D95351"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-4.73</w:t>
            </w:r>
          </w:p>
          <w:p w14:paraId="245E28C3"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0.00</w:t>
            </w:r>
            <w:r w:rsidRPr="00477649">
              <w:rPr>
                <w:rFonts w:asciiTheme="majorBidi" w:hAnsiTheme="majorBidi" w:cstheme="majorBidi" w:hint="cs"/>
                <w:b/>
                <w:bCs/>
                <w:rtl/>
                <w:lang w:bidi="ar-EG"/>
              </w:rPr>
              <w:t>)</w:t>
            </w:r>
          </w:p>
        </w:tc>
        <w:tc>
          <w:tcPr>
            <w:tcW w:w="809" w:type="dxa"/>
            <w:vAlign w:val="center"/>
          </w:tcPr>
          <w:p w14:paraId="4B4E8E9D"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I(2)</w:t>
            </w:r>
          </w:p>
        </w:tc>
      </w:tr>
      <w:tr w:rsidR="002959BC" w:rsidRPr="00477649" w14:paraId="09A6DC15" w14:textId="77777777" w:rsidTr="00270E6A">
        <w:trPr>
          <w:jc w:val="center"/>
        </w:trPr>
        <w:tc>
          <w:tcPr>
            <w:tcW w:w="808" w:type="dxa"/>
            <w:vAlign w:val="center"/>
          </w:tcPr>
          <w:p w14:paraId="7247DD17" w14:textId="77777777" w:rsidR="002959BC" w:rsidRPr="00477649" w:rsidRDefault="002959BC" w:rsidP="00270E6A">
            <w:pPr>
              <w:autoSpaceDE w:val="0"/>
              <w:autoSpaceDN w:val="0"/>
              <w:adjustRightInd w:val="0"/>
              <w:jc w:val="center"/>
              <w:rPr>
                <w:rFonts w:asciiTheme="minorBidi" w:hAnsiTheme="minorBidi"/>
                <w:b/>
                <w:bCs/>
                <w:lang w:bidi="ar-EG"/>
              </w:rPr>
            </w:pPr>
            <w:r w:rsidRPr="00477649">
              <w:rPr>
                <w:rFonts w:asciiTheme="minorBidi" w:hAnsiTheme="minorBidi"/>
                <w:b/>
                <w:bCs/>
                <w:lang w:bidi="ar-EG"/>
              </w:rPr>
              <w:t>EX</w:t>
            </w:r>
          </w:p>
        </w:tc>
        <w:tc>
          <w:tcPr>
            <w:tcW w:w="808" w:type="dxa"/>
            <w:vAlign w:val="center"/>
          </w:tcPr>
          <w:p w14:paraId="49F9C05A"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1.53</w:t>
            </w:r>
          </w:p>
          <w:p w14:paraId="0D55266C"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0.99</w:t>
            </w:r>
            <w:r w:rsidRPr="00477649">
              <w:rPr>
                <w:rFonts w:asciiTheme="majorBidi" w:hAnsiTheme="majorBidi" w:cstheme="majorBidi" w:hint="cs"/>
                <w:b/>
                <w:bCs/>
                <w:rtl/>
                <w:lang w:bidi="ar-EG"/>
              </w:rPr>
              <w:t>)</w:t>
            </w:r>
          </w:p>
        </w:tc>
        <w:tc>
          <w:tcPr>
            <w:tcW w:w="808" w:type="dxa"/>
            <w:vAlign w:val="center"/>
          </w:tcPr>
          <w:p w14:paraId="16AFBC07"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-0.52</w:t>
            </w:r>
          </w:p>
          <w:p w14:paraId="6ECD1442"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0.97</w:t>
            </w:r>
            <w:r w:rsidRPr="00477649">
              <w:rPr>
                <w:rFonts w:asciiTheme="majorBidi" w:hAnsiTheme="majorBidi" w:cstheme="majorBidi" w:hint="cs"/>
                <w:b/>
                <w:bCs/>
                <w:rtl/>
                <w:lang w:bidi="ar-EG"/>
              </w:rPr>
              <w:t>)</w:t>
            </w:r>
          </w:p>
        </w:tc>
        <w:tc>
          <w:tcPr>
            <w:tcW w:w="809" w:type="dxa"/>
            <w:vAlign w:val="center"/>
          </w:tcPr>
          <w:p w14:paraId="4C8F1F43"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2.64</w:t>
            </w:r>
          </w:p>
          <w:p w14:paraId="29AF2DC6"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0.99</w:t>
            </w:r>
            <w:r w:rsidRPr="00477649">
              <w:rPr>
                <w:rFonts w:asciiTheme="majorBidi" w:hAnsiTheme="majorBidi" w:cstheme="majorBidi" w:hint="cs"/>
                <w:b/>
                <w:bCs/>
                <w:rtl/>
                <w:lang w:bidi="ar-EG"/>
              </w:rPr>
              <w:t>)</w:t>
            </w:r>
          </w:p>
        </w:tc>
        <w:tc>
          <w:tcPr>
            <w:tcW w:w="808" w:type="dxa"/>
            <w:vAlign w:val="center"/>
          </w:tcPr>
          <w:p w14:paraId="407BD601"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-1.03</w:t>
            </w:r>
          </w:p>
          <w:p w14:paraId="69CDAC5E"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0.72</w:t>
            </w:r>
            <w:r w:rsidRPr="00477649">
              <w:rPr>
                <w:rFonts w:asciiTheme="majorBidi" w:hAnsiTheme="majorBidi" w:cstheme="majorBidi" w:hint="cs"/>
                <w:b/>
                <w:bCs/>
                <w:rtl/>
                <w:lang w:bidi="ar-EG"/>
              </w:rPr>
              <w:t>)</w:t>
            </w:r>
          </w:p>
        </w:tc>
        <w:tc>
          <w:tcPr>
            <w:tcW w:w="808" w:type="dxa"/>
            <w:vAlign w:val="center"/>
          </w:tcPr>
          <w:p w14:paraId="125A8158"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-1.50</w:t>
            </w:r>
          </w:p>
          <w:p w14:paraId="3520D5BA"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0.80</w:t>
            </w:r>
            <w:r w:rsidRPr="00477649">
              <w:rPr>
                <w:rFonts w:asciiTheme="majorBidi" w:hAnsiTheme="majorBidi" w:cstheme="majorBidi" w:hint="cs"/>
                <w:b/>
                <w:bCs/>
                <w:rtl/>
                <w:lang w:bidi="ar-EG"/>
              </w:rPr>
              <w:t>)</w:t>
            </w:r>
          </w:p>
        </w:tc>
        <w:tc>
          <w:tcPr>
            <w:tcW w:w="808" w:type="dxa"/>
            <w:vAlign w:val="center"/>
          </w:tcPr>
          <w:p w14:paraId="47B4025B"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-0.35</w:t>
            </w:r>
          </w:p>
          <w:p w14:paraId="5FCB4954"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0.54</w:t>
            </w:r>
            <w:r w:rsidRPr="00477649">
              <w:rPr>
                <w:rFonts w:asciiTheme="majorBidi" w:hAnsiTheme="majorBidi" w:cstheme="majorBidi" w:hint="cs"/>
                <w:b/>
                <w:bCs/>
                <w:rtl/>
                <w:lang w:bidi="ar-EG"/>
              </w:rPr>
              <w:t>)</w:t>
            </w:r>
          </w:p>
        </w:tc>
        <w:tc>
          <w:tcPr>
            <w:tcW w:w="809" w:type="dxa"/>
            <w:vAlign w:val="center"/>
          </w:tcPr>
          <w:p w14:paraId="14C9076A"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-3.78</w:t>
            </w:r>
          </w:p>
          <w:p w14:paraId="7F2E368F"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0.00</w:t>
            </w:r>
            <w:r w:rsidRPr="00477649">
              <w:rPr>
                <w:rFonts w:asciiTheme="majorBidi" w:hAnsiTheme="majorBidi" w:cstheme="majorBidi" w:hint="cs"/>
                <w:b/>
                <w:bCs/>
                <w:rtl/>
                <w:lang w:bidi="ar-EG"/>
              </w:rPr>
              <w:t>)</w:t>
            </w:r>
          </w:p>
        </w:tc>
        <w:tc>
          <w:tcPr>
            <w:tcW w:w="808" w:type="dxa"/>
            <w:vAlign w:val="center"/>
          </w:tcPr>
          <w:p w14:paraId="2AF00FF9"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-3.94</w:t>
            </w:r>
          </w:p>
          <w:p w14:paraId="56A19F65"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0.02</w:t>
            </w:r>
            <w:r w:rsidRPr="00477649">
              <w:rPr>
                <w:rFonts w:asciiTheme="majorBidi" w:hAnsiTheme="majorBidi" w:cstheme="majorBidi" w:hint="cs"/>
                <w:b/>
                <w:bCs/>
                <w:rtl/>
                <w:lang w:bidi="ar-EG"/>
              </w:rPr>
              <w:t>)</w:t>
            </w:r>
          </w:p>
        </w:tc>
        <w:tc>
          <w:tcPr>
            <w:tcW w:w="808" w:type="dxa"/>
            <w:vAlign w:val="center"/>
          </w:tcPr>
          <w:p w14:paraId="116CBAAA"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-3.84</w:t>
            </w:r>
          </w:p>
          <w:p w14:paraId="1341BE7D"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0.00</w:t>
            </w:r>
            <w:r w:rsidRPr="00477649">
              <w:rPr>
                <w:rFonts w:asciiTheme="majorBidi" w:hAnsiTheme="majorBidi" w:cstheme="majorBidi" w:hint="cs"/>
                <w:b/>
                <w:bCs/>
                <w:rtl/>
                <w:lang w:bidi="ar-EG"/>
              </w:rPr>
              <w:t>)</w:t>
            </w:r>
          </w:p>
        </w:tc>
        <w:tc>
          <w:tcPr>
            <w:tcW w:w="809" w:type="dxa"/>
            <w:vAlign w:val="center"/>
          </w:tcPr>
          <w:p w14:paraId="5C3573C3"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I(2)</w:t>
            </w:r>
          </w:p>
        </w:tc>
      </w:tr>
      <w:tr w:rsidR="002959BC" w:rsidRPr="00477649" w14:paraId="2599A8D7" w14:textId="77777777" w:rsidTr="00270E6A">
        <w:trPr>
          <w:jc w:val="center"/>
        </w:trPr>
        <w:tc>
          <w:tcPr>
            <w:tcW w:w="808" w:type="dxa"/>
            <w:vAlign w:val="center"/>
          </w:tcPr>
          <w:p w14:paraId="6155B5BE" w14:textId="77777777" w:rsidR="002959BC" w:rsidRPr="00477649" w:rsidRDefault="002959BC" w:rsidP="00270E6A">
            <w:pPr>
              <w:autoSpaceDE w:val="0"/>
              <w:autoSpaceDN w:val="0"/>
              <w:adjustRightInd w:val="0"/>
              <w:jc w:val="center"/>
              <w:rPr>
                <w:rFonts w:asciiTheme="minorBidi" w:hAnsiTheme="minorBidi"/>
                <w:b/>
                <w:bCs/>
                <w:lang w:bidi="ar-EG"/>
              </w:rPr>
            </w:pPr>
            <w:r w:rsidRPr="00477649">
              <w:rPr>
                <w:rFonts w:asciiTheme="minorBidi" w:hAnsiTheme="minorBidi"/>
                <w:b/>
                <w:bCs/>
                <w:lang w:bidi="ar-EG"/>
              </w:rPr>
              <w:t>PS</w:t>
            </w:r>
          </w:p>
        </w:tc>
        <w:tc>
          <w:tcPr>
            <w:tcW w:w="808" w:type="dxa"/>
            <w:vAlign w:val="center"/>
          </w:tcPr>
          <w:p w14:paraId="302A28FE"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-2.09</w:t>
            </w:r>
          </w:p>
          <w:p w14:paraId="5C73727C"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0.24</w:t>
            </w:r>
            <w:r w:rsidRPr="00477649">
              <w:rPr>
                <w:rFonts w:asciiTheme="majorBidi" w:hAnsiTheme="majorBidi" w:cstheme="majorBidi" w:hint="cs"/>
                <w:b/>
                <w:bCs/>
                <w:rtl/>
                <w:lang w:bidi="ar-EG"/>
              </w:rPr>
              <w:t>)</w:t>
            </w:r>
          </w:p>
        </w:tc>
        <w:tc>
          <w:tcPr>
            <w:tcW w:w="808" w:type="dxa"/>
            <w:vAlign w:val="center"/>
          </w:tcPr>
          <w:p w14:paraId="53FBF38F"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-2.31</w:t>
            </w:r>
          </w:p>
          <w:p w14:paraId="03BBA01A"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0.41</w:t>
            </w:r>
            <w:r w:rsidRPr="00477649">
              <w:rPr>
                <w:rFonts w:asciiTheme="majorBidi" w:hAnsiTheme="majorBidi" w:cstheme="majorBidi" w:hint="cs"/>
                <w:b/>
                <w:bCs/>
                <w:rtl/>
                <w:lang w:bidi="ar-EG"/>
              </w:rPr>
              <w:t>)</w:t>
            </w:r>
          </w:p>
        </w:tc>
        <w:tc>
          <w:tcPr>
            <w:tcW w:w="809" w:type="dxa"/>
            <w:vAlign w:val="center"/>
          </w:tcPr>
          <w:p w14:paraId="4FF9AF2E"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-1.92</w:t>
            </w:r>
          </w:p>
          <w:p w14:paraId="38C25838"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0.05</w:t>
            </w:r>
            <w:r w:rsidRPr="00477649">
              <w:rPr>
                <w:rFonts w:asciiTheme="majorBidi" w:hAnsiTheme="majorBidi" w:cstheme="majorBidi" w:hint="cs"/>
                <w:b/>
                <w:bCs/>
                <w:rtl/>
                <w:lang w:bidi="ar-EG"/>
              </w:rPr>
              <w:t>)</w:t>
            </w:r>
          </w:p>
        </w:tc>
        <w:tc>
          <w:tcPr>
            <w:tcW w:w="808" w:type="dxa"/>
            <w:vAlign w:val="center"/>
          </w:tcPr>
          <w:p w14:paraId="12BF3463"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-4.69</w:t>
            </w:r>
          </w:p>
          <w:p w14:paraId="4C497DD9"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0.00</w:t>
            </w:r>
            <w:r w:rsidRPr="00477649">
              <w:rPr>
                <w:rFonts w:asciiTheme="majorBidi" w:hAnsiTheme="majorBidi" w:cstheme="majorBidi" w:hint="cs"/>
                <w:b/>
                <w:bCs/>
                <w:rtl/>
                <w:lang w:bidi="ar-EG"/>
              </w:rPr>
              <w:t>)</w:t>
            </w:r>
          </w:p>
        </w:tc>
        <w:tc>
          <w:tcPr>
            <w:tcW w:w="808" w:type="dxa"/>
            <w:vAlign w:val="center"/>
          </w:tcPr>
          <w:p w14:paraId="3A6DDD67"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-4.61</w:t>
            </w:r>
          </w:p>
          <w:p w14:paraId="23D37DA7"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0.00</w:t>
            </w:r>
            <w:r w:rsidRPr="00477649">
              <w:rPr>
                <w:rFonts w:asciiTheme="majorBidi" w:hAnsiTheme="majorBidi" w:cstheme="majorBidi" w:hint="cs"/>
                <w:b/>
                <w:bCs/>
                <w:rtl/>
                <w:lang w:bidi="ar-EG"/>
              </w:rPr>
              <w:t>)</w:t>
            </w:r>
          </w:p>
        </w:tc>
        <w:tc>
          <w:tcPr>
            <w:tcW w:w="808" w:type="dxa"/>
            <w:vAlign w:val="center"/>
          </w:tcPr>
          <w:p w14:paraId="03884338"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-4.79</w:t>
            </w:r>
          </w:p>
          <w:p w14:paraId="1D875CC4"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hint="cs"/>
                <w:b/>
                <w:bCs/>
                <w:rtl/>
                <w:lang w:bidi="ar-EG"/>
              </w:rPr>
              <w:t>(</w:t>
            </w:r>
            <w:r w:rsidRPr="00477649">
              <w:rPr>
                <w:rFonts w:asciiTheme="majorBidi" w:hAnsiTheme="majorBidi" w:cstheme="majorBidi"/>
                <w:b/>
                <w:bCs/>
                <w:lang w:bidi="ar-EG"/>
              </w:rPr>
              <w:t>0.00</w:t>
            </w:r>
            <w:r w:rsidRPr="00477649">
              <w:rPr>
                <w:rFonts w:asciiTheme="majorBidi" w:hAnsiTheme="majorBidi" w:cstheme="majorBidi" w:hint="cs"/>
                <w:b/>
                <w:bCs/>
                <w:rtl/>
                <w:lang w:bidi="ar-EG"/>
              </w:rPr>
              <w:t>)</w:t>
            </w:r>
          </w:p>
        </w:tc>
        <w:tc>
          <w:tcPr>
            <w:tcW w:w="809" w:type="dxa"/>
            <w:vAlign w:val="center"/>
          </w:tcPr>
          <w:p w14:paraId="6CFE7F20"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w:t>
            </w:r>
          </w:p>
        </w:tc>
        <w:tc>
          <w:tcPr>
            <w:tcW w:w="808" w:type="dxa"/>
            <w:vAlign w:val="center"/>
          </w:tcPr>
          <w:p w14:paraId="7A5FEA1B"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w:t>
            </w:r>
          </w:p>
        </w:tc>
        <w:tc>
          <w:tcPr>
            <w:tcW w:w="808" w:type="dxa"/>
            <w:vAlign w:val="center"/>
          </w:tcPr>
          <w:p w14:paraId="4CA4F4D6"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w:t>
            </w:r>
          </w:p>
        </w:tc>
        <w:tc>
          <w:tcPr>
            <w:tcW w:w="809" w:type="dxa"/>
            <w:vAlign w:val="center"/>
          </w:tcPr>
          <w:p w14:paraId="6F51864A" w14:textId="77777777" w:rsidR="002959BC" w:rsidRPr="00477649" w:rsidRDefault="002959BC" w:rsidP="00270E6A">
            <w:pPr>
              <w:autoSpaceDE w:val="0"/>
              <w:autoSpaceDN w:val="0"/>
              <w:adjustRightInd w:val="0"/>
              <w:jc w:val="center"/>
              <w:rPr>
                <w:rFonts w:asciiTheme="majorBidi" w:hAnsiTheme="majorBidi" w:cstheme="majorBidi"/>
                <w:b/>
                <w:bCs/>
                <w:rtl/>
                <w:lang w:bidi="ar-EG"/>
              </w:rPr>
            </w:pPr>
            <w:r w:rsidRPr="00477649">
              <w:rPr>
                <w:rFonts w:asciiTheme="majorBidi" w:hAnsiTheme="majorBidi" w:cstheme="majorBidi"/>
                <w:b/>
                <w:bCs/>
                <w:lang w:bidi="ar-EG"/>
              </w:rPr>
              <w:t>I(1)</w:t>
            </w:r>
          </w:p>
        </w:tc>
      </w:tr>
    </w:tbl>
    <w:p w14:paraId="12EEFF93" w14:textId="77777777" w:rsidR="002959BC" w:rsidRPr="00884538" w:rsidRDefault="002959BC" w:rsidP="002959BC">
      <w:pPr>
        <w:autoSpaceDE w:val="0"/>
        <w:autoSpaceDN w:val="0"/>
        <w:adjustRightInd w:val="0"/>
        <w:jc w:val="both"/>
        <w:rPr>
          <w:rFonts w:ascii="Simplified Arabic" w:hAnsi="Simplified Arabic" w:cs="Simplified Arabic"/>
          <w:rtl/>
        </w:rPr>
      </w:pPr>
      <w:r w:rsidRPr="00884538">
        <w:rPr>
          <w:rFonts w:ascii="Simplified Arabic" w:hAnsi="Simplified Arabic" w:cs="Simplified Arabic"/>
          <w:rtl/>
        </w:rPr>
        <w:t xml:space="preserve">المصدر: من إعداد الباحث بالاعتماد على بيانات الجدول رقم (4-5) من الملحق الإحصائي وباستخدام برنامج </w:t>
      </w:r>
      <w:r w:rsidRPr="00884538">
        <w:rPr>
          <w:rFonts w:ascii="Simplified Arabic" w:hAnsi="Simplified Arabic" w:cs="Simplified Arabic"/>
        </w:rPr>
        <w:t>EViews 10</w:t>
      </w:r>
      <w:r w:rsidRPr="00884538">
        <w:rPr>
          <w:rFonts w:ascii="Simplified Arabic" w:hAnsi="Simplified Arabic" w:cs="Simplified Arabic"/>
          <w:rtl/>
        </w:rPr>
        <w:t>.</w:t>
      </w:r>
    </w:p>
    <w:p w14:paraId="75CF581B" w14:textId="77777777" w:rsidR="002959BC" w:rsidRPr="00884538" w:rsidRDefault="002959BC" w:rsidP="002959BC">
      <w:pPr>
        <w:spacing w:line="216" w:lineRule="auto"/>
        <w:jc w:val="both"/>
        <w:rPr>
          <w:rFonts w:ascii="Simplified Arabic" w:hAnsi="Simplified Arabic" w:cs="Simplified Arabic"/>
          <w:sz w:val="28"/>
          <w:szCs w:val="28"/>
          <w:rtl/>
          <w:lang w:bidi="ar-EG"/>
        </w:rPr>
      </w:pPr>
      <w:r w:rsidRPr="00884538">
        <w:rPr>
          <w:rFonts w:ascii="Simplified Arabic" w:hAnsi="Simplified Arabic" w:cs="Simplified Arabic"/>
          <w:sz w:val="28"/>
          <w:szCs w:val="28"/>
          <w:rtl/>
          <w:lang w:bidi="ar-EG"/>
        </w:rPr>
        <w:t>وكما يتضح من الجدول رقم (3-3) فإنه:</w:t>
      </w:r>
    </w:p>
    <w:p w14:paraId="2E73FC5F" w14:textId="77777777" w:rsidR="002959BC" w:rsidRPr="006043FE" w:rsidRDefault="002959BC" w:rsidP="0041332D">
      <w:pPr>
        <w:pStyle w:val="ListParagraph"/>
        <w:numPr>
          <w:ilvl w:val="0"/>
          <w:numId w:val="37"/>
        </w:numPr>
        <w:spacing w:after="0" w:line="216" w:lineRule="auto"/>
        <w:ind w:left="142" w:hanging="170"/>
        <w:contextualSpacing w:val="0"/>
        <w:jc w:val="both"/>
        <w:rPr>
          <w:rFonts w:ascii="Simplified Arabic" w:hAnsi="Simplified Arabic" w:cs="Simplified Arabic"/>
          <w:sz w:val="28"/>
          <w:szCs w:val="28"/>
          <w:lang w:bidi="ar-EG"/>
        </w:rPr>
      </w:pPr>
      <w:r w:rsidRPr="006043FE">
        <w:rPr>
          <w:rFonts w:ascii="Simplified Arabic" w:hAnsi="Simplified Arabic" w:cs="Simplified Arabic"/>
          <w:sz w:val="28"/>
          <w:szCs w:val="28"/>
          <w:rtl/>
          <w:lang w:bidi="ar-EG"/>
        </w:rPr>
        <w:t>يمكن رفض الفرض العدمي القائل بوجود جذر الوحدة للسلسلتين الزمنيتين (</w:t>
      </w:r>
      <w:r w:rsidRPr="006043FE">
        <w:rPr>
          <w:rFonts w:ascii="Simplified Arabic" w:hAnsi="Simplified Arabic" w:cs="Simplified Arabic"/>
          <w:sz w:val="28"/>
          <w:szCs w:val="28"/>
          <w:lang w:bidi="ar-EG"/>
        </w:rPr>
        <w:t>DNB</w:t>
      </w:r>
      <w:r w:rsidRPr="006043FE">
        <w:rPr>
          <w:rFonts w:ascii="Simplified Arabic" w:hAnsi="Simplified Arabic" w:cs="Simplified Arabic"/>
          <w:sz w:val="28"/>
          <w:szCs w:val="28"/>
          <w:rtl/>
          <w:lang w:bidi="ar-EG"/>
        </w:rPr>
        <w:t xml:space="preserve">، </w:t>
      </w:r>
      <w:r w:rsidRPr="006043FE">
        <w:rPr>
          <w:rFonts w:ascii="Simplified Arabic" w:hAnsi="Simplified Arabic" w:cs="Simplified Arabic"/>
          <w:sz w:val="28"/>
          <w:szCs w:val="28"/>
          <w:lang w:bidi="ar-EG"/>
        </w:rPr>
        <w:t>XF</w:t>
      </w:r>
      <w:r w:rsidRPr="006043FE">
        <w:rPr>
          <w:rFonts w:ascii="Simplified Arabic" w:hAnsi="Simplified Arabic" w:cs="Simplified Arabic"/>
          <w:sz w:val="28"/>
          <w:szCs w:val="28"/>
          <w:rtl/>
          <w:lang w:bidi="ar-EG"/>
        </w:rPr>
        <w:t xml:space="preserve">) حيث يشير اختبار فيليبس بيرون </w:t>
      </w:r>
      <w:r w:rsidRPr="006043FE">
        <w:rPr>
          <w:rFonts w:ascii="Simplified Arabic" w:hAnsi="Simplified Arabic" w:cs="Simplified Arabic"/>
          <w:sz w:val="28"/>
          <w:szCs w:val="28"/>
          <w:lang w:bidi="ar-EG"/>
        </w:rPr>
        <w:t>PP</w:t>
      </w:r>
      <w:r w:rsidRPr="006043FE">
        <w:rPr>
          <w:rFonts w:ascii="Simplified Arabic" w:hAnsi="Simplified Arabic" w:cs="Simplified Arabic"/>
          <w:sz w:val="28"/>
          <w:szCs w:val="28"/>
          <w:rtl/>
          <w:lang w:bidi="ar-EG"/>
        </w:rPr>
        <w:t xml:space="preserve"> إلى استقرار هاتين السلسلتين عند المستوى </w:t>
      </w:r>
      <w:r w:rsidRPr="006043FE">
        <w:rPr>
          <w:rFonts w:ascii="Simplified Arabic" w:hAnsi="Simplified Arabic" w:cs="Simplified Arabic"/>
          <w:sz w:val="28"/>
          <w:szCs w:val="28"/>
          <w:lang w:bidi="ar-EG"/>
        </w:rPr>
        <w:t>I(0)</w:t>
      </w:r>
      <w:r w:rsidRPr="006043FE">
        <w:rPr>
          <w:rFonts w:ascii="Simplified Arabic" w:hAnsi="Simplified Arabic" w:cs="Simplified Arabic"/>
          <w:sz w:val="28"/>
          <w:szCs w:val="28"/>
          <w:rtl/>
          <w:lang w:bidi="ar-EG"/>
        </w:rPr>
        <w:t>.</w:t>
      </w:r>
    </w:p>
    <w:p w14:paraId="32A58607" w14:textId="77777777" w:rsidR="002959BC" w:rsidRPr="006043FE" w:rsidRDefault="002959BC" w:rsidP="0041332D">
      <w:pPr>
        <w:pStyle w:val="ListParagraph"/>
        <w:numPr>
          <w:ilvl w:val="0"/>
          <w:numId w:val="37"/>
        </w:numPr>
        <w:spacing w:after="0" w:line="216" w:lineRule="auto"/>
        <w:ind w:left="142" w:hanging="170"/>
        <w:contextualSpacing w:val="0"/>
        <w:jc w:val="both"/>
        <w:rPr>
          <w:rFonts w:ascii="Simplified Arabic" w:hAnsi="Simplified Arabic" w:cs="Simplified Arabic"/>
          <w:sz w:val="28"/>
          <w:szCs w:val="28"/>
          <w:lang w:bidi="ar-EG"/>
        </w:rPr>
      </w:pPr>
      <w:r w:rsidRPr="006043FE">
        <w:rPr>
          <w:rFonts w:ascii="Simplified Arabic" w:hAnsi="Simplified Arabic" w:cs="Simplified Arabic"/>
          <w:sz w:val="28"/>
          <w:szCs w:val="28"/>
          <w:rtl/>
          <w:lang w:bidi="ar-EG"/>
        </w:rPr>
        <w:t>لا يمكن رفض الفرض العدمي القائل بوجود جذر الوحدة بالنسبة للسلاسل الزمنية (</w:t>
      </w:r>
      <w:r w:rsidRPr="006043FE">
        <w:rPr>
          <w:rFonts w:ascii="Simplified Arabic" w:hAnsi="Simplified Arabic" w:cs="Simplified Arabic"/>
          <w:sz w:val="28"/>
          <w:szCs w:val="28"/>
          <w:lang w:bidi="ar-EG"/>
        </w:rPr>
        <w:t>DB</w:t>
      </w:r>
      <w:r w:rsidRPr="006043FE">
        <w:rPr>
          <w:rFonts w:ascii="Simplified Arabic" w:hAnsi="Simplified Arabic" w:cs="Simplified Arabic"/>
          <w:sz w:val="28"/>
          <w:szCs w:val="28"/>
          <w:rtl/>
          <w:lang w:bidi="ar-EG"/>
        </w:rPr>
        <w:t xml:space="preserve">، </w:t>
      </w:r>
      <w:r w:rsidRPr="006043FE">
        <w:rPr>
          <w:rFonts w:ascii="Simplified Arabic" w:hAnsi="Simplified Arabic" w:cs="Simplified Arabic"/>
          <w:sz w:val="28"/>
          <w:szCs w:val="28"/>
          <w:lang w:bidi="ar-EG"/>
        </w:rPr>
        <w:t>XP</w:t>
      </w:r>
      <w:r w:rsidRPr="006043FE">
        <w:rPr>
          <w:rFonts w:ascii="Simplified Arabic" w:hAnsi="Simplified Arabic" w:cs="Simplified Arabic"/>
          <w:sz w:val="28"/>
          <w:szCs w:val="28"/>
          <w:rtl/>
          <w:lang w:bidi="ar-EG"/>
        </w:rPr>
        <w:t xml:space="preserve">، </w:t>
      </w:r>
      <w:r w:rsidRPr="006043FE">
        <w:rPr>
          <w:rFonts w:ascii="Simplified Arabic" w:hAnsi="Simplified Arabic" w:cs="Simplified Arabic"/>
          <w:sz w:val="28"/>
          <w:szCs w:val="28"/>
          <w:lang w:bidi="ar-EG"/>
        </w:rPr>
        <w:t>PS</w:t>
      </w:r>
      <w:r w:rsidRPr="006043FE">
        <w:rPr>
          <w:rFonts w:ascii="Simplified Arabic" w:hAnsi="Simplified Arabic" w:cs="Simplified Arabic"/>
          <w:sz w:val="28"/>
          <w:szCs w:val="28"/>
          <w:rtl/>
          <w:lang w:bidi="ar-EG"/>
        </w:rPr>
        <w:t xml:space="preserve">) حيث يشير اختبار فيليبس بيرون </w:t>
      </w:r>
      <w:r w:rsidRPr="006043FE">
        <w:rPr>
          <w:rFonts w:ascii="Simplified Arabic" w:hAnsi="Simplified Arabic" w:cs="Simplified Arabic"/>
          <w:sz w:val="28"/>
          <w:szCs w:val="28"/>
          <w:lang w:bidi="ar-EG"/>
        </w:rPr>
        <w:t>PP</w:t>
      </w:r>
      <w:r w:rsidRPr="006043FE">
        <w:rPr>
          <w:rFonts w:ascii="Simplified Arabic" w:hAnsi="Simplified Arabic" w:cs="Simplified Arabic"/>
          <w:sz w:val="28"/>
          <w:szCs w:val="28"/>
          <w:rtl/>
          <w:lang w:bidi="ar-EG"/>
        </w:rPr>
        <w:t xml:space="preserve"> إلى عدم سكونها في المستوى، أما عند تطبيق الاختبار لها عند الفرق الأول فيتضح أنه يمكن رفض الفرض العدمي الخاص بوجود جذر الوحدة، مما يعني قبول الفرض البديل القائل بعدم وجود جذر الوحدة أي استقرارها في الفرق الأول </w:t>
      </w:r>
      <w:r w:rsidRPr="006043FE">
        <w:rPr>
          <w:rFonts w:ascii="Simplified Arabic" w:hAnsi="Simplified Arabic" w:cs="Simplified Arabic"/>
          <w:sz w:val="28"/>
          <w:szCs w:val="28"/>
          <w:lang w:bidi="ar-EG"/>
        </w:rPr>
        <w:t>I(1)</w:t>
      </w:r>
      <w:r w:rsidRPr="006043FE">
        <w:rPr>
          <w:rFonts w:ascii="Simplified Arabic" w:hAnsi="Simplified Arabic" w:cs="Simplified Arabic"/>
          <w:sz w:val="28"/>
          <w:szCs w:val="28"/>
          <w:rtl/>
          <w:lang w:bidi="ar-EG"/>
        </w:rPr>
        <w:t>.</w:t>
      </w:r>
    </w:p>
    <w:p w14:paraId="13139941" w14:textId="77777777" w:rsidR="002959BC" w:rsidRPr="006043FE" w:rsidRDefault="002959BC" w:rsidP="0041332D">
      <w:pPr>
        <w:pStyle w:val="ListParagraph"/>
        <w:numPr>
          <w:ilvl w:val="0"/>
          <w:numId w:val="37"/>
        </w:numPr>
        <w:spacing w:after="0" w:line="216" w:lineRule="auto"/>
        <w:ind w:left="142" w:hanging="170"/>
        <w:contextualSpacing w:val="0"/>
        <w:jc w:val="both"/>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لا يمكن رفض الفرض العدمي القائل بوجود جذر الوحدة بالنسبة للسلاسل الزمنية (</w:t>
      </w:r>
      <w:r w:rsidRPr="006043FE">
        <w:rPr>
          <w:rFonts w:ascii="Simplified Arabic" w:hAnsi="Simplified Arabic" w:cs="Simplified Arabic"/>
          <w:sz w:val="28"/>
          <w:szCs w:val="28"/>
          <w:lang w:bidi="ar-EG"/>
        </w:rPr>
        <w:t>CPI</w:t>
      </w:r>
      <w:r w:rsidRPr="006043FE">
        <w:rPr>
          <w:rFonts w:ascii="Simplified Arabic" w:hAnsi="Simplified Arabic" w:cs="Simplified Arabic"/>
          <w:sz w:val="28"/>
          <w:szCs w:val="28"/>
          <w:rtl/>
          <w:lang w:bidi="ar-EG"/>
        </w:rPr>
        <w:t xml:space="preserve">، </w:t>
      </w:r>
      <w:r w:rsidRPr="006043FE">
        <w:rPr>
          <w:rFonts w:ascii="Simplified Arabic" w:hAnsi="Simplified Arabic" w:cs="Simplified Arabic"/>
          <w:sz w:val="28"/>
          <w:szCs w:val="28"/>
          <w:lang w:bidi="ar-EG"/>
        </w:rPr>
        <w:t>M2</w:t>
      </w:r>
      <w:r w:rsidRPr="006043FE">
        <w:rPr>
          <w:rFonts w:ascii="Simplified Arabic" w:hAnsi="Simplified Arabic" w:cs="Simplified Arabic"/>
          <w:sz w:val="28"/>
          <w:szCs w:val="28"/>
          <w:rtl/>
          <w:lang w:bidi="ar-EG"/>
        </w:rPr>
        <w:t xml:space="preserve">، </w:t>
      </w:r>
      <w:r w:rsidRPr="006043FE">
        <w:rPr>
          <w:rFonts w:ascii="Simplified Arabic" w:hAnsi="Simplified Arabic" w:cs="Simplified Arabic"/>
          <w:sz w:val="28"/>
          <w:szCs w:val="28"/>
          <w:lang w:bidi="ar-EG"/>
        </w:rPr>
        <w:t>EX</w:t>
      </w:r>
      <w:r w:rsidRPr="006043FE">
        <w:rPr>
          <w:rFonts w:ascii="Simplified Arabic" w:hAnsi="Simplified Arabic" w:cs="Simplified Arabic"/>
          <w:sz w:val="28"/>
          <w:szCs w:val="28"/>
          <w:rtl/>
          <w:lang w:bidi="ar-EG"/>
        </w:rPr>
        <w:t xml:space="preserve">) حيث يشير اختبار فيليبس بيرون </w:t>
      </w:r>
      <w:r w:rsidRPr="006043FE">
        <w:rPr>
          <w:rFonts w:ascii="Simplified Arabic" w:hAnsi="Simplified Arabic" w:cs="Simplified Arabic"/>
          <w:sz w:val="28"/>
          <w:szCs w:val="28"/>
          <w:lang w:bidi="ar-EG"/>
        </w:rPr>
        <w:t>PP</w:t>
      </w:r>
      <w:r w:rsidRPr="006043FE">
        <w:rPr>
          <w:rFonts w:ascii="Simplified Arabic" w:hAnsi="Simplified Arabic" w:cs="Simplified Arabic"/>
          <w:sz w:val="28"/>
          <w:szCs w:val="28"/>
          <w:rtl/>
          <w:lang w:bidi="ar-EG"/>
        </w:rPr>
        <w:t xml:space="preserve"> إلى عدم سكونها في المستوى وفي الفرق الأول، أما عند تطبيق الاختبار لها عند الفرق الثاني فيتضح أنه يمكن رفض الفرض العدمي الخاص بوجود جذر الوحدة، مما يعني قبول الفرض البديل القائل بعدم وجود جذر الوحدة أي استقرارها في الفرق الثاني </w:t>
      </w:r>
      <w:r w:rsidRPr="006043FE">
        <w:rPr>
          <w:rFonts w:ascii="Simplified Arabic" w:hAnsi="Simplified Arabic" w:cs="Simplified Arabic"/>
          <w:sz w:val="28"/>
          <w:szCs w:val="28"/>
          <w:lang w:bidi="ar-EG"/>
        </w:rPr>
        <w:t>I(2)</w:t>
      </w:r>
      <w:r w:rsidRPr="006043FE">
        <w:rPr>
          <w:rFonts w:ascii="Simplified Arabic" w:hAnsi="Simplified Arabic" w:cs="Simplified Arabic"/>
          <w:sz w:val="28"/>
          <w:szCs w:val="28"/>
          <w:rtl/>
          <w:lang w:bidi="ar-EG"/>
        </w:rPr>
        <w:t>.</w:t>
      </w:r>
    </w:p>
    <w:p w14:paraId="71EB1CDD" w14:textId="77777777" w:rsidR="002959BC" w:rsidRDefault="002959BC" w:rsidP="002959BC">
      <w:pPr>
        <w:spacing w:line="216" w:lineRule="auto"/>
        <w:ind w:firstLine="454"/>
        <w:jc w:val="both"/>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lastRenderedPageBreak/>
        <w:t xml:space="preserve">وحيث اتضح سابقاً من اختبار جذر الوحدة أن السلاسل الزمنية موضع هذا البحث تختلف في درجة استقرارها حيث استقر بعضها عند المستوى </w:t>
      </w:r>
      <w:r w:rsidRPr="006043FE">
        <w:rPr>
          <w:rFonts w:ascii="Simplified Arabic" w:hAnsi="Simplified Arabic" w:cs="Simplified Arabic"/>
          <w:sz w:val="28"/>
          <w:szCs w:val="28"/>
          <w:lang w:bidi="ar-EG"/>
        </w:rPr>
        <w:t>I(0)</w:t>
      </w:r>
      <w:r w:rsidRPr="006043FE">
        <w:rPr>
          <w:rFonts w:ascii="Simplified Arabic" w:hAnsi="Simplified Arabic" w:cs="Simplified Arabic"/>
          <w:sz w:val="28"/>
          <w:szCs w:val="28"/>
          <w:rtl/>
          <w:lang w:bidi="ar-EG"/>
        </w:rPr>
        <w:t xml:space="preserve">، كما استقر بعضها عند الفرق الأول </w:t>
      </w:r>
      <w:r w:rsidRPr="006043FE">
        <w:rPr>
          <w:rFonts w:ascii="Simplified Arabic" w:hAnsi="Simplified Arabic" w:cs="Simplified Arabic"/>
          <w:sz w:val="28"/>
          <w:szCs w:val="28"/>
          <w:lang w:bidi="ar-EG"/>
        </w:rPr>
        <w:t>I(1)</w:t>
      </w:r>
      <w:r w:rsidRPr="006043FE">
        <w:rPr>
          <w:rFonts w:ascii="Simplified Arabic" w:hAnsi="Simplified Arabic" w:cs="Simplified Arabic"/>
          <w:sz w:val="28"/>
          <w:szCs w:val="28"/>
          <w:rtl/>
          <w:lang w:bidi="ar-EG"/>
        </w:rPr>
        <w:t xml:space="preserve">، في حين استقر بعضها عند الفرق الثاني </w:t>
      </w:r>
      <w:r w:rsidRPr="006043FE">
        <w:rPr>
          <w:rFonts w:ascii="Simplified Arabic" w:hAnsi="Simplified Arabic" w:cs="Simplified Arabic"/>
          <w:sz w:val="28"/>
          <w:szCs w:val="28"/>
          <w:lang w:bidi="ar-EG"/>
        </w:rPr>
        <w:t>I(2)</w:t>
      </w:r>
      <w:r w:rsidRPr="006043FE">
        <w:rPr>
          <w:rFonts w:ascii="Simplified Arabic" w:hAnsi="Simplified Arabic" w:cs="Simplified Arabic"/>
          <w:sz w:val="28"/>
          <w:szCs w:val="28"/>
          <w:rtl/>
          <w:lang w:bidi="ar-EG"/>
        </w:rPr>
        <w:t xml:space="preserve">، فإنه سوف يتم استخدام نموذج </w:t>
      </w:r>
      <w:r w:rsidRPr="006043FE">
        <w:rPr>
          <w:rFonts w:ascii="Simplified Arabic" w:hAnsi="Simplified Arabic" w:cs="Simplified Arabic"/>
          <w:sz w:val="28"/>
          <w:szCs w:val="28"/>
          <w:lang w:bidi="ar-EG"/>
        </w:rPr>
        <w:t>var</w:t>
      </w:r>
      <w:r w:rsidRPr="006043FE">
        <w:rPr>
          <w:rFonts w:ascii="Simplified Arabic" w:hAnsi="Simplified Arabic" w:cs="Simplified Arabic"/>
          <w:sz w:val="28"/>
          <w:szCs w:val="28"/>
          <w:rtl/>
          <w:lang w:bidi="ar-EG"/>
        </w:rPr>
        <w:t xml:space="preserve"> نظراً لقدرته على التعامل مع السلاسل الزمنية التي تستقر في المستوى أو الفرق الأول أو الفرق الثاني.</w:t>
      </w:r>
    </w:p>
    <w:p w14:paraId="63BF4AB6" w14:textId="77777777" w:rsidR="002959BC" w:rsidRPr="006043FE" w:rsidRDefault="002959BC" w:rsidP="002959BC">
      <w:pPr>
        <w:spacing w:line="216" w:lineRule="auto"/>
        <w:ind w:firstLine="454"/>
        <w:jc w:val="both"/>
        <w:rPr>
          <w:rFonts w:ascii="Simplified Arabic" w:hAnsi="Simplified Arabic" w:cs="Simplified Arabic"/>
          <w:sz w:val="28"/>
          <w:szCs w:val="28"/>
          <w:lang w:bidi="ar-EG"/>
        </w:rPr>
      </w:pPr>
    </w:p>
    <w:p w14:paraId="3CA20ED8" w14:textId="77777777" w:rsidR="002959BC" w:rsidRPr="00090DA3" w:rsidRDefault="002959BC" w:rsidP="0041332D">
      <w:pPr>
        <w:pStyle w:val="ListParagraph"/>
        <w:numPr>
          <w:ilvl w:val="0"/>
          <w:numId w:val="38"/>
        </w:numPr>
        <w:spacing w:after="0" w:line="240" w:lineRule="auto"/>
        <w:ind w:left="453"/>
        <w:contextualSpacing w:val="0"/>
        <w:jc w:val="both"/>
        <w:rPr>
          <w:rFonts w:ascii="Simplified Arabic" w:hAnsi="Simplified Arabic" w:cs="Simplified Arabic"/>
          <w:b/>
          <w:bCs/>
          <w:sz w:val="28"/>
          <w:szCs w:val="28"/>
        </w:rPr>
      </w:pPr>
      <w:r w:rsidRPr="00090DA3">
        <w:rPr>
          <w:rFonts w:ascii="Simplified Arabic" w:hAnsi="Simplified Arabic" w:cs="Simplified Arabic"/>
          <w:b/>
          <w:bCs/>
          <w:sz w:val="28"/>
          <w:szCs w:val="28"/>
          <w:rtl/>
        </w:rPr>
        <w:t xml:space="preserve">نموذج الانحدار الذاتي  </w:t>
      </w:r>
      <w:r w:rsidRPr="00090DA3">
        <w:rPr>
          <w:rFonts w:ascii="Simplified Arabic" w:hAnsi="Simplified Arabic" w:cs="Simplified Arabic"/>
          <w:b/>
          <w:bCs/>
          <w:sz w:val="28"/>
          <w:szCs w:val="28"/>
        </w:rPr>
        <w:t>vector auto regressive model</w:t>
      </w:r>
      <w:r w:rsidRPr="00090DA3">
        <w:rPr>
          <w:rFonts w:ascii="Simplified Arabic" w:hAnsi="Simplified Arabic" w:cs="Simplified Arabic"/>
          <w:b/>
          <w:bCs/>
          <w:sz w:val="28"/>
          <w:szCs w:val="28"/>
          <w:rtl/>
        </w:rPr>
        <w:t>:</w:t>
      </w:r>
    </w:p>
    <w:p w14:paraId="30204F6F" w14:textId="77777777" w:rsidR="002959BC" w:rsidRPr="006043FE" w:rsidRDefault="002959BC" w:rsidP="002959BC">
      <w:pPr>
        <w:ind w:firstLine="454"/>
        <w:jc w:val="both"/>
        <w:rPr>
          <w:rFonts w:ascii="Simplified Arabic" w:hAnsi="Simplified Arabic" w:cs="Simplified Arabic"/>
          <w:sz w:val="28"/>
          <w:szCs w:val="28"/>
          <w:vertAlign w:val="superscript"/>
          <w:rtl/>
          <w:lang w:bidi="ar-EG"/>
        </w:rPr>
      </w:pPr>
      <w:r w:rsidRPr="006043FE">
        <w:rPr>
          <w:rFonts w:ascii="Simplified Arabic" w:hAnsi="Simplified Arabic" w:cs="Simplified Arabic"/>
          <w:sz w:val="28"/>
          <w:szCs w:val="28"/>
          <w:rtl/>
          <w:lang w:bidi="ar-EG"/>
        </w:rPr>
        <w:t xml:space="preserve">قام باقتراح هذا النموذج </w:t>
      </w:r>
      <w:r w:rsidRPr="006043FE">
        <w:rPr>
          <w:rFonts w:ascii="Simplified Arabic" w:hAnsi="Simplified Arabic" w:cs="Simplified Arabic"/>
          <w:sz w:val="28"/>
          <w:szCs w:val="28"/>
          <w:vertAlign w:val="superscript"/>
          <w:rtl/>
          <w:lang w:bidi="ar-EG"/>
        </w:rPr>
        <w:t>(</w:t>
      </w:r>
      <w:r w:rsidRPr="006043FE">
        <w:rPr>
          <w:rStyle w:val="FootnoteReference"/>
          <w:rFonts w:ascii="Simplified Arabic" w:eastAsiaTheme="minorEastAsia" w:hAnsi="Simplified Arabic" w:cs="Simplified Arabic"/>
          <w:sz w:val="28"/>
          <w:szCs w:val="28"/>
          <w:rtl/>
          <w:lang w:bidi="ar-EG"/>
        </w:rPr>
        <w:footnoteReference w:id="118"/>
      </w:r>
      <w:r w:rsidRPr="006043FE">
        <w:rPr>
          <w:rFonts w:ascii="Simplified Arabic" w:hAnsi="Simplified Arabic" w:cs="Simplified Arabic"/>
          <w:sz w:val="28"/>
          <w:szCs w:val="28"/>
          <w:vertAlign w:val="superscript"/>
          <w:rtl/>
          <w:lang w:bidi="ar-EG"/>
        </w:rPr>
        <w:t>)</w:t>
      </w:r>
      <w:r w:rsidRPr="006043FE">
        <w:rPr>
          <w:rFonts w:ascii="Simplified Arabic" w:hAnsi="Simplified Arabic" w:cs="Simplified Arabic"/>
          <w:sz w:val="28"/>
          <w:szCs w:val="28"/>
          <w:lang w:bidi="ar-EG"/>
        </w:rPr>
        <w:t>Sims</w:t>
      </w:r>
      <w:r w:rsidRPr="006043FE">
        <w:rPr>
          <w:rFonts w:ascii="Simplified Arabic" w:hAnsi="Simplified Arabic" w:cs="Simplified Arabic"/>
          <w:sz w:val="28"/>
          <w:szCs w:val="28"/>
          <w:rtl/>
          <w:lang w:bidi="ar-EG"/>
        </w:rPr>
        <w:t>، حيث رأى أن الطريقة التقليدية في بناء النماذج القياسية الآنية تعتمد وجهة النظر التفسيرية، إذ تتضمن كثيراً من الفرضيات غير المختبرة مثل: استبعاد بعض المتغيرات من بعض المعادلات من أجل الوصول إلى تشخيص (</w:t>
      </w:r>
      <w:r w:rsidRPr="006043FE">
        <w:rPr>
          <w:rFonts w:ascii="Simplified Arabic" w:hAnsi="Simplified Arabic" w:cs="Simplified Arabic"/>
          <w:sz w:val="28"/>
          <w:szCs w:val="28"/>
          <w:lang w:bidi="ar-EG"/>
        </w:rPr>
        <w:t>Identification</w:t>
      </w:r>
      <w:r w:rsidRPr="006043FE">
        <w:rPr>
          <w:rFonts w:ascii="Simplified Arabic" w:hAnsi="Simplified Arabic" w:cs="Simplified Arabic"/>
          <w:sz w:val="28"/>
          <w:szCs w:val="28"/>
          <w:rtl/>
          <w:lang w:bidi="ar-EG"/>
        </w:rPr>
        <w:t>) مقبول للنموذج، وكذلك الأمر فيما يتعلق باختيار المتغيرات الخارجية (</w:t>
      </w:r>
      <w:r w:rsidRPr="006043FE">
        <w:rPr>
          <w:rFonts w:ascii="Simplified Arabic" w:hAnsi="Simplified Arabic" w:cs="Simplified Arabic"/>
          <w:sz w:val="28"/>
          <w:szCs w:val="28"/>
          <w:lang w:bidi="ar-EG"/>
        </w:rPr>
        <w:t>Exogenious</w:t>
      </w:r>
      <w:r w:rsidRPr="006043FE">
        <w:rPr>
          <w:rFonts w:ascii="Simplified Arabic" w:hAnsi="Simplified Arabic" w:cs="Simplified Arabic"/>
          <w:sz w:val="28"/>
          <w:szCs w:val="28"/>
          <w:rtl/>
          <w:lang w:bidi="ar-EG"/>
        </w:rPr>
        <w:t>)، وشكل توزيع فترات الإبطاء الزمني.</w:t>
      </w:r>
      <w:r w:rsidRPr="006043FE">
        <w:rPr>
          <w:rFonts w:ascii="Simplified Arabic" w:hAnsi="Simplified Arabic" w:cs="Simplified Arabic"/>
          <w:sz w:val="28"/>
          <w:szCs w:val="28"/>
          <w:vertAlign w:val="superscript"/>
          <w:rtl/>
          <w:lang w:bidi="ar-EG"/>
        </w:rPr>
        <w:t xml:space="preserve"> (</w:t>
      </w:r>
      <w:r w:rsidRPr="006043FE">
        <w:rPr>
          <w:rStyle w:val="FootnoteReference"/>
          <w:rFonts w:ascii="Simplified Arabic" w:eastAsiaTheme="minorEastAsia" w:hAnsi="Simplified Arabic" w:cs="Simplified Arabic"/>
          <w:sz w:val="28"/>
          <w:szCs w:val="28"/>
          <w:rtl/>
          <w:lang w:bidi="ar-EG"/>
        </w:rPr>
        <w:footnoteReference w:id="119"/>
      </w:r>
      <w:r w:rsidRPr="006043FE">
        <w:rPr>
          <w:rFonts w:ascii="Simplified Arabic" w:hAnsi="Simplified Arabic" w:cs="Simplified Arabic"/>
          <w:sz w:val="28"/>
          <w:szCs w:val="28"/>
          <w:vertAlign w:val="superscript"/>
          <w:rtl/>
          <w:lang w:bidi="ar-EG"/>
        </w:rPr>
        <w:t>)</w:t>
      </w:r>
    </w:p>
    <w:p w14:paraId="62941C6E" w14:textId="77777777" w:rsidR="002959BC" w:rsidRDefault="002959BC" w:rsidP="002959BC">
      <w:pPr>
        <w:ind w:firstLine="454"/>
        <w:jc w:val="both"/>
        <w:rPr>
          <w:rFonts w:ascii="Simplified Arabic" w:hAnsi="Simplified Arabic" w:cs="Simplified Arabic"/>
          <w:sz w:val="28"/>
          <w:szCs w:val="28"/>
          <w:rtl/>
          <w:lang w:bidi="ar-EG"/>
        </w:rPr>
      </w:pPr>
    </w:p>
    <w:p w14:paraId="67139042" w14:textId="77777777" w:rsidR="002959BC" w:rsidRDefault="002959BC" w:rsidP="002959BC">
      <w:pPr>
        <w:ind w:firstLine="454"/>
        <w:jc w:val="both"/>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 xml:space="preserve">ووفقاً لنقد </w:t>
      </w:r>
      <w:r w:rsidRPr="006043FE">
        <w:rPr>
          <w:rFonts w:ascii="Simplified Arabic" w:hAnsi="Simplified Arabic" w:cs="Simplified Arabic"/>
          <w:sz w:val="28"/>
          <w:szCs w:val="28"/>
          <w:lang w:bidi="ar-EG"/>
        </w:rPr>
        <w:t>Sims</w:t>
      </w:r>
      <w:r w:rsidRPr="006043FE">
        <w:rPr>
          <w:rFonts w:ascii="Simplified Arabic" w:hAnsi="Simplified Arabic" w:cs="Simplified Arabic"/>
          <w:sz w:val="28"/>
          <w:szCs w:val="28"/>
          <w:rtl/>
          <w:lang w:bidi="ar-EG"/>
        </w:rPr>
        <w:t xml:space="preserve"> إذا كانت هناك آنية حقيقية بين مجموعة من المتغيرات، لابد من معاملتها بقدر متساو، فلابد ألا تكون هناك تفرقة مسبقة بين متغيرات داخلية وأخرى خارجية، ووفقاً لهذه الفكرة قام </w:t>
      </w:r>
      <w:r w:rsidRPr="006043FE">
        <w:rPr>
          <w:rFonts w:ascii="Simplified Arabic" w:hAnsi="Simplified Arabic" w:cs="Simplified Arabic"/>
          <w:sz w:val="28"/>
          <w:szCs w:val="28"/>
          <w:lang w:bidi="ar-EG"/>
        </w:rPr>
        <w:t>Sims</w:t>
      </w:r>
      <w:r w:rsidRPr="006043FE">
        <w:rPr>
          <w:rFonts w:ascii="Simplified Arabic" w:hAnsi="Simplified Arabic" w:cs="Simplified Arabic"/>
          <w:sz w:val="28"/>
          <w:szCs w:val="28"/>
          <w:rtl/>
          <w:lang w:bidi="ar-EG"/>
        </w:rPr>
        <w:t xml:space="preserve"> </w:t>
      </w:r>
      <w:r w:rsidRPr="006043FE">
        <w:rPr>
          <w:rFonts w:ascii="Simplified Arabic" w:hAnsi="Simplified Arabic" w:cs="Simplified Arabic"/>
          <w:sz w:val="28"/>
          <w:szCs w:val="28"/>
          <w:rtl/>
          <w:lang w:bidi="ar-EG"/>
        </w:rPr>
        <w:lastRenderedPageBreak/>
        <w:t xml:space="preserve">بعمل نموذج </w:t>
      </w:r>
      <w:r w:rsidRPr="006043FE">
        <w:rPr>
          <w:rFonts w:ascii="Simplified Arabic" w:hAnsi="Simplified Arabic" w:cs="Simplified Arabic"/>
          <w:sz w:val="28"/>
          <w:szCs w:val="28"/>
          <w:lang w:bidi="ar-EG"/>
        </w:rPr>
        <w:t>VAR</w:t>
      </w:r>
      <w:r w:rsidRPr="006043FE">
        <w:rPr>
          <w:rFonts w:ascii="Simplified Arabic" w:hAnsi="Simplified Arabic" w:cs="Simplified Arabic"/>
          <w:sz w:val="28"/>
          <w:szCs w:val="28"/>
          <w:rtl/>
          <w:lang w:bidi="ar-EG"/>
        </w:rPr>
        <w:t xml:space="preserve"> </w:t>
      </w:r>
      <w:r w:rsidRPr="006043FE">
        <w:rPr>
          <w:rFonts w:ascii="Simplified Arabic" w:hAnsi="Simplified Arabic" w:cs="Simplified Arabic"/>
          <w:sz w:val="28"/>
          <w:szCs w:val="28"/>
          <w:vertAlign w:val="superscript"/>
          <w:rtl/>
          <w:lang w:bidi="ar-EG"/>
        </w:rPr>
        <w:t>(</w:t>
      </w:r>
      <w:r w:rsidRPr="006043FE">
        <w:rPr>
          <w:rStyle w:val="FootnoteReference"/>
          <w:rFonts w:ascii="Simplified Arabic" w:eastAsiaTheme="minorEastAsia" w:hAnsi="Simplified Arabic" w:cs="Simplified Arabic"/>
          <w:sz w:val="28"/>
          <w:szCs w:val="28"/>
          <w:rtl/>
          <w:lang w:bidi="ar-EG"/>
        </w:rPr>
        <w:footnoteReference w:id="120"/>
      </w:r>
      <w:r w:rsidRPr="006043FE">
        <w:rPr>
          <w:rFonts w:ascii="Simplified Arabic" w:hAnsi="Simplified Arabic" w:cs="Simplified Arabic"/>
          <w:sz w:val="28"/>
          <w:szCs w:val="28"/>
          <w:vertAlign w:val="superscript"/>
          <w:rtl/>
          <w:lang w:bidi="ar-EG"/>
        </w:rPr>
        <w:t>)</w:t>
      </w:r>
      <w:r w:rsidRPr="006043FE">
        <w:rPr>
          <w:rFonts w:ascii="Simplified Arabic" w:hAnsi="Simplified Arabic" w:cs="Simplified Arabic"/>
          <w:sz w:val="28"/>
          <w:szCs w:val="28"/>
          <w:rtl/>
          <w:lang w:bidi="ar-EG"/>
        </w:rPr>
        <w:t>، الذي يرجع إلى ظهور قيم للمتغير التابع في فترات زمنية متأخرة على الجانب الأيمن من المعادلة، ومصطلح متجه يرجع إلى حقيقة تعاملنا مع متجه من متغيرين أو أكثر</w:t>
      </w:r>
      <w:r w:rsidRPr="006043FE">
        <w:rPr>
          <w:rFonts w:ascii="Simplified Arabic" w:hAnsi="Simplified Arabic" w:cs="Simplified Arabic"/>
          <w:sz w:val="28"/>
          <w:szCs w:val="28"/>
          <w:vertAlign w:val="superscript"/>
          <w:rtl/>
          <w:lang w:bidi="ar-EG"/>
        </w:rPr>
        <w:t>(</w:t>
      </w:r>
      <w:r w:rsidRPr="006043FE">
        <w:rPr>
          <w:rStyle w:val="FootnoteReference"/>
          <w:rFonts w:ascii="Simplified Arabic" w:eastAsiaTheme="minorEastAsia" w:hAnsi="Simplified Arabic" w:cs="Simplified Arabic"/>
          <w:sz w:val="28"/>
          <w:szCs w:val="28"/>
          <w:rtl/>
          <w:lang w:bidi="ar-EG"/>
        </w:rPr>
        <w:footnoteReference w:id="121"/>
      </w:r>
      <w:r w:rsidRPr="006043FE">
        <w:rPr>
          <w:rFonts w:ascii="Simplified Arabic" w:hAnsi="Simplified Arabic" w:cs="Simplified Arabic"/>
          <w:sz w:val="28"/>
          <w:szCs w:val="28"/>
          <w:vertAlign w:val="superscript"/>
          <w:rtl/>
          <w:lang w:bidi="ar-EG"/>
        </w:rPr>
        <w:t>)</w:t>
      </w:r>
      <w:r w:rsidRPr="006043FE">
        <w:rPr>
          <w:rFonts w:ascii="Simplified Arabic" w:hAnsi="Simplified Arabic" w:cs="Simplified Arabic"/>
          <w:sz w:val="28"/>
          <w:szCs w:val="28"/>
          <w:rtl/>
          <w:lang w:bidi="ar-EG"/>
        </w:rPr>
        <w:t>.</w:t>
      </w:r>
    </w:p>
    <w:p w14:paraId="74922E2F" w14:textId="77777777" w:rsidR="002959BC" w:rsidRPr="006043FE" w:rsidRDefault="002959BC" w:rsidP="002959BC">
      <w:pPr>
        <w:ind w:firstLine="454"/>
        <w:jc w:val="both"/>
        <w:rPr>
          <w:rFonts w:ascii="Simplified Arabic" w:hAnsi="Simplified Arabic" w:cs="Simplified Arabic"/>
          <w:sz w:val="28"/>
          <w:szCs w:val="28"/>
          <w:rtl/>
          <w:lang w:bidi="ar-EG"/>
        </w:rPr>
      </w:pPr>
    </w:p>
    <w:p w14:paraId="2702A4BB" w14:textId="77777777" w:rsidR="002959BC" w:rsidRPr="00536385"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r w:rsidRPr="00536385">
        <w:rPr>
          <w:rFonts w:ascii="Simplified Arabic" w:eastAsia="Times New Roman" w:hAnsi="Simplified Arabic" w:cs="Simplified Arabic"/>
          <w:b/>
          <w:bCs/>
          <w:sz w:val="24"/>
          <w:szCs w:val="24"/>
          <w:rtl/>
        </w:rPr>
        <w:t>جدول رقم (3-4)</w:t>
      </w:r>
    </w:p>
    <w:p w14:paraId="2B7663E4" w14:textId="77777777" w:rsidR="002959BC" w:rsidRPr="00536385" w:rsidRDefault="002959BC" w:rsidP="002959BC">
      <w:pPr>
        <w:pStyle w:val="ListParagraph"/>
        <w:spacing w:after="0" w:line="240" w:lineRule="auto"/>
        <w:ind w:left="0" w:firstLine="51"/>
        <w:contextualSpacing w:val="0"/>
        <w:jc w:val="center"/>
        <w:rPr>
          <w:rFonts w:ascii="Simplified Arabic" w:eastAsia="Times New Roman" w:hAnsi="Simplified Arabic" w:cs="Simplified Arabic"/>
          <w:b/>
          <w:bCs/>
          <w:sz w:val="24"/>
          <w:szCs w:val="24"/>
          <w:rtl/>
        </w:rPr>
      </w:pPr>
      <w:r w:rsidRPr="00536385">
        <w:rPr>
          <w:rFonts w:ascii="Simplified Arabic" w:eastAsia="Times New Roman" w:hAnsi="Simplified Arabic" w:cs="Simplified Arabic"/>
          <w:b/>
          <w:bCs/>
          <w:sz w:val="24"/>
          <w:szCs w:val="24"/>
          <w:rtl/>
        </w:rPr>
        <w:t xml:space="preserve">النموذج المقدر وفقاً لنموذج </w:t>
      </w:r>
      <w:r w:rsidRPr="00536385">
        <w:rPr>
          <w:rFonts w:ascii="Simplified Arabic" w:eastAsia="Times New Roman" w:hAnsi="Simplified Arabic" w:cs="Simplified Arabic"/>
          <w:b/>
          <w:bCs/>
          <w:sz w:val="24"/>
          <w:szCs w:val="24"/>
        </w:rPr>
        <w:t>VAR</w:t>
      </w:r>
    </w:p>
    <w:tbl>
      <w:tblPr>
        <w:tblStyle w:val="TableGrid"/>
        <w:bidiVisual/>
        <w:tblW w:w="0" w:type="auto"/>
        <w:tblBorders>
          <w:top w:val="single" w:sz="12" w:space="0" w:color="8496B0" w:themeColor="text2" w:themeTint="99"/>
          <w:left w:val="single" w:sz="12" w:space="0" w:color="8496B0" w:themeColor="text2" w:themeTint="99"/>
          <w:bottom w:val="single" w:sz="12" w:space="0" w:color="8496B0" w:themeColor="text2" w:themeTint="99"/>
          <w:right w:val="single" w:sz="12" w:space="0" w:color="8496B0" w:themeColor="text2" w:themeTint="99"/>
          <w:insideH w:val="single" w:sz="12" w:space="0" w:color="8496B0" w:themeColor="text2" w:themeTint="99"/>
          <w:insideV w:val="single" w:sz="12" w:space="0" w:color="8496B0" w:themeColor="text2" w:themeTint="99"/>
        </w:tblBorders>
        <w:tblLook w:val="04A0" w:firstRow="1" w:lastRow="0" w:firstColumn="1" w:lastColumn="0" w:noHBand="0" w:noVBand="1"/>
      </w:tblPr>
      <w:tblGrid>
        <w:gridCol w:w="2222"/>
        <w:gridCol w:w="2223"/>
        <w:gridCol w:w="2223"/>
        <w:gridCol w:w="2223"/>
      </w:tblGrid>
      <w:tr w:rsidR="002959BC" w:rsidRPr="00B85D38" w14:paraId="55B8F083" w14:textId="77777777" w:rsidTr="00270E6A">
        <w:trPr>
          <w:trHeight w:val="340"/>
        </w:trPr>
        <w:tc>
          <w:tcPr>
            <w:tcW w:w="8891" w:type="dxa"/>
            <w:gridSpan w:val="4"/>
            <w:tcBorders>
              <w:bottom w:val="single" w:sz="8" w:space="0" w:color="8496B0" w:themeColor="text2" w:themeTint="99"/>
            </w:tcBorders>
            <w:vAlign w:val="center"/>
          </w:tcPr>
          <w:p w14:paraId="77E2E004" w14:textId="77777777" w:rsidR="002959BC" w:rsidRPr="00B85D38"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Vector Autoregression Estimates</w:t>
            </w:r>
          </w:p>
        </w:tc>
      </w:tr>
      <w:tr w:rsidR="002959BC" w:rsidRPr="00B85D38" w14:paraId="332E02FE" w14:textId="77777777" w:rsidTr="00270E6A">
        <w:trPr>
          <w:trHeight w:val="340"/>
        </w:trPr>
        <w:tc>
          <w:tcPr>
            <w:tcW w:w="8891" w:type="dxa"/>
            <w:gridSpan w:val="4"/>
            <w:tcBorders>
              <w:top w:val="single" w:sz="8" w:space="0" w:color="8496B0" w:themeColor="text2" w:themeTint="99"/>
              <w:bottom w:val="single" w:sz="8" w:space="0" w:color="8496B0" w:themeColor="text2" w:themeTint="99"/>
            </w:tcBorders>
            <w:vAlign w:val="center"/>
          </w:tcPr>
          <w:p w14:paraId="32EFC38F" w14:textId="77777777" w:rsidR="002959BC" w:rsidRPr="00B85D38" w:rsidRDefault="002959BC" w:rsidP="00270E6A">
            <w:pPr>
              <w:autoSpaceDE w:val="0"/>
              <w:autoSpaceDN w:val="0"/>
              <w:adjustRightInd w:val="0"/>
              <w:spacing w:line="204" w:lineRule="auto"/>
              <w:rPr>
                <w:rFonts w:asciiTheme="majorHAnsi" w:hAnsiTheme="majorHAnsi" w:cs="Simplified Arabic"/>
                <w:color w:val="973634"/>
                <w:sz w:val="28"/>
                <w:szCs w:val="28"/>
                <w:rtl/>
              </w:rPr>
            </w:pPr>
            <w:r w:rsidRPr="00245CB1">
              <w:rPr>
                <w:rFonts w:asciiTheme="majorHAnsi" w:hAnsiTheme="majorHAnsi" w:cs="Simplified Arabic"/>
                <w:color w:val="973634"/>
                <w:sz w:val="28"/>
                <w:szCs w:val="28"/>
              </w:rPr>
              <w:t>Sample (adjusted): 1993 2014</w:t>
            </w:r>
          </w:p>
        </w:tc>
      </w:tr>
      <w:tr w:rsidR="002959BC" w:rsidRPr="00B85D38" w14:paraId="2C70660A" w14:textId="77777777" w:rsidTr="00270E6A">
        <w:trPr>
          <w:trHeight w:val="340"/>
        </w:trPr>
        <w:tc>
          <w:tcPr>
            <w:tcW w:w="8891" w:type="dxa"/>
            <w:gridSpan w:val="4"/>
            <w:tcBorders>
              <w:top w:val="single" w:sz="8" w:space="0" w:color="8496B0" w:themeColor="text2" w:themeTint="99"/>
              <w:bottom w:val="single" w:sz="8" w:space="0" w:color="8496B0" w:themeColor="text2" w:themeTint="99"/>
            </w:tcBorders>
            <w:vAlign w:val="center"/>
          </w:tcPr>
          <w:p w14:paraId="07358D0A" w14:textId="77777777" w:rsidR="002959BC" w:rsidRPr="00B85D38" w:rsidRDefault="002959BC" w:rsidP="00270E6A">
            <w:pPr>
              <w:autoSpaceDE w:val="0"/>
              <w:autoSpaceDN w:val="0"/>
              <w:adjustRightInd w:val="0"/>
              <w:spacing w:line="204" w:lineRule="auto"/>
              <w:rPr>
                <w:rFonts w:asciiTheme="majorHAnsi" w:hAnsiTheme="majorHAnsi" w:cs="Simplified Arabic"/>
                <w:color w:val="973634"/>
                <w:sz w:val="28"/>
                <w:szCs w:val="28"/>
                <w:rtl/>
              </w:rPr>
            </w:pPr>
            <w:r w:rsidRPr="00245CB1">
              <w:rPr>
                <w:rFonts w:asciiTheme="majorHAnsi" w:hAnsiTheme="majorHAnsi" w:cs="Simplified Arabic"/>
                <w:color w:val="973634"/>
                <w:sz w:val="28"/>
                <w:szCs w:val="28"/>
              </w:rPr>
              <w:t>Included observations: 22 after adjustments</w:t>
            </w:r>
          </w:p>
        </w:tc>
      </w:tr>
      <w:tr w:rsidR="002959BC" w:rsidRPr="00B85D38" w14:paraId="0A8699B8" w14:textId="77777777" w:rsidTr="00270E6A">
        <w:trPr>
          <w:trHeight w:val="340"/>
        </w:trPr>
        <w:tc>
          <w:tcPr>
            <w:tcW w:w="8891" w:type="dxa"/>
            <w:gridSpan w:val="4"/>
            <w:tcBorders>
              <w:top w:val="single" w:sz="8" w:space="0" w:color="8496B0" w:themeColor="text2" w:themeTint="99"/>
            </w:tcBorders>
            <w:vAlign w:val="center"/>
          </w:tcPr>
          <w:p w14:paraId="6F076A51" w14:textId="77777777" w:rsidR="002959BC" w:rsidRPr="00B85D38" w:rsidRDefault="002959BC" w:rsidP="00270E6A">
            <w:pPr>
              <w:autoSpaceDE w:val="0"/>
              <w:autoSpaceDN w:val="0"/>
              <w:adjustRightInd w:val="0"/>
              <w:spacing w:line="204" w:lineRule="auto"/>
              <w:rPr>
                <w:rFonts w:asciiTheme="majorHAnsi" w:hAnsiTheme="majorHAnsi" w:cs="Simplified Arabic"/>
                <w:color w:val="973634"/>
                <w:sz w:val="28"/>
                <w:szCs w:val="28"/>
                <w:rtl/>
              </w:rPr>
            </w:pPr>
            <w:r w:rsidRPr="00245CB1">
              <w:rPr>
                <w:rFonts w:asciiTheme="majorHAnsi" w:hAnsiTheme="majorHAnsi" w:cs="Simplified Arabic"/>
                <w:color w:val="973634"/>
                <w:sz w:val="28"/>
                <w:szCs w:val="28"/>
              </w:rPr>
              <w:t>Standard errors in ( ) &amp; t-statistics in [ ]</w:t>
            </w:r>
          </w:p>
        </w:tc>
      </w:tr>
      <w:tr w:rsidR="002959BC" w:rsidRPr="00B85D38" w14:paraId="7A8FF8EE" w14:textId="77777777" w:rsidTr="00270E6A">
        <w:trPr>
          <w:trHeight w:val="340"/>
        </w:trPr>
        <w:tc>
          <w:tcPr>
            <w:tcW w:w="2222" w:type="dxa"/>
            <w:vAlign w:val="center"/>
          </w:tcPr>
          <w:p w14:paraId="68C3D7B9" w14:textId="77777777" w:rsidR="002959BC" w:rsidRPr="00B85D38" w:rsidRDefault="002959BC" w:rsidP="00270E6A">
            <w:pPr>
              <w:autoSpaceDE w:val="0"/>
              <w:autoSpaceDN w:val="0"/>
              <w:adjustRightInd w:val="0"/>
              <w:spacing w:line="204" w:lineRule="auto"/>
              <w:rPr>
                <w:rFonts w:asciiTheme="majorHAnsi" w:hAnsiTheme="majorHAnsi" w:cs="Arial"/>
                <w:color w:val="000000"/>
                <w:sz w:val="28"/>
                <w:szCs w:val="28"/>
              </w:rPr>
            </w:pPr>
            <w:r w:rsidRPr="00B85D38">
              <w:rPr>
                <w:rFonts w:asciiTheme="majorHAnsi" w:hAnsiTheme="majorHAnsi" w:cs="Simplified Arabic"/>
                <w:color w:val="973634"/>
                <w:sz w:val="28"/>
                <w:szCs w:val="28"/>
              </w:rPr>
              <w:t>t-statistics</w:t>
            </w:r>
          </w:p>
        </w:tc>
        <w:tc>
          <w:tcPr>
            <w:tcW w:w="2223" w:type="dxa"/>
            <w:vAlign w:val="center"/>
          </w:tcPr>
          <w:p w14:paraId="3C37B0AB" w14:textId="77777777" w:rsidR="002959BC" w:rsidRPr="00B85D38" w:rsidRDefault="002959BC" w:rsidP="00270E6A">
            <w:pPr>
              <w:autoSpaceDE w:val="0"/>
              <w:autoSpaceDN w:val="0"/>
              <w:adjustRightInd w:val="0"/>
              <w:spacing w:line="204" w:lineRule="auto"/>
              <w:rPr>
                <w:rFonts w:asciiTheme="majorHAnsi" w:hAnsiTheme="majorHAnsi" w:cs="Simplified Arabic"/>
                <w:color w:val="973634"/>
                <w:sz w:val="28"/>
                <w:szCs w:val="28"/>
              </w:rPr>
            </w:pPr>
            <w:r w:rsidRPr="00B85D38">
              <w:rPr>
                <w:rFonts w:asciiTheme="majorHAnsi" w:hAnsiTheme="majorHAnsi" w:cs="Simplified Arabic"/>
                <w:color w:val="973634"/>
                <w:sz w:val="28"/>
                <w:szCs w:val="28"/>
              </w:rPr>
              <w:t>Standard errors</w:t>
            </w:r>
          </w:p>
        </w:tc>
        <w:tc>
          <w:tcPr>
            <w:tcW w:w="2223" w:type="dxa"/>
            <w:vAlign w:val="center"/>
          </w:tcPr>
          <w:p w14:paraId="3F816F81" w14:textId="77777777" w:rsidR="002959BC" w:rsidRPr="00B85D38" w:rsidRDefault="002959BC" w:rsidP="00270E6A">
            <w:pPr>
              <w:autoSpaceDE w:val="0"/>
              <w:autoSpaceDN w:val="0"/>
              <w:adjustRightInd w:val="0"/>
              <w:spacing w:line="204" w:lineRule="auto"/>
              <w:rPr>
                <w:rFonts w:asciiTheme="majorHAnsi" w:hAnsiTheme="majorHAnsi" w:cs="Simplified Arabic"/>
                <w:color w:val="973634"/>
                <w:sz w:val="28"/>
                <w:szCs w:val="28"/>
              </w:rPr>
            </w:pPr>
            <w:r w:rsidRPr="00B85D38">
              <w:rPr>
                <w:rFonts w:asciiTheme="majorHAnsi" w:hAnsiTheme="majorHAnsi" w:cs="Simplified Arabic"/>
                <w:color w:val="973634"/>
                <w:sz w:val="28"/>
                <w:szCs w:val="28"/>
              </w:rPr>
              <w:t>coefficient</w:t>
            </w:r>
          </w:p>
        </w:tc>
        <w:tc>
          <w:tcPr>
            <w:tcW w:w="2223" w:type="dxa"/>
            <w:vAlign w:val="center"/>
          </w:tcPr>
          <w:p w14:paraId="639F8A78" w14:textId="77777777" w:rsidR="002959BC" w:rsidRPr="00B85D38" w:rsidRDefault="002959BC" w:rsidP="00270E6A">
            <w:pPr>
              <w:autoSpaceDE w:val="0"/>
              <w:autoSpaceDN w:val="0"/>
              <w:adjustRightInd w:val="0"/>
              <w:spacing w:line="204" w:lineRule="auto"/>
              <w:rPr>
                <w:rFonts w:asciiTheme="majorHAnsi" w:hAnsiTheme="majorHAnsi" w:cs="Simplified Arabic"/>
                <w:color w:val="973634"/>
                <w:sz w:val="28"/>
                <w:szCs w:val="28"/>
              </w:rPr>
            </w:pPr>
            <w:r w:rsidRPr="00B85D38">
              <w:rPr>
                <w:rFonts w:asciiTheme="majorHAnsi" w:hAnsiTheme="majorHAnsi" w:cs="Simplified Arabic"/>
                <w:color w:val="973634"/>
                <w:sz w:val="28"/>
                <w:szCs w:val="28"/>
              </w:rPr>
              <w:t>variables</w:t>
            </w:r>
          </w:p>
        </w:tc>
      </w:tr>
      <w:tr w:rsidR="002959BC" w:rsidRPr="00B85D38" w14:paraId="1B894C79" w14:textId="77777777" w:rsidTr="00270E6A">
        <w:trPr>
          <w:trHeight w:val="397"/>
        </w:trPr>
        <w:tc>
          <w:tcPr>
            <w:tcW w:w="2222" w:type="dxa"/>
            <w:vAlign w:val="center"/>
          </w:tcPr>
          <w:p w14:paraId="004DAC6A"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[ 1.69387]</w:t>
            </w:r>
          </w:p>
        </w:tc>
        <w:tc>
          <w:tcPr>
            <w:tcW w:w="2223" w:type="dxa"/>
            <w:vAlign w:val="center"/>
          </w:tcPr>
          <w:p w14:paraId="3EDC0BFD"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(0.47441)</w:t>
            </w:r>
          </w:p>
        </w:tc>
        <w:tc>
          <w:tcPr>
            <w:tcW w:w="2223" w:type="dxa"/>
            <w:vAlign w:val="center"/>
          </w:tcPr>
          <w:p w14:paraId="1AC4CC92"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0.803589</w:t>
            </w:r>
          </w:p>
        </w:tc>
        <w:tc>
          <w:tcPr>
            <w:tcW w:w="2223" w:type="dxa"/>
            <w:vAlign w:val="center"/>
          </w:tcPr>
          <w:p w14:paraId="0AE8AEDF"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CPI(-1)</w:t>
            </w:r>
          </w:p>
        </w:tc>
      </w:tr>
      <w:tr w:rsidR="002959BC" w:rsidRPr="00B85D38" w14:paraId="794FD584" w14:textId="77777777" w:rsidTr="00270E6A">
        <w:trPr>
          <w:trHeight w:val="397"/>
        </w:trPr>
        <w:tc>
          <w:tcPr>
            <w:tcW w:w="2222" w:type="dxa"/>
            <w:vAlign w:val="center"/>
          </w:tcPr>
          <w:p w14:paraId="7D477EEB"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[ 0.43122]</w:t>
            </w:r>
          </w:p>
        </w:tc>
        <w:tc>
          <w:tcPr>
            <w:tcW w:w="2223" w:type="dxa"/>
            <w:vAlign w:val="center"/>
          </w:tcPr>
          <w:p w14:paraId="3ADCE9B8"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(0.45003)</w:t>
            </w:r>
          </w:p>
        </w:tc>
        <w:tc>
          <w:tcPr>
            <w:tcW w:w="2223" w:type="dxa"/>
            <w:vAlign w:val="center"/>
          </w:tcPr>
          <w:p w14:paraId="47FF047F"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0.194063</w:t>
            </w:r>
          </w:p>
        </w:tc>
        <w:tc>
          <w:tcPr>
            <w:tcW w:w="2223" w:type="dxa"/>
            <w:vAlign w:val="center"/>
          </w:tcPr>
          <w:p w14:paraId="1D5C4F03"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CPI(-2)</w:t>
            </w:r>
          </w:p>
        </w:tc>
      </w:tr>
      <w:tr w:rsidR="002959BC" w:rsidRPr="00B85D38" w14:paraId="3C107F0A" w14:textId="77777777" w:rsidTr="00270E6A">
        <w:trPr>
          <w:trHeight w:val="397"/>
        </w:trPr>
        <w:tc>
          <w:tcPr>
            <w:tcW w:w="2222" w:type="dxa"/>
            <w:vAlign w:val="center"/>
          </w:tcPr>
          <w:p w14:paraId="06BF2856"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[-0.79156]</w:t>
            </w:r>
          </w:p>
        </w:tc>
        <w:tc>
          <w:tcPr>
            <w:tcW w:w="2223" w:type="dxa"/>
            <w:vAlign w:val="center"/>
          </w:tcPr>
          <w:p w14:paraId="6E7B16A0"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(0.02225)</w:t>
            </w:r>
          </w:p>
        </w:tc>
        <w:tc>
          <w:tcPr>
            <w:tcW w:w="2223" w:type="dxa"/>
            <w:vAlign w:val="center"/>
          </w:tcPr>
          <w:p w14:paraId="031FD87D"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-0.017615</w:t>
            </w:r>
          </w:p>
        </w:tc>
        <w:tc>
          <w:tcPr>
            <w:tcW w:w="2223" w:type="dxa"/>
            <w:vAlign w:val="center"/>
          </w:tcPr>
          <w:p w14:paraId="77C0D74C"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DB(-1)</w:t>
            </w:r>
          </w:p>
        </w:tc>
      </w:tr>
      <w:tr w:rsidR="002959BC" w:rsidRPr="00B85D38" w14:paraId="69D801EF" w14:textId="77777777" w:rsidTr="00270E6A">
        <w:trPr>
          <w:trHeight w:val="397"/>
        </w:trPr>
        <w:tc>
          <w:tcPr>
            <w:tcW w:w="2222" w:type="dxa"/>
            <w:vAlign w:val="center"/>
          </w:tcPr>
          <w:p w14:paraId="5FE679EC"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[ 2.39305]</w:t>
            </w:r>
          </w:p>
        </w:tc>
        <w:tc>
          <w:tcPr>
            <w:tcW w:w="2223" w:type="dxa"/>
            <w:vAlign w:val="center"/>
          </w:tcPr>
          <w:p w14:paraId="27E04407"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(0.02312)</w:t>
            </w:r>
          </w:p>
        </w:tc>
        <w:tc>
          <w:tcPr>
            <w:tcW w:w="2223" w:type="dxa"/>
            <w:vAlign w:val="center"/>
          </w:tcPr>
          <w:p w14:paraId="619E8C98"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0.055329</w:t>
            </w:r>
          </w:p>
        </w:tc>
        <w:tc>
          <w:tcPr>
            <w:tcW w:w="2223" w:type="dxa"/>
            <w:vAlign w:val="center"/>
          </w:tcPr>
          <w:p w14:paraId="1A848B12"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DB(-2)</w:t>
            </w:r>
          </w:p>
        </w:tc>
      </w:tr>
      <w:tr w:rsidR="002959BC" w:rsidRPr="00B85D38" w14:paraId="3D52CBAB" w14:textId="77777777" w:rsidTr="00270E6A">
        <w:trPr>
          <w:trHeight w:val="397"/>
        </w:trPr>
        <w:tc>
          <w:tcPr>
            <w:tcW w:w="2222" w:type="dxa"/>
            <w:vAlign w:val="center"/>
          </w:tcPr>
          <w:p w14:paraId="1ECF2A35"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[-2.33906]</w:t>
            </w:r>
          </w:p>
        </w:tc>
        <w:tc>
          <w:tcPr>
            <w:tcW w:w="2223" w:type="dxa"/>
            <w:vAlign w:val="center"/>
          </w:tcPr>
          <w:p w14:paraId="0C92FAD0"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(0.04851)</w:t>
            </w:r>
          </w:p>
        </w:tc>
        <w:tc>
          <w:tcPr>
            <w:tcW w:w="2223" w:type="dxa"/>
            <w:vAlign w:val="center"/>
          </w:tcPr>
          <w:p w14:paraId="7DACC2F1"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-0.113471</w:t>
            </w:r>
          </w:p>
        </w:tc>
        <w:tc>
          <w:tcPr>
            <w:tcW w:w="2223" w:type="dxa"/>
            <w:vAlign w:val="center"/>
          </w:tcPr>
          <w:p w14:paraId="67BF9F65"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DNB(-1)</w:t>
            </w:r>
          </w:p>
        </w:tc>
      </w:tr>
      <w:tr w:rsidR="002959BC" w:rsidRPr="00B85D38" w14:paraId="6EC57CC1" w14:textId="77777777" w:rsidTr="00270E6A">
        <w:trPr>
          <w:trHeight w:val="397"/>
        </w:trPr>
        <w:tc>
          <w:tcPr>
            <w:tcW w:w="2222" w:type="dxa"/>
            <w:vAlign w:val="center"/>
          </w:tcPr>
          <w:p w14:paraId="2C5C4121"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[ 1.93018]</w:t>
            </w:r>
          </w:p>
        </w:tc>
        <w:tc>
          <w:tcPr>
            <w:tcW w:w="2223" w:type="dxa"/>
            <w:vAlign w:val="center"/>
          </w:tcPr>
          <w:p w14:paraId="6A3B58F1"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(0.04575)</w:t>
            </w:r>
          </w:p>
        </w:tc>
        <w:tc>
          <w:tcPr>
            <w:tcW w:w="2223" w:type="dxa"/>
            <w:vAlign w:val="center"/>
          </w:tcPr>
          <w:p w14:paraId="01CFFA1C"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0.088307</w:t>
            </w:r>
          </w:p>
        </w:tc>
        <w:tc>
          <w:tcPr>
            <w:tcW w:w="2223" w:type="dxa"/>
            <w:vAlign w:val="center"/>
          </w:tcPr>
          <w:p w14:paraId="22BAAE82"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DNB(-2)</w:t>
            </w:r>
          </w:p>
        </w:tc>
      </w:tr>
      <w:tr w:rsidR="002959BC" w:rsidRPr="00B85D38" w14:paraId="4820EB0B" w14:textId="77777777" w:rsidTr="00270E6A">
        <w:trPr>
          <w:trHeight w:val="397"/>
        </w:trPr>
        <w:tc>
          <w:tcPr>
            <w:tcW w:w="2222" w:type="dxa"/>
            <w:vAlign w:val="center"/>
          </w:tcPr>
          <w:p w14:paraId="294FEC8E"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[-0.08062]</w:t>
            </w:r>
          </w:p>
        </w:tc>
        <w:tc>
          <w:tcPr>
            <w:tcW w:w="2223" w:type="dxa"/>
            <w:vAlign w:val="center"/>
          </w:tcPr>
          <w:p w14:paraId="7A32C18C"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(0.01699)</w:t>
            </w:r>
          </w:p>
        </w:tc>
        <w:tc>
          <w:tcPr>
            <w:tcW w:w="2223" w:type="dxa"/>
            <w:vAlign w:val="center"/>
          </w:tcPr>
          <w:p w14:paraId="08382062"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-0.001370</w:t>
            </w:r>
          </w:p>
        </w:tc>
        <w:tc>
          <w:tcPr>
            <w:tcW w:w="2223" w:type="dxa"/>
            <w:vAlign w:val="center"/>
          </w:tcPr>
          <w:p w14:paraId="6C3F0147"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XP(-1)</w:t>
            </w:r>
          </w:p>
        </w:tc>
      </w:tr>
      <w:tr w:rsidR="002959BC" w:rsidRPr="00B85D38" w14:paraId="7D2E403A" w14:textId="77777777" w:rsidTr="00270E6A">
        <w:trPr>
          <w:trHeight w:val="397"/>
        </w:trPr>
        <w:tc>
          <w:tcPr>
            <w:tcW w:w="2222" w:type="dxa"/>
            <w:vAlign w:val="center"/>
          </w:tcPr>
          <w:p w14:paraId="31E5CE5A"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[ 1.61508]</w:t>
            </w:r>
          </w:p>
        </w:tc>
        <w:tc>
          <w:tcPr>
            <w:tcW w:w="2223" w:type="dxa"/>
            <w:vAlign w:val="center"/>
          </w:tcPr>
          <w:p w14:paraId="582A25DD"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(0.01612)</w:t>
            </w:r>
          </w:p>
        </w:tc>
        <w:tc>
          <w:tcPr>
            <w:tcW w:w="2223" w:type="dxa"/>
            <w:vAlign w:val="center"/>
          </w:tcPr>
          <w:p w14:paraId="63FB80F3"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0.026039</w:t>
            </w:r>
          </w:p>
        </w:tc>
        <w:tc>
          <w:tcPr>
            <w:tcW w:w="2223" w:type="dxa"/>
            <w:vAlign w:val="center"/>
          </w:tcPr>
          <w:p w14:paraId="428ED92C"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XP(-2)</w:t>
            </w:r>
          </w:p>
        </w:tc>
      </w:tr>
      <w:tr w:rsidR="002959BC" w:rsidRPr="00B85D38" w14:paraId="055884E1" w14:textId="77777777" w:rsidTr="00270E6A">
        <w:trPr>
          <w:trHeight w:val="397"/>
        </w:trPr>
        <w:tc>
          <w:tcPr>
            <w:tcW w:w="2222" w:type="dxa"/>
            <w:vAlign w:val="center"/>
          </w:tcPr>
          <w:p w14:paraId="7262E9B4"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[ 0.81519]</w:t>
            </w:r>
          </w:p>
        </w:tc>
        <w:tc>
          <w:tcPr>
            <w:tcW w:w="2223" w:type="dxa"/>
            <w:vAlign w:val="center"/>
          </w:tcPr>
          <w:p w14:paraId="57AC8950"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(0.10427)</w:t>
            </w:r>
          </w:p>
        </w:tc>
        <w:tc>
          <w:tcPr>
            <w:tcW w:w="2223" w:type="dxa"/>
            <w:vAlign w:val="center"/>
          </w:tcPr>
          <w:p w14:paraId="111CA3B2"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0.085000</w:t>
            </w:r>
          </w:p>
        </w:tc>
        <w:tc>
          <w:tcPr>
            <w:tcW w:w="2223" w:type="dxa"/>
            <w:vAlign w:val="center"/>
          </w:tcPr>
          <w:p w14:paraId="12C0B125"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XF(-1)</w:t>
            </w:r>
          </w:p>
        </w:tc>
      </w:tr>
      <w:tr w:rsidR="002959BC" w:rsidRPr="00B85D38" w14:paraId="0643805D" w14:textId="77777777" w:rsidTr="00270E6A">
        <w:trPr>
          <w:trHeight w:val="397"/>
        </w:trPr>
        <w:tc>
          <w:tcPr>
            <w:tcW w:w="2222" w:type="dxa"/>
            <w:vAlign w:val="center"/>
          </w:tcPr>
          <w:p w14:paraId="2FEE5433"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[-0.63385]</w:t>
            </w:r>
          </w:p>
        </w:tc>
        <w:tc>
          <w:tcPr>
            <w:tcW w:w="2223" w:type="dxa"/>
            <w:vAlign w:val="center"/>
          </w:tcPr>
          <w:p w14:paraId="652105A9"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(0.13457)</w:t>
            </w:r>
          </w:p>
        </w:tc>
        <w:tc>
          <w:tcPr>
            <w:tcW w:w="2223" w:type="dxa"/>
            <w:vAlign w:val="center"/>
          </w:tcPr>
          <w:p w14:paraId="3EE31C21"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-0.085296</w:t>
            </w:r>
          </w:p>
        </w:tc>
        <w:tc>
          <w:tcPr>
            <w:tcW w:w="2223" w:type="dxa"/>
            <w:vAlign w:val="center"/>
          </w:tcPr>
          <w:p w14:paraId="29BB01DF"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XF(-2)</w:t>
            </w:r>
          </w:p>
        </w:tc>
      </w:tr>
      <w:tr w:rsidR="002959BC" w:rsidRPr="00B85D38" w14:paraId="467210A5" w14:textId="77777777" w:rsidTr="00270E6A">
        <w:trPr>
          <w:trHeight w:val="397"/>
        </w:trPr>
        <w:tc>
          <w:tcPr>
            <w:tcW w:w="2222" w:type="dxa"/>
            <w:vAlign w:val="center"/>
          </w:tcPr>
          <w:p w14:paraId="66A013AC"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[-0.39094]</w:t>
            </w:r>
          </w:p>
        </w:tc>
        <w:tc>
          <w:tcPr>
            <w:tcW w:w="2223" w:type="dxa"/>
            <w:vAlign w:val="center"/>
          </w:tcPr>
          <w:p w14:paraId="261FADEA"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(0.27411)</w:t>
            </w:r>
          </w:p>
        </w:tc>
        <w:tc>
          <w:tcPr>
            <w:tcW w:w="2223" w:type="dxa"/>
            <w:vAlign w:val="center"/>
          </w:tcPr>
          <w:p w14:paraId="285FAA39"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-0.107161</w:t>
            </w:r>
          </w:p>
        </w:tc>
        <w:tc>
          <w:tcPr>
            <w:tcW w:w="2223" w:type="dxa"/>
            <w:vAlign w:val="center"/>
          </w:tcPr>
          <w:p w14:paraId="791219BB"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M</w:t>
            </w:r>
            <w:r>
              <w:rPr>
                <w:rFonts w:asciiTheme="majorHAnsi" w:hAnsiTheme="majorHAnsi" w:cs="Simplified Arabic"/>
                <w:color w:val="973634"/>
                <w:sz w:val="28"/>
                <w:szCs w:val="28"/>
              </w:rPr>
              <w:t>2</w:t>
            </w:r>
            <w:r w:rsidRPr="00245CB1">
              <w:rPr>
                <w:rFonts w:asciiTheme="majorHAnsi" w:hAnsiTheme="majorHAnsi" w:cs="Simplified Arabic"/>
                <w:color w:val="973634"/>
                <w:sz w:val="28"/>
                <w:szCs w:val="28"/>
              </w:rPr>
              <w:t>(-1)</w:t>
            </w:r>
          </w:p>
        </w:tc>
      </w:tr>
      <w:tr w:rsidR="002959BC" w:rsidRPr="00B85D38" w14:paraId="246B1FF4" w14:textId="77777777" w:rsidTr="00270E6A">
        <w:trPr>
          <w:trHeight w:val="397"/>
        </w:trPr>
        <w:tc>
          <w:tcPr>
            <w:tcW w:w="2222" w:type="dxa"/>
            <w:vAlign w:val="center"/>
          </w:tcPr>
          <w:p w14:paraId="20F57192"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lastRenderedPageBreak/>
              <w:t>[ 1.60500]</w:t>
            </w:r>
          </w:p>
        </w:tc>
        <w:tc>
          <w:tcPr>
            <w:tcW w:w="2223" w:type="dxa"/>
            <w:vAlign w:val="center"/>
          </w:tcPr>
          <w:p w14:paraId="0312A989"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(0.25857)</w:t>
            </w:r>
          </w:p>
        </w:tc>
        <w:tc>
          <w:tcPr>
            <w:tcW w:w="2223" w:type="dxa"/>
            <w:vAlign w:val="center"/>
          </w:tcPr>
          <w:p w14:paraId="7DFEA8C9"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0.415006</w:t>
            </w:r>
          </w:p>
        </w:tc>
        <w:tc>
          <w:tcPr>
            <w:tcW w:w="2223" w:type="dxa"/>
            <w:vAlign w:val="center"/>
          </w:tcPr>
          <w:p w14:paraId="2D9E13D2"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M</w:t>
            </w:r>
            <w:r>
              <w:rPr>
                <w:rFonts w:asciiTheme="majorHAnsi" w:hAnsiTheme="majorHAnsi" w:cs="Simplified Arabic"/>
                <w:color w:val="973634"/>
                <w:sz w:val="28"/>
                <w:szCs w:val="28"/>
              </w:rPr>
              <w:t>2</w:t>
            </w:r>
            <w:r w:rsidRPr="00245CB1">
              <w:rPr>
                <w:rFonts w:asciiTheme="majorHAnsi" w:hAnsiTheme="majorHAnsi" w:cs="Simplified Arabic"/>
                <w:color w:val="973634"/>
                <w:sz w:val="28"/>
                <w:szCs w:val="28"/>
              </w:rPr>
              <w:t>(-2)</w:t>
            </w:r>
          </w:p>
        </w:tc>
      </w:tr>
      <w:tr w:rsidR="002959BC" w:rsidRPr="00B85D38" w14:paraId="01CA43FF" w14:textId="77777777" w:rsidTr="00270E6A">
        <w:trPr>
          <w:trHeight w:val="397"/>
        </w:trPr>
        <w:tc>
          <w:tcPr>
            <w:tcW w:w="2222" w:type="dxa"/>
            <w:vAlign w:val="center"/>
          </w:tcPr>
          <w:p w14:paraId="3CB5A41D"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[ 0.84583]</w:t>
            </w:r>
          </w:p>
        </w:tc>
        <w:tc>
          <w:tcPr>
            <w:tcW w:w="2223" w:type="dxa"/>
            <w:vAlign w:val="center"/>
          </w:tcPr>
          <w:p w14:paraId="1F65C986"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(2.46930)</w:t>
            </w:r>
          </w:p>
        </w:tc>
        <w:tc>
          <w:tcPr>
            <w:tcW w:w="2223" w:type="dxa"/>
            <w:vAlign w:val="center"/>
          </w:tcPr>
          <w:p w14:paraId="1EF0DD1E"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2.088611</w:t>
            </w:r>
          </w:p>
        </w:tc>
        <w:tc>
          <w:tcPr>
            <w:tcW w:w="2223" w:type="dxa"/>
            <w:vAlign w:val="center"/>
          </w:tcPr>
          <w:p w14:paraId="195F8DA9"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EX(-1)</w:t>
            </w:r>
          </w:p>
        </w:tc>
      </w:tr>
      <w:tr w:rsidR="002959BC" w:rsidRPr="00B85D38" w14:paraId="617C36BD" w14:textId="77777777" w:rsidTr="00270E6A">
        <w:trPr>
          <w:trHeight w:val="397"/>
        </w:trPr>
        <w:tc>
          <w:tcPr>
            <w:tcW w:w="2222" w:type="dxa"/>
            <w:vAlign w:val="center"/>
          </w:tcPr>
          <w:p w14:paraId="479F3892"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[-1.98742]</w:t>
            </w:r>
          </w:p>
        </w:tc>
        <w:tc>
          <w:tcPr>
            <w:tcW w:w="2223" w:type="dxa"/>
            <w:vAlign w:val="center"/>
          </w:tcPr>
          <w:p w14:paraId="424A15F4"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(1.77091)</w:t>
            </w:r>
          </w:p>
        </w:tc>
        <w:tc>
          <w:tcPr>
            <w:tcW w:w="2223" w:type="dxa"/>
            <w:vAlign w:val="center"/>
          </w:tcPr>
          <w:p w14:paraId="2F39051D"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-3.519532</w:t>
            </w:r>
          </w:p>
        </w:tc>
        <w:tc>
          <w:tcPr>
            <w:tcW w:w="2223" w:type="dxa"/>
            <w:vAlign w:val="center"/>
          </w:tcPr>
          <w:p w14:paraId="3985EA59"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EX(-2)</w:t>
            </w:r>
          </w:p>
        </w:tc>
      </w:tr>
      <w:tr w:rsidR="002959BC" w:rsidRPr="00B85D38" w14:paraId="35017CF7" w14:textId="77777777" w:rsidTr="00270E6A">
        <w:trPr>
          <w:trHeight w:val="397"/>
        </w:trPr>
        <w:tc>
          <w:tcPr>
            <w:tcW w:w="2222" w:type="dxa"/>
            <w:vAlign w:val="center"/>
          </w:tcPr>
          <w:p w14:paraId="754CEBC4"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[-0.93106]</w:t>
            </w:r>
          </w:p>
        </w:tc>
        <w:tc>
          <w:tcPr>
            <w:tcW w:w="2223" w:type="dxa"/>
            <w:vAlign w:val="center"/>
          </w:tcPr>
          <w:p w14:paraId="22FDA8C1"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(23.9885)</w:t>
            </w:r>
          </w:p>
        </w:tc>
        <w:tc>
          <w:tcPr>
            <w:tcW w:w="2223" w:type="dxa"/>
            <w:vAlign w:val="center"/>
          </w:tcPr>
          <w:p w14:paraId="783FB2FA"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-22.33481</w:t>
            </w:r>
          </w:p>
        </w:tc>
        <w:tc>
          <w:tcPr>
            <w:tcW w:w="2223" w:type="dxa"/>
            <w:vAlign w:val="center"/>
          </w:tcPr>
          <w:p w14:paraId="3EC209DF"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C</w:t>
            </w:r>
          </w:p>
        </w:tc>
      </w:tr>
      <w:tr w:rsidR="002959BC" w:rsidRPr="00B85D38" w14:paraId="787BB7EA" w14:textId="77777777" w:rsidTr="00270E6A">
        <w:trPr>
          <w:trHeight w:val="397"/>
        </w:trPr>
        <w:tc>
          <w:tcPr>
            <w:tcW w:w="2222" w:type="dxa"/>
            <w:vAlign w:val="center"/>
          </w:tcPr>
          <w:p w14:paraId="1523D81D" w14:textId="77777777" w:rsidR="002959BC" w:rsidRPr="00B85D38" w:rsidRDefault="002959BC" w:rsidP="00270E6A">
            <w:pPr>
              <w:autoSpaceDE w:val="0"/>
              <w:autoSpaceDN w:val="0"/>
              <w:adjustRightInd w:val="0"/>
              <w:spacing w:line="204" w:lineRule="auto"/>
              <w:rPr>
                <w:rFonts w:asciiTheme="majorHAnsi" w:hAnsiTheme="majorHAnsi" w:cs="Simplified Arabic"/>
                <w:color w:val="973634"/>
                <w:sz w:val="28"/>
                <w:szCs w:val="28"/>
                <w:rtl/>
              </w:rPr>
            </w:pPr>
          </w:p>
        </w:tc>
        <w:tc>
          <w:tcPr>
            <w:tcW w:w="2223" w:type="dxa"/>
            <w:vAlign w:val="center"/>
          </w:tcPr>
          <w:p w14:paraId="1B2695D9" w14:textId="77777777" w:rsidR="002959BC" w:rsidRPr="00B85D38" w:rsidRDefault="002959BC" w:rsidP="00270E6A">
            <w:pPr>
              <w:autoSpaceDE w:val="0"/>
              <w:autoSpaceDN w:val="0"/>
              <w:adjustRightInd w:val="0"/>
              <w:spacing w:line="204" w:lineRule="auto"/>
              <w:rPr>
                <w:rFonts w:asciiTheme="majorHAnsi" w:hAnsiTheme="majorHAnsi" w:cs="Simplified Arabic"/>
                <w:color w:val="973634"/>
                <w:sz w:val="28"/>
                <w:szCs w:val="28"/>
                <w:rtl/>
              </w:rPr>
            </w:pPr>
          </w:p>
        </w:tc>
        <w:tc>
          <w:tcPr>
            <w:tcW w:w="2223" w:type="dxa"/>
            <w:vAlign w:val="center"/>
          </w:tcPr>
          <w:p w14:paraId="324F59FC"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0.999517</w:t>
            </w:r>
          </w:p>
        </w:tc>
        <w:tc>
          <w:tcPr>
            <w:tcW w:w="2223" w:type="dxa"/>
            <w:vAlign w:val="center"/>
          </w:tcPr>
          <w:p w14:paraId="293BDC35"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R-squared</w:t>
            </w:r>
          </w:p>
        </w:tc>
      </w:tr>
      <w:tr w:rsidR="002959BC" w:rsidRPr="00B85D38" w14:paraId="6C5B4665" w14:textId="77777777" w:rsidTr="00270E6A">
        <w:trPr>
          <w:trHeight w:val="397"/>
        </w:trPr>
        <w:tc>
          <w:tcPr>
            <w:tcW w:w="2222" w:type="dxa"/>
            <w:vAlign w:val="center"/>
          </w:tcPr>
          <w:p w14:paraId="3D4B83F8" w14:textId="77777777" w:rsidR="002959BC" w:rsidRPr="00B85D38" w:rsidRDefault="002959BC" w:rsidP="00270E6A">
            <w:pPr>
              <w:autoSpaceDE w:val="0"/>
              <w:autoSpaceDN w:val="0"/>
              <w:adjustRightInd w:val="0"/>
              <w:spacing w:line="204" w:lineRule="auto"/>
              <w:rPr>
                <w:rFonts w:asciiTheme="majorHAnsi" w:hAnsiTheme="majorHAnsi" w:cs="Simplified Arabic"/>
                <w:color w:val="973634"/>
                <w:sz w:val="28"/>
                <w:szCs w:val="28"/>
                <w:rtl/>
              </w:rPr>
            </w:pPr>
          </w:p>
        </w:tc>
        <w:tc>
          <w:tcPr>
            <w:tcW w:w="2223" w:type="dxa"/>
            <w:vAlign w:val="center"/>
          </w:tcPr>
          <w:p w14:paraId="15129398" w14:textId="77777777" w:rsidR="002959BC" w:rsidRPr="00B85D38" w:rsidRDefault="002959BC" w:rsidP="00270E6A">
            <w:pPr>
              <w:autoSpaceDE w:val="0"/>
              <w:autoSpaceDN w:val="0"/>
              <w:adjustRightInd w:val="0"/>
              <w:spacing w:line="204" w:lineRule="auto"/>
              <w:rPr>
                <w:rFonts w:asciiTheme="majorHAnsi" w:hAnsiTheme="majorHAnsi" w:cs="Simplified Arabic"/>
                <w:color w:val="973634"/>
                <w:sz w:val="28"/>
                <w:szCs w:val="28"/>
                <w:rtl/>
              </w:rPr>
            </w:pPr>
          </w:p>
        </w:tc>
        <w:tc>
          <w:tcPr>
            <w:tcW w:w="2223" w:type="dxa"/>
            <w:vAlign w:val="center"/>
          </w:tcPr>
          <w:p w14:paraId="04B4E12D"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0.998550</w:t>
            </w:r>
          </w:p>
        </w:tc>
        <w:tc>
          <w:tcPr>
            <w:tcW w:w="2223" w:type="dxa"/>
            <w:vAlign w:val="center"/>
          </w:tcPr>
          <w:p w14:paraId="2A2F1C3E"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Adj. R-squared</w:t>
            </w:r>
          </w:p>
        </w:tc>
      </w:tr>
      <w:tr w:rsidR="002959BC" w:rsidRPr="00B85D38" w14:paraId="5F4B34BF" w14:textId="77777777" w:rsidTr="00270E6A">
        <w:trPr>
          <w:trHeight w:val="397"/>
        </w:trPr>
        <w:tc>
          <w:tcPr>
            <w:tcW w:w="2222" w:type="dxa"/>
            <w:vAlign w:val="center"/>
          </w:tcPr>
          <w:p w14:paraId="04A882A9" w14:textId="77777777" w:rsidR="002959BC" w:rsidRPr="00B85D38" w:rsidRDefault="002959BC" w:rsidP="00270E6A">
            <w:pPr>
              <w:autoSpaceDE w:val="0"/>
              <w:autoSpaceDN w:val="0"/>
              <w:adjustRightInd w:val="0"/>
              <w:spacing w:line="204" w:lineRule="auto"/>
              <w:rPr>
                <w:rFonts w:asciiTheme="majorHAnsi" w:hAnsiTheme="majorHAnsi" w:cs="Simplified Arabic"/>
                <w:color w:val="973634"/>
                <w:sz w:val="28"/>
                <w:szCs w:val="28"/>
                <w:rtl/>
              </w:rPr>
            </w:pPr>
          </w:p>
        </w:tc>
        <w:tc>
          <w:tcPr>
            <w:tcW w:w="2223" w:type="dxa"/>
            <w:vAlign w:val="center"/>
          </w:tcPr>
          <w:p w14:paraId="4FA94B82" w14:textId="77777777" w:rsidR="002959BC" w:rsidRPr="00B85D38" w:rsidRDefault="002959BC" w:rsidP="00270E6A">
            <w:pPr>
              <w:autoSpaceDE w:val="0"/>
              <w:autoSpaceDN w:val="0"/>
              <w:adjustRightInd w:val="0"/>
              <w:spacing w:line="204" w:lineRule="auto"/>
              <w:rPr>
                <w:rFonts w:asciiTheme="majorHAnsi" w:hAnsiTheme="majorHAnsi" w:cs="Simplified Arabic"/>
                <w:color w:val="973634"/>
                <w:sz w:val="28"/>
                <w:szCs w:val="28"/>
                <w:rtl/>
              </w:rPr>
            </w:pPr>
          </w:p>
        </w:tc>
        <w:tc>
          <w:tcPr>
            <w:tcW w:w="2223" w:type="dxa"/>
            <w:vAlign w:val="center"/>
          </w:tcPr>
          <w:p w14:paraId="2CC2AA52"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 1033.899</w:t>
            </w:r>
          </w:p>
        </w:tc>
        <w:tc>
          <w:tcPr>
            <w:tcW w:w="2223" w:type="dxa"/>
            <w:vAlign w:val="center"/>
          </w:tcPr>
          <w:p w14:paraId="430CDB70" w14:textId="77777777" w:rsidR="002959BC" w:rsidRPr="00245CB1" w:rsidRDefault="002959BC" w:rsidP="00270E6A">
            <w:pPr>
              <w:autoSpaceDE w:val="0"/>
              <w:autoSpaceDN w:val="0"/>
              <w:adjustRightInd w:val="0"/>
              <w:spacing w:line="204" w:lineRule="auto"/>
              <w:rPr>
                <w:rFonts w:asciiTheme="majorHAnsi" w:hAnsiTheme="majorHAnsi" w:cs="Simplified Arabic"/>
                <w:color w:val="973634"/>
                <w:sz w:val="28"/>
                <w:szCs w:val="28"/>
              </w:rPr>
            </w:pPr>
            <w:r w:rsidRPr="00245CB1">
              <w:rPr>
                <w:rFonts w:asciiTheme="majorHAnsi" w:hAnsiTheme="majorHAnsi" w:cs="Simplified Arabic"/>
                <w:color w:val="973634"/>
                <w:sz w:val="28"/>
                <w:szCs w:val="28"/>
              </w:rPr>
              <w:t>F-statistic</w:t>
            </w:r>
          </w:p>
        </w:tc>
      </w:tr>
    </w:tbl>
    <w:p w14:paraId="63337427" w14:textId="77777777" w:rsidR="002959BC" w:rsidRPr="0023379C" w:rsidRDefault="002959BC" w:rsidP="002959BC">
      <w:pPr>
        <w:pStyle w:val="ListParagraph"/>
        <w:spacing w:after="0" w:line="216" w:lineRule="auto"/>
        <w:ind w:left="56" w:hanging="28"/>
        <w:contextualSpacing w:val="0"/>
        <w:jc w:val="both"/>
        <w:rPr>
          <w:rFonts w:ascii="Simplified Arabic" w:hAnsi="Simplified Arabic" w:cs="Simplified Arabic"/>
          <w:lang w:bidi="ar-EG"/>
        </w:rPr>
      </w:pPr>
      <w:r w:rsidRPr="0023379C">
        <w:rPr>
          <w:rFonts w:ascii="Simplified Arabic" w:eastAsia="Times New Roman" w:hAnsi="Simplified Arabic" w:cs="Simplified Arabic"/>
          <w:rtl/>
        </w:rPr>
        <w:t xml:space="preserve">المصدر: من إعداد الباحث بالاعتماد على بيانات الجدول رقم (4-5) من الملحق الإحصائي وباستخدام برنامج </w:t>
      </w:r>
      <w:r w:rsidRPr="0023379C">
        <w:rPr>
          <w:rFonts w:ascii="Simplified Arabic" w:eastAsia="Times New Roman" w:hAnsi="Simplified Arabic" w:cs="Simplified Arabic"/>
        </w:rPr>
        <w:t>EViews 10</w:t>
      </w:r>
    </w:p>
    <w:p w14:paraId="47FBE42B" w14:textId="77777777" w:rsidR="002959BC" w:rsidRPr="006043FE" w:rsidRDefault="002959BC" w:rsidP="002959BC">
      <w:pPr>
        <w:pStyle w:val="ListParagraph"/>
        <w:spacing w:after="0" w:line="204" w:lineRule="auto"/>
        <w:ind w:left="56" w:hanging="28"/>
        <w:contextualSpacing w:val="0"/>
        <w:jc w:val="both"/>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وتكون معادلة النموذج كالتالي:</w:t>
      </w:r>
    </w:p>
    <w:p w14:paraId="256D23F5" w14:textId="77777777" w:rsidR="002959BC" w:rsidRPr="006043FE" w:rsidRDefault="002959BC" w:rsidP="002959BC">
      <w:pPr>
        <w:pStyle w:val="ListParagraph"/>
        <w:spacing w:after="0" w:line="192" w:lineRule="auto"/>
        <w:ind w:left="567" w:hanging="567"/>
        <w:contextualSpacing w:val="0"/>
        <w:jc w:val="both"/>
        <w:rPr>
          <w:rFonts w:ascii="Simplified Arabic" w:hAnsi="Simplified Arabic" w:cs="Simplified Arabic"/>
          <w:sz w:val="28"/>
          <w:szCs w:val="28"/>
        </w:rPr>
      </w:pPr>
      <w:r w:rsidRPr="006043FE">
        <w:rPr>
          <w:rFonts w:ascii="Simplified Arabic" w:hAnsi="Simplified Arabic" w:cs="Simplified Arabic"/>
          <w:sz w:val="28"/>
          <w:szCs w:val="28"/>
        </w:rPr>
        <w:t xml:space="preserve">Cpi= - 22.3348 + 0.8036*cpi(-1) + 0.1941*cpi(-2) - 0.0176*db(-1) + 0.0553*db(-2) - 0.1135*dnb(-1) + 0.0883*dnb(-2) </w:t>
      </w:r>
      <w:r>
        <w:rPr>
          <w:rFonts w:ascii="Simplified Arabic" w:hAnsi="Simplified Arabic" w:cs="Simplified Arabic"/>
          <w:sz w:val="28"/>
          <w:szCs w:val="28"/>
        </w:rPr>
        <w:t xml:space="preserve">- 0.0014*xp(-1) + 0.0260*xp(-2) </w:t>
      </w:r>
      <w:r w:rsidRPr="006043FE">
        <w:rPr>
          <w:rFonts w:ascii="Simplified Arabic" w:hAnsi="Simplified Arabic" w:cs="Simplified Arabic"/>
          <w:sz w:val="28"/>
          <w:szCs w:val="28"/>
        </w:rPr>
        <w:t xml:space="preserve">+ 0.0849*xf(-1) - 0.085*xf(-2) - 0.1072*m2(-1) + 0.4150*m2(-2) + 2.0886*ex(-1) - 3.5195*ex(-2) </w:t>
      </w:r>
    </w:p>
    <w:p w14:paraId="67093BC7" w14:textId="77777777" w:rsidR="002959BC" w:rsidRDefault="002959BC" w:rsidP="002959BC">
      <w:pPr>
        <w:spacing w:line="204" w:lineRule="auto"/>
        <w:ind w:firstLine="454"/>
        <w:jc w:val="both"/>
        <w:rPr>
          <w:rFonts w:ascii="Simplified Arabic" w:hAnsi="Simplified Arabic" w:cs="Simplified Arabic"/>
          <w:sz w:val="28"/>
          <w:szCs w:val="28"/>
          <w:rtl/>
          <w:lang w:bidi="ar-EG"/>
        </w:rPr>
      </w:pPr>
    </w:p>
    <w:p w14:paraId="68472FF6" w14:textId="77777777" w:rsidR="002959BC" w:rsidRPr="006043FE" w:rsidRDefault="002959BC" w:rsidP="002959BC">
      <w:pPr>
        <w:spacing w:line="204" w:lineRule="auto"/>
        <w:ind w:firstLine="454"/>
        <w:jc w:val="both"/>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وتوضح الاختبارات الإحصائية للنموذج السابق جودة التقدير حيث بلغت قيمة (</w:t>
      </w:r>
      <w:r w:rsidRPr="006043FE">
        <w:rPr>
          <w:rFonts w:ascii="Simplified Arabic" w:hAnsi="Simplified Arabic" w:cs="Simplified Arabic"/>
          <w:sz w:val="28"/>
          <w:szCs w:val="28"/>
          <w:lang w:bidi="ar-EG"/>
        </w:rPr>
        <w:t>R2</w:t>
      </w:r>
      <w:r w:rsidRPr="006043FE">
        <w:rPr>
          <w:rFonts w:ascii="Simplified Arabic" w:hAnsi="Simplified Arabic" w:cs="Simplified Arabic"/>
          <w:sz w:val="28"/>
          <w:szCs w:val="28"/>
          <w:rtl/>
          <w:lang w:bidi="ar-EG"/>
        </w:rPr>
        <w:t>) نسبة (</w:t>
      </w:r>
      <w:r w:rsidRPr="006043FE">
        <w:rPr>
          <w:rFonts w:ascii="Simplified Arabic" w:hAnsi="Simplified Arabic" w:cs="Simplified Arabic"/>
          <w:sz w:val="28"/>
          <w:szCs w:val="28"/>
          <w:lang w:bidi="ar-EG"/>
        </w:rPr>
        <w:t>0.99</w:t>
      </w:r>
      <w:r w:rsidRPr="006043FE">
        <w:rPr>
          <w:rFonts w:ascii="Simplified Arabic" w:hAnsi="Simplified Arabic" w:cs="Simplified Arabic"/>
          <w:sz w:val="28"/>
          <w:szCs w:val="28"/>
          <w:rtl/>
          <w:lang w:bidi="ar-EG"/>
        </w:rPr>
        <w:t>) كما بلغت (</w:t>
      </w:r>
      <w:r w:rsidRPr="006043FE">
        <w:rPr>
          <w:rFonts w:ascii="Simplified Arabic" w:hAnsi="Simplified Arabic" w:cs="Simplified Arabic"/>
          <w:sz w:val="28"/>
          <w:szCs w:val="28"/>
          <w:lang w:bidi="ar-EG"/>
        </w:rPr>
        <w:t>Adjusted R2</w:t>
      </w:r>
      <w:r w:rsidRPr="006043FE">
        <w:rPr>
          <w:rFonts w:ascii="Simplified Arabic" w:hAnsi="Simplified Arabic" w:cs="Simplified Arabic"/>
          <w:sz w:val="28"/>
          <w:szCs w:val="28"/>
          <w:rtl/>
          <w:lang w:bidi="ar-EG"/>
        </w:rPr>
        <w:t>) نسبة (</w:t>
      </w:r>
      <w:r w:rsidRPr="006043FE">
        <w:rPr>
          <w:rFonts w:ascii="Simplified Arabic" w:hAnsi="Simplified Arabic" w:cs="Simplified Arabic"/>
          <w:sz w:val="28"/>
          <w:szCs w:val="28"/>
          <w:lang w:bidi="ar-EG"/>
        </w:rPr>
        <w:t>0.99</w:t>
      </w:r>
      <w:r w:rsidRPr="006043FE">
        <w:rPr>
          <w:rFonts w:ascii="Simplified Arabic" w:hAnsi="Simplified Arabic" w:cs="Simplified Arabic"/>
          <w:sz w:val="28"/>
          <w:szCs w:val="28"/>
          <w:rtl/>
          <w:lang w:bidi="ar-EG"/>
        </w:rPr>
        <w:t>) فضلا عن قيمة (</w:t>
      </w:r>
      <w:r w:rsidRPr="006043FE">
        <w:rPr>
          <w:rFonts w:ascii="Simplified Arabic" w:hAnsi="Simplified Arabic" w:cs="Simplified Arabic"/>
          <w:sz w:val="28"/>
          <w:szCs w:val="28"/>
          <w:lang w:bidi="ar-EG"/>
        </w:rPr>
        <w:t>F-statistic</w:t>
      </w:r>
      <w:r w:rsidRPr="006043FE">
        <w:rPr>
          <w:rFonts w:ascii="Simplified Arabic" w:hAnsi="Simplified Arabic" w:cs="Simplified Arabic"/>
          <w:sz w:val="28"/>
          <w:szCs w:val="28"/>
          <w:rtl/>
          <w:lang w:bidi="ar-EG"/>
        </w:rPr>
        <w:t>) والتي بلغت (</w:t>
      </w:r>
      <w:r w:rsidRPr="006043FE">
        <w:rPr>
          <w:rFonts w:ascii="Simplified Arabic" w:hAnsi="Simplified Arabic" w:cs="Simplified Arabic"/>
          <w:sz w:val="28"/>
          <w:szCs w:val="28"/>
          <w:lang w:bidi="ar-EG"/>
        </w:rPr>
        <w:t>1033.9</w:t>
      </w:r>
      <w:r w:rsidRPr="006043FE">
        <w:rPr>
          <w:rFonts w:ascii="Simplified Arabic" w:hAnsi="Simplified Arabic" w:cs="Simplified Arabic"/>
          <w:sz w:val="28"/>
          <w:szCs w:val="28"/>
          <w:rtl/>
          <w:lang w:bidi="ar-EG"/>
        </w:rPr>
        <w:t>) بمستوى معنوية (</w:t>
      </w:r>
      <w:r w:rsidRPr="006043FE">
        <w:rPr>
          <w:rFonts w:ascii="Simplified Arabic" w:hAnsi="Simplified Arabic" w:cs="Simplified Arabic"/>
          <w:sz w:val="28"/>
          <w:szCs w:val="28"/>
          <w:lang w:bidi="ar-EG"/>
        </w:rPr>
        <w:t>0.00</w:t>
      </w:r>
      <w:r w:rsidRPr="006043FE">
        <w:rPr>
          <w:rFonts w:ascii="Simplified Arabic" w:hAnsi="Simplified Arabic" w:cs="Simplified Arabic"/>
          <w:sz w:val="28"/>
          <w:szCs w:val="28"/>
          <w:rtl/>
          <w:lang w:bidi="ar-EG"/>
        </w:rPr>
        <w:t>).</w:t>
      </w:r>
    </w:p>
    <w:p w14:paraId="0E07D513" w14:textId="77777777" w:rsidR="002959BC" w:rsidRPr="006043FE" w:rsidRDefault="002959BC" w:rsidP="002959BC">
      <w:pPr>
        <w:spacing w:line="233" w:lineRule="auto"/>
        <w:ind w:firstLine="454"/>
        <w:jc w:val="both"/>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ولما كان الهدف من هذه الدراسة هو اختبار فرضية أن هناك تأثير معنوي للآليات المالية المستخدمة لتمويل عجز الموازنة العامة على التضخم في مصر خلال فترة الدراسة وصولاً للإجابة على التساؤل الخاص بما هي أفضل آلية يمكن استخدامها لتمويل عجز الموازنة ويكون لها أقل تأثير ممكن على التضخم، وتحقيقا لهذا الهدف فقد تناول هذا البحث اختبار صحة الفروض التالية:</w:t>
      </w:r>
    </w:p>
    <w:p w14:paraId="5D85F22C" w14:textId="77777777" w:rsidR="002959BC" w:rsidRPr="006043FE" w:rsidRDefault="002959BC" w:rsidP="002959BC">
      <w:pPr>
        <w:spacing w:line="233" w:lineRule="auto"/>
        <w:ind w:left="1871" w:hanging="1819"/>
        <w:jc w:val="both"/>
        <w:rPr>
          <w:rFonts w:ascii="Simplified Arabic" w:hAnsi="Simplified Arabic" w:cs="Simplified Arabic"/>
          <w:sz w:val="28"/>
          <w:szCs w:val="28"/>
          <w:rtl/>
          <w:lang w:bidi="ar-EG"/>
        </w:rPr>
      </w:pPr>
    </w:p>
    <w:p w14:paraId="76A86BA1" w14:textId="77777777" w:rsidR="002959BC" w:rsidRPr="006043FE" w:rsidRDefault="002959BC" w:rsidP="002959BC">
      <w:pPr>
        <w:spacing w:line="233" w:lineRule="auto"/>
        <w:ind w:left="1729" w:hanging="1701"/>
        <w:jc w:val="both"/>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فرض العدم</w:t>
      </w:r>
      <w:r w:rsidRPr="006043FE">
        <w:rPr>
          <w:rFonts w:ascii="Simplified Arabic" w:hAnsi="Simplified Arabic" w:cs="Simplified Arabic"/>
          <w:sz w:val="28"/>
          <w:szCs w:val="28"/>
          <w:lang w:bidi="ar-EG"/>
        </w:rPr>
        <w:t xml:space="preserve">H0 </w:t>
      </w:r>
      <w:r w:rsidRPr="006043FE">
        <w:rPr>
          <w:rFonts w:ascii="Simplified Arabic" w:hAnsi="Simplified Arabic" w:cs="Simplified Arabic"/>
          <w:sz w:val="28"/>
          <w:szCs w:val="28"/>
          <w:rtl/>
          <w:lang w:bidi="ar-EG"/>
        </w:rPr>
        <w:t>: لا يوجد تأثير معنوي للتمويل المحلي المصرفي لعجز الموازنة العامة على التضخم معبراً عنه بالرقم القياسي لأسعار المستهلكين في مصر.</w:t>
      </w:r>
    </w:p>
    <w:p w14:paraId="3636040A" w14:textId="77777777" w:rsidR="002959BC" w:rsidRPr="006043FE" w:rsidRDefault="002959BC" w:rsidP="002959BC">
      <w:pPr>
        <w:spacing w:line="233" w:lineRule="auto"/>
        <w:ind w:left="1729" w:hanging="1701"/>
        <w:jc w:val="both"/>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 xml:space="preserve">فرض البديل </w:t>
      </w:r>
      <w:r w:rsidRPr="006043FE">
        <w:rPr>
          <w:rFonts w:ascii="Simplified Arabic" w:hAnsi="Simplified Arabic" w:cs="Simplified Arabic"/>
          <w:sz w:val="28"/>
          <w:szCs w:val="28"/>
          <w:lang w:bidi="ar-EG"/>
        </w:rPr>
        <w:t>H1</w:t>
      </w:r>
      <w:r w:rsidRPr="006043FE">
        <w:rPr>
          <w:rFonts w:ascii="Simplified Arabic" w:hAnsi="Simplified Arabic" w:cs="Simplified Arabic"/>
          <w:sz w:val="28"/>
          <w:szCs w:val="28"/>
          <w:rtl/>
          <w:lang w:bidi="ar-EG"/>
        </w:rPr>
        <w:t>: يوجد تأثير معنوي للتمويل المحلي المصرفي لعجز الموازنة العامة على التضخم معبراً عنه بالرقم القياسي لأسعار المستهلكين في مصر.</w:t>
      </w:r>
    </w:p>
    <w:p w14:paraId="5145B38C" w14:textId="77777777" w:rsidR="002959BC" w:rsidRPr="0023379C" w:rsidRDefault="002959BC" w:rsidP="002959BC">
      <w:pPr>
        <w:spacing w:line="233" w:lineRule="auto"/>
        <w:ind w:left="1729" w:hanging="1701"/>
        <w:jc w:val="both"/>
        <w:rPr>
          <w:rFonts w:ascii="Simplified Arabic" w:hAnsi="Simplified Arabic" w:cs="Simplified Arabic"/>
          <w:rtl/>
          <w:lang w:bidi="ar-EG"/>
        </w:rPr>
      </w:pPr>
    </w:p>
    <w:p w14:paraId="7A05D95F" w14:textId="77777777" w:rsidR="002959BC" w:rsidRPr="006043FE" w:rsidRDefault="002959BC" w:rsidP="002959BC">
      <w:pPr>
        <w:spacing w:line="233" w:lineRule="auto"/>
        <w:ind w:left="1729" w:hanging="1701"/>
        <w:jc w:val="both"/>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فرض العدم</w:t>
      </w:r>
      <w:r w:rsidRPr="006043FE">
        <w:rPr>
          <w:rFonts w:ascii="Simplified Arabic" w:hAnsi="Simplified Arabic" w:cs="Simplified Arabic"/>
          <w:sz w:val="28"/>
          <w:szCs w:val="28"/>
          <w:lang w:bidi="ar-EG"/>
        </w:rPr>
        <w:t xml:space="preserve">H0 </w:t>
      </w:r>
      <w:r w:rsidRPr="006043FE">
        <w:rPr>
          <w:rFonts w:ascii="Simplified Arabic" w:hAnsi="Simplified Arabic" w:cs="Simplified Arabic"/>
          <w:sz w:val="28"/>
          <w:szCs w:val="28"/>
          <w:rtl/>
          <w:lang w:bidi="ar-EG"/>
        </w:rPr>
        <w:t>: لا يوجد تأثير معنوي للتمويل المحلي غير المصرفي لعجز الموازنة العامة على التضخم معبراً عنه بالرقم القياسي لأسعار المستهلكين في مصر.</w:t>
      </w:r>
    </w:p>
    <w:p w14:paraId="4D7117B5" w14:textId="77777777" w:rsidR="002959BC" w:rsidRPr="006043FE" w:rsidRDefault="002959BC" w:rsidP="002959BC">
      <w:pPr>
        <w:spacing w:line="233" w:lineRule="auto"/>
        <w:ind w:left="1729" w:hanging="1701"/>
        <w:jc w:val="both"/>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 xml:space="preserve">فرض البديل </w:t>
      </w:r>
      <w:r w:rsidRPr="006043FE">
        <w:rPr>
          <w:rFonts w:ascii="Simplified Arabic" w:hAnsi="Simplified Arabic" w:cs="Simplified Arabic"/>
          <w:sz w:val="28"/>
          <w:szCs w:val="28"/>
          <w:lang w:bidi="ar-EG"/>
        </w:rPr>
        <w:t>H1</w:t>
      </w:r>
      <w:r w:rsidRPr="006043FE">
        <w:rPr>
          <w:rFonts w:ascii="Simplified Arabic" w:hAnsi="Simplified Arabic" w:cs="Simplified Arabic"/>
          <w:sz w:val="28"/>
          <w:szCs w:val="28"/>
          <w:rtl/>
          <w:lang w:bidi="ar-EG"/>
        </w:rPr>
        <w:t>: يوجد تأثير معنوي للتمويل المحلي غير المصرفي لعجز الموازنة العامة على التضخم معبراً عنه بالرقم القياسي لأسعار المستهلكين في مصر.</w:t>
      </w:r>
    </w:p>
    <w:p w14:paraId="06A760E3" w14:textId="77777777" w:rsidR="002959BC" w:rsidRPr="0023379C" w:rsidRDefault="002959BC" w:rsidP="002959BC">
      <w:pPr>
        <w:spacing w:line="233" w:lineRule="auto"/>
        <w:ind w:left="1729" w:hanging="1701"/>
        <w:jc w:val="both"/>
        <w:rPr>
          <w:rFonts w:ascii="Simplified Arabic" w:hAnsi="Simplified Arabic" w:cs="Simplified Arabic"/>
          <w:rtl/>
          <w:lang w:bidi="ar-EG"/>
        </w:rPr>
      </w:pPr>
    </w:p>
    <w:p w14:paraId="5E3C87AE" w14:textId="77777777" w:rsidR="002959BC" w:rsidRPr="006043FE" w:rsidRDefault="002959BC" w:rsidP="002959BC">
      <w:pPr>
        <w:spacing w:line="233" w:lineRule="auto"/>
        <w:ind w:left="1729" w:hanging="1701"/>
        <w:jc w:val="both"/>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فرض العدم</w:t>
      </w:r>
      <w:r w:rsidRPr="006043FE">
        <w:rPr>
          <w:rFonts w:ascii="Simplified Arabic" w:hAnsi="Simplified Arabic" w:cs="Simplified Arabic"/>
          <w:sz w:val="28"/>
          <w:szCs w:val="28"/>
          <w:lang w:bidi="ar-EG"/>
        </w:rPr>
        <w:t xml:space="preserve">H0 </w:t>
      </w:r>
      <w:r w:rsidRPr="006043FE">
        <w:rPr>
          <w:rFonts w:ascii="Simplified Arabic" w:hAnsi="Simplified Arabic" w:cs="Simplified Arabic"/>
          <w:sz w:val="28"/>
          <w:szCs w:val="28"/>
          <w:rtl/>
          <w:lang w:bidi="ar-EG"/>
        </w:rPr>
        <w:t>: لا يوجد تأثير معنوي للتمويل الخارجي لعجز الموازنة العامة على التضخم معبراً عنه بالرقم القياسي لأسعار المستهلكين في مصر.</w:t>
      </w:r>
    </w:p>
    <w:p w14:paraId="532E0649" w14:textId="77777777" w:rsidR="002959BC" w:rsidRPr="006043FE" w:rsidRDefault="002959BC" w:rsidP="002959BC">
      <w:pPr>
        <w:spacing w:line="233" w:lineRule="auto"/>
        <w:ind w:left="1729" w:hanging="1701"/>
        <w:jc w:val="both"/>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lastRenderedPageBreak/>
        <w:t xml:space="preserve">فرض البديل </w:t>
      </w:r>
      <w:r w:rsidRPr="006043FE">
        <w:rPr>
          <w:rFonts w:ascii="Simplified Arabic" w:hAnsi="Simplified Arabic" w:cs="Simplified Arabic"/>
          <w:sz w:val="28"/>
          <w:szCs w:val="28"/>
          <w:lang w:bidi="ar-EG"/>
        </w:rPr>
        <w:t>H1</w:t>
      </w:r>
      <w:r w:rsidRPr="006043FE">
        <w:rPr>
          <w:rFonts w:ascii="Simplified Arabic" w:hAnsi="Simplified Arabic" w:cs="Simplified Arabic"/>
          <w:sz w:val="28"/>
          <w:szCs w:val="28"/>
          <w:rtl/>
          <w:lang w:bidi="ar-EG"/>
        </w:rPr>
        <w:t>: يوجد تأثير معنوي للتمويل الخارجي لعجز الموازنة العامة على التضخم معبراً عنه بالرقم القياسي لأسعار المستهلكين في مصر.</w:t>
      </w:r>
    </w:p>
    <w:p w14:paraId="27B403D3" w14:textId="77777777" w:rsidR="002959BC" w:rsidRPr="006043FE" w:rsidRDefault="002959BC" w:rsidP="002959BC">
      <w:pPr>
        <w:spacing w:line="233" w:lineRule="auto"/>
        <w:ind w:left="1871" w:hanging="1819"/>
        <w:jc w:val="both"/>
        <w:rPr>
          <w:rFonts w:ascii="Simplified Arabic" w:hAnsi="Simplified Arabic" w:cs="Simplified Arabic"/>
          <w:sz w:val="28"/>
          <w:szCs w:val="28"/>
          <w:rtl/>
          <w:lang w:bidi="ar-EG"/>
        </w:rPr>
      </w:pPr>
    </w:p>
    <w:p w14:paraId="40037F4F" w14:textId="77777777" w:rsidR="002959BC" w:rsidRPr="006043FE" w:rsidRDefault="002959BC" w:rsidP="002959BC">
      <w:pPr>
        <w:spacing w:line="233" w:lineRule="auto"/>
        <w:ind w:firstLine="454"/>
        <w:jc w:val="both"/>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وقد تم اختبار هذه الفروض، حيث كان هناك آثر لبعض آليات تمويل عجز الموازنة على التضخم معبراً عنه بالرقم القياسي لأسعار المستهلكين في مصر خلال فترة الدراسة، وتمثلت نتائج الدراسة القياسية في الآتي:</w:t>
      </w:r>
    </w:p>
    <w:p w14:paraId="6137C261" w14:textId="77777777" w:rsidR="002959BC" w:rsidRPr="006043FE" w:rsidRDefault="002959BC" w:rsidP="0041332D">
      <w:pPr>
        <w:pStyle w:val="ListParagraph"/>
        <w:numPr>
          <w:ilvl w:val="0"/>
          <w:numId w:val="39"/>
        </w:numPr>
        <w:spacing w:after="0" w:line="233" w:lineRule="auto"/>
        <w:ind w:left="425"/>
        <w:contextualSpacing w:val="0"/>
        <w:jc w:val="both"/>
        <w:rPr>
          <w:rFonts w:ascii="Simplified Arabic" w:hAnsi="Simplified Arabic" w:cs="Simplified Arabic"/>
          <w:sz w:val="28"/>
          <w:szCs w:val="28"/>
        </w:rPr>
      </w:pPr>
      <w:r w:rsidRPr="006043FE">
        <w:rPr>
          <w:rFonts w:ascii="Simplified Arabic" w:hAnsi="Simplified Arabic" w:cs="Simplified Arabic"/>
          <w:sz w:val="28"/>
          <w:szCs w:val="28"/>
          <w:rtl/>
        </w:rPr>
        <w:t>هناك علاقة طردية معنوية</w:t>
      </w:r>
      <w:r w:rsidRPr="006043FE">
        <w:rPr>
          <w:rFonts w:ascii="Simplified Arabic" w:hAnsi="Simplified Arabic" w:cs="Simplified Arabic"/>
          <w:sz w:val="28"/>
          <w:szCs w:val="28"/>
          <w:rtl/>
          <w:lang w:bidi="ar-EG"/>
        </w:rPr>
        <w:t xml:space="preserve"> بين التمويل المحلي المصرفي لعجز الموازنة العامة للدولة والتضخم معبراً عنه بالرقم القياسي لأسعار المستهلكين في مصر خلال فترة الدراسة، مما يعني أن استخدام التمويل المحلي المصرفي لعجز الموازنة العامة للدولة يزيد من الضغوط التضخمية في الاقتصاد المصري.</w:t>
      </w:r>
    </w:p>
    <w:p w14:paraId="3328E46C" w14:textId="77777777" w:rsidR="002959BC" w:rsidRDefault="002959BC" w:rsidP="002959BC">
      <w:pPr>
        <w:pStyle w:val="ListParagraph"/>
        <w:spacing w:after="0" w:line="233" w:lineRule="auto"/>
        <w:ind w:left="425"/>
        <w:contextualSpacing w:val="0"/>
        <w:jc w:val="both"/>
        <w:rPr>
          <w:rFonts w:ascii="Simplified Arabic" w:hAnsi="Simplified Arabic" w:cs="Simplified Arabic"/>
          <w:sz w:val="28"/>
          <w:szCs w:val="28"/>
          <w:rtl/>
        </w:rPr>
      </w:pPr>
      <w:r w:rsidRPr="006043FE">
        <w:rPr>
          <w:rFonts w:ascii="Simplified Arabic" w:hAnsi="Simplified Arabic" w:cs="Simplified Arabic"/>
          <w:sz w:val="28"/>
          <w:szCs w:val="28"/>
          <w:rtl/>
          <w:lang w:bidi="ar-EG"/>
        </w:rPr>
        <w:t>وهو ما يتفق مع النظرية الاقتصادية والتي تعزي جزء كبير من الضغوط التضخمية إلى قيام البنك المركزي بزيادة العرض النقدي لتغطية احتياجات الحكومة لتمويل عجز الموازنة العامة، كما تتفق هذه النتيجة أيضاً مع ما تم من تحليل للعلاقة بين بيانات التضخم والتمويل المحلي المصرفي والذي تم إيضاحه بالفصل الثاني من هذ البحث.</w:t>
      </w:r>
    </w:p>
    <w:p w14:paraId="42CFCD44" w14:textId="77777777" w:rsidR="002959BC" w:rsidRPr="006043FE" w:rsidRDefault="002959BC" w:rsidP="0041332D">
      <w:pPr>
        <w:pStyle w:val="ListParagraph"/>
        <w:numPr>
          <w:ilvl w:val="0"/>
          <w:numId w:val="39"/>
        </w:numPr>
        <w:spacing w:after="0" w:line="240" w:lineRule="auto"/>
        <w:ind w:left="425"/>
        <w:contextualSpacing w:val="0"/>
        <w:jc w:val="both"/>
        <w:rPr>
          <w:rFonts w:ascii="Simplified Arabic" w:hAnsi="Simplified Arabic" w:cs="Simplified Arabic"/>
          <w:sz w:val="28"/>
          <w:szCs w:val="28"/>
        </w:rPr>
      </w:pPr>
      <w:r w:rsidRPr="006043FE">
        <w:rPr>
          <w:rFonts w:ascii="Simplified Arabic" w:hAnsi="Simplified Arabic" w:cs="Simplified Arabic"/>
          <w:sz w:val="28"/>
          <w:szCs w:val="28"/>
          <w:rtl/>
        </w:rPr>
        <w:t>هناك علاقة عكسية معنوية بين ا</w:t>
      </w:r>
      <w:r w:rsidRPr="006043FE">
        <w:rPr>
          <w:rFonts w:ascii="Simplified Arabic" w:hAnsi="Simplified Arabic" w:cs="Simplified Arabic"/>
          <w:sz w:val="28"/>
          <w:szCs w:val="28"/>
          <w:rtl/>
          <w:lang w:bidi="ar-EG"/>
        </w:rPr>
        <w:t>لتمويل المحلي غير المصرفي لعجز الموازنة العامة للدولة والتضخم معبراً عنه بالرقم القياسي لأسعار المستهلكين في مصر خلال فترة الدراسة، مما يعني أنه يمكن استخدام التمويل المحلي غير المصرفي لعجز الموازنة العامة للدولة للمساهمة في تخفيض الضغوط التضخمية في الاقتصاد المصري.</w:t>
      </w:r>
    </w:p>
    <w:p w14:paraId="39026EDD" w14:textId="77777777" w:rsidR="002959BC" w:rsidRDefault="002959BC" w:rsidP="002959BC">
      <w:pPr>
        <w:pStyle w:val="ListParagraph"/>
        <w:spacing w:after="0" w:line="240" w:lineRule="auto"/>
        <w:ind w:left="425"/>
        <w:contextualSpacing w:val="0"/>
        <w:jc w:val="both"/>
        <w:rPr>
          <w:rFonts w:ascii="Simplified Arabic" w:hAnsi="Simplified Arabic" w:cs="Simplified Arabic"/>
          <w:sz w:val="28"/>
          <w:szCs w:val="28"/>
          <w:rtl/>
          <w:lang w:bidi="ar-EG"/>
        </w:rPr>
      </w:pPr>
      <w:r w:rsidRPr="006043FE">
        <w:rPr>
          <w:rFonts w:ascii="Simplified Arabic" w:hAnsi="Simplified Arabic" w:cs="Simplified Arabic"/>
          <w:sz w:val="28"/>
          <w:szCs w:val="28"/>
          <w:rtl/>
          <w:lang w:bidi="ar-EG"/>
        </w:rPr>
        <w:t>وهو ما يتفق أيضاً مع النظرية الاقتصادية والتي ترى أن استخدام الفوائض المالية لدى القطاع غير المصرفي يعد وسيلة فعالة لتمويل عجز الموازنة دون حدوث موجات تضخمية، ولهذا فإن هذه الآلية التمويلية تستخدم بطريقة واسعة النطاق في الاقتصاديات الرأسمالية ذات الأسواق المالية المتطورة والتي تتمكن من خلالها من توفير الأموال اللازمة لتمويل عجز الموازنة وبأسعار فائدة منخفضة وهي وسيلة لا تستخدمها الدول النامية بالمستوى المطلوب نظراً لمحدودية أسواق المال والقصور في الأوراق المالية المطروحة بها، وكذا نظراً لعدم تمتع بعض حكومات الدول النامية بالثقة الكافية من قبل المتعاملين الأفراد لإقراض حكومات تلك الدول. وفي هذا الإطار فإنه يمكن استحداث وسائل تمويلية تكون ذات جذب للمواطنين للمشاركة في عملية تمويل التنمية في بلدانهم وتكون ذات عائد مالي، بالإضافة إلى أهمية أخذ آراء المواطنين بعين الاعتبار عند تحديد المشروعات التنموية التي تنفذها الدولة وشرح مردود تلك المشروعات على المجتمع وعلى المساهمين فيها.</w:t>
      </w:r>
    </w:p>
    <w:p w14:paraId="2D63E0DD" w14:textId="77777777" w:rsidR="002959BC" w:rsidRPr="006043FE" w:rsidRDefault="002959BC" w:rsidP="002959BC">
      <w:pPr>
        <w:pStyle w:val="ListParagraph"/>
        <w:spacing w:after="0" w:line="240" w:lineRule="auto"/>
        <w:ind w:left="425"/>
        <w:contextualSpacing w:val="0"/>
        <w:jc w:val="both"/>
        <w:rPr>
          <w:rFonts w:ascii="Simplified Arabic" w:hAnsi="Simplified Arabic" w:cs="Simplified Arabic"/>
          <w:sz w:val="28"/>
          <w:szCs w:val="28"/>
          <w:lang w:bidi="ar-EG"/>
        </w:rPr>
      </w:pPr>
    </w:p>
    <w:p w14:paraId="6BB64A2F" w14:textId="77777777" w:rsidR="002959BC" w:rsidRDefault="002959BC" w:rsidP="0041332D">
      <w:pPr>
        <w:pStyle w:val="ListParagraph"/>
        <w:numPr>
          <w:ilvl w:val="0"/>
          <w:numId w:val="39"/>
        </w:numPr>
        <w:spacing w:after="0" w:line="240" w:lineRule="auto"/>
        <w:ind w:left="425"/>
        <w:contextualSpacing w:val="0"/>
        <w:jc w:val="both"/>
        <w:rPr>
          <w:rFonts w:ascii="Simplified Arabic" w:hAnsi="Simplified Arabic" w:cs="Simplified Arabic"/>
          <w:sz w:val="28"/>
          <w:szCs w:val="28"/>
        </w:rPr>
      </w:pPr>
      <w:r w:rsidRPr="006043FE">
        <w:rPr>
          <w:rFonts w:ascii="Simplified Arabic" w:hAnsi="Simplified Arabic" w:cs="Simplified Arabic"/>
          <w:sz w:val="28"/>
          <w:szCs w:val="28"/>
          <w:rtl/>
        </w:rPr>
        <w:t xml:space="preserve">لم يثبت وجود تأثير معنوي </w:t>
      </w:r>
      <w:r w:rsidRPr="006043FE">
        <w:rPr>
          <w:rFonts w:ascii="Simplified Arabic" w:hAnsi="Simplified Arabic" w:cs="Simplified Arabic"/>
          <w:sz w:val="28"/>
          <w:szCs w:val="28"/>
          <w:rtl/>
          <w:lang w:bidi="ar-EG"/>
        </w:rPr>
        <w:t>للتمويل الخارجي لعجز الموازنة العامة للدولة على زيادة التضخم معبراً عنه بالرقم القياسي لأسعار المستهلكين في مصر خلال فترة الدراسة.</w:t>
      </w:r>
    </w:p>
    <w:p w14:paraId="4B48ED5A" w14:textId="77777777" w:rsidR="002959BC" w:rsidRPr="006043FE" w:rsidRDefault="002959BC" w:rsidP="002959BC">
      <w:pPr>
        <w:pStyle w:val="ListParagraph"/>
        <w:spacing w:after="0" w:line="240" w:lineRule="auto"/>
        <w:ind w:left="425"/>
        <w:contextualSpacing w:val="0"/>
        <w:jc w:val="both"/>
        <w:rPr>
          <w:rFonts w:ascii="Simplified Arabic" w:hAnsi="Simplified Arabic" w:cs="Simplified Arabic"/>
          <w:sz w:val="28"/>
          <w:szCs w:val="28"/>
        </w:rPr>
      </w:pPr>
    </w:p>
    <w:p w14:paraId="47C66E56" w14:textId="77777777" w:rsidR="002959BC" w:rsidRDefault="002959BC" w:rsidP="0041332D">
      <w:pPr>
        <w:pStyle w:val="ListParagraph"/>
        <w:numPr>
          <w:ilvl w:val="0"/>
          <w:numId w:val="39"/>
        </w:numPr>
        <w:spacing w:after="0" w:line="240" w:lineRule="auto"/>
        <w:ind w:left="425"/>
        <w:contextualSpacing w:val="0"/>
        <w:jc w:val="both"/>
        <w:rPr>
          <w:rFonts w:ascii="Simplified Arabic" w:hAnsi="Simplified Arabic" w:cs="Simplified Arabic"/>
          <w:sz w:val="28"/>
          <w:szCs w:val="28"/>
        </w:rPr>
      </w:pPr>
      <w:r w:rsidRPr="006043FE">
        <w:rPr>
          <w:rFonts w:ascii="Simplified Arabic" w:hAnsi="Simplified Arabic" w:cs="Simplified Arabic"/>
          <w:sz w:val="28"/>
          <w:szCs w:val="28"/>
          <w:rtl/>
          <w:lang w:bidi="ar-EG"/>
        </w:rPr>
        <w:lastRenderedPageBreak/>
        <w:t>هناك علاقة طردية معنوية بين أسعار الواردات بالأسعار المحلية الثابتة والتضخم معبراً عنه بالرقم القياسي لأسعار المستهلكين ، كما أن هناك علاقة طردية معنوية بين المعروض النقدي نسبة إلى الناتج المحلي الإجمالي والتضخم معبراً عنه بالرقم القياسي لأسعار المستهلكين.</w:t>
      </w:r>
    </w:p>
    <w:p w14:paraId="2283AE83" w14:textId="77777777" w:rsidR="002959BC" w:rsidRPr="0023379C" w:rsidRDefault="002959BC" w:rsidP="002959BC">
      <w:pPr>
        <w:pStyle w:val="ListParagraph"/>
        <w:rPr>
          <w:rFonts w:ascii="Simplified Arabic" w:hAnsi="Simplified Arabic" w:cs="Simplified Arabic"/>
          <w:sz w:val="28"/>
          <w:szCs w:val="28"/>
          <w:rtl/>
        </w:rPr>
      </w:pPr>
    </w:p>
    <w:p w14:paraId="30CAA631" w14:textId="77777777" w:rsidR="002959BC" w:rsidRPr="006043FE" w:rsidRDefault="002959BC" w:rsidP="0041332D">
      <w:pPr>
        <w:pStyle w:val="ListParagraph"/>
        <w:numPr>
          <w:ilvl w:val="0"/>
          <w:numId w:val="39"/>
        </w:numPr>
        <w:spacing w:after="0" w:line="240" w:lineRule="auto"/>
        <w:ind w:left="425"/>
        <w:contextualSpacing w:val="0"/>
        <w:jc w:val="both"/>
        <w:rPr>
          <w:rFonts w:ascii="Simplified Arabic" w:hAnsi="Simplified Arabic" w:cs="Simplified Arabic"/>
          <w:sz w:val="28"/>
          <w:szCs w:val="28"/>
          <w:rtl/>
        </w:rPr>
      </w:pPr>
      <w:r w:rsidRPr="006043FE">
        <w:rPr>
          <w:rFonts w:ascii="Simplified Arabic" w:hAnsi="Simplified Arabic" w:cs="Simplified Arabic"/>
          <w:sz w:val="28"/>
          <w:szCs w:val="28"/>
          <w:rtl/>
          <w:lang w:bidi="ar-EG"/>
        </w:rPr>
        <w:t>هناك علاقة عكسية معنوية بين سعر الصرف والتضخم معبراً عنه بالرقم القياسي لأسعار المستهلكين في مصر خلال فترة الدراسة.</w:t>
      </w:r>
    </w:p>
    <w:p w14:paraId="6D26E8BF" w14:textId="0E454F55" w:rsidR="002959BC" w:rsidRDefault="002959BC">
      <w:pPr>
        <w:bidi w:val="0"/>
        <w:spacing w:after="160" w:line="259" w:lineRule="auto"/>
        <w:rPr>
          <w:rtl/>
        </w:rPr>
      </w:pPr>
      <w:r>
        <w:rPr>
          <w:rtl/>
        </w:rPr>
        <w:br w:type="page"/>
      </w:r>
    </w:p>
    <w:p w14:paraId="7F9662F0" w14:textId="77777777" w:rsidR="002959BC" w:rsidRPr="008D5B1D" w:rsidRDefault="002959BC" w:rsidP="002959BC">
      <w:pPr>
        <w:jc w:val="both"/>
        <w:rPr>
          <w:rFonts w:ascii="Simplified Arabic" w:hAnsi="Simplified Arabic" w:cs="Simplified Arabic"/>
          <w:sz w:val="28"/>
          <w:szCs w:val="28"/>
          <w:rtl/>
        </w:rPr>
      </w:pPr>
      <w:r w:rsidRPr="008D5B1D">
        <w:rPr>
          <w:rFonts w:ascii="Simplified Arabic" w:hAnsi="Simplified Arabic" w:cs="Simplified Arabic"/>
          <w:color w:val="FF0000"/>
          <w:sz w:val="28"/>
          <w:szCs w:val="28"/>
          <w:rtl/>
        </w:rPr>
        <w:lastRenderedPageBreak/>
        <mc:AlternateContent>
          <mc:Choice Requires="wps">
            <w:drawing>
              <wp:anchor distT="0" distB="0" distL="114300" distR="114300" simplePos="0" relativeHeight="251721728" behindDoc="0" locked="0" layoutInCell="1" allowOverlap="1" wp14:anchorId="53D5BAB0" wp14:editId="4967D3F2">
                <wp:simplePos x="0" y="0"/>
                <wp:positionH relativeFrom="margin">
                  <wp:align>center</wp:align>
                </wp:positionH>
                <wp:positionV relativeFrom="margin">
                  <wp:align>center</wp:align>
                </wp:positionV>
                <wp:extent cx="5370830" cy="651353"/>
                <wp:effectExtent l="0" t="0" r="39370" b="53975"/>
                <wp:wrapNone/>
                <wp:docPr id="150"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0830" cy="651353"/>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4059AE48" w14:textId="77777777" w:rsidR="00270E6A" w:rsidRPr="00AB05C6" w:rsidRDefault="00270E6A" w:rsidP="002959BC">
                            <w:pPr>
                              <w:jc w:val="center"/>
                              <w:rPr>
                                <w:rFonts w:ascii="Simplified Arabic" w:hAnsi="Simplified Arabic" w:cs="Simplified Arabic"/>
                                <w:b/>
                                <w:bCs/>
                                <w:color w:val="222A35" w:themeColor="text2" w:themeShade="80"/>
                                <w:sz w:val="32"/>
                                <w:szCs w:val="32"/>
                                <w:lang w:bidi="ar-EG"/>
                              </w:rPr>
                            </w:pPr>
                            <w:r w:rsidRPr="00AB05C6">
                              <w:rPr>
                                <w:rFonts w:ascii="Simplified Arabic" w:hAnsi="Simplified Arabic" w:cs="Simplified Arabic"/>
                                <w:b/>
                                <w:bCs/>
                                <w:color w:val="222A35" w:themeColor="text2" w:themeShade="80"/>
                                <w:sz w:val="32"/>
                                <w:szCs w:val="32"/>
                                <w:rtl/>
                                <w:lang w:bidi="ar-EG"/>
                              </w:rPr>
                              <w:t xml:space="preserve">أهم النتائج والتوصيات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D5BAB0" id="_x0000_s1136" style="position:absolute;left:0;text-align:left;margin-left:0;margin-top:0;width:422.9pt;height:51.3pt;z-index:251721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" fillcolor="white [3201]" strokecolor="#c9c9c9 [1942]" strokeweight="1pt">
                <v:fill color2="#dbdbdb [1302]" focus="100%" type="gradient"/>
                <v:shadow on="t" color="#525252 [1606]" opacity=".5" offset="1pt"/>
                <v:textbox>
                  <w:txbxContent>
                    <w:p w14:paraId="4059AE48" w14:textId="77777777" w:rsidR="00270E6A" w:rsidRPr="00AB05C6" w:rsidRDefault="00270E6A" w:rsidP="002959BC">
                      <w:pPr>
                        <w:jc w:val="center"/>
                        <w:rPr>
                          <w:rFonts w:ascii="Simplified Arabic" w:hAnsi="Simplified Arabic" w:cs="Simplified Arabic"/>
                          <w:b/>
                          <w:bCs/>
                          <w:color w:val="222A35" w:themeColor="text2" w:themeShade="80"/>
                          <w:sz w:val="32"/>
                          <w:szCs w:val="32"/>
                          <w:lang w:bidi="ar-EG"/>
                        </w:rPr>
                      </w:pPr>
                      <w:r w:rsidRPr="00AB05C6">
                        <w:rPr>
                          <w:rFonts w:ascii="Simplified Arabic" w:hAnsi="Simplified Arabic" w:cs="Simplified Arabic"/>
                          <w:b/>
                          <w:bCs/>
                          <w:color w:val="222A35" w:themeColor="text2" w:themeShade="80"/>
                          <w:sz w:val="32"/>
                          <w:szCs w:val="32"/>
                          <w:rtl/>
                          <w:lang w:bidi="ar-EG"/>
                        </w:rPr>
                        <w:t xml:space="preserve">أهم النتائج والتوصيات  </w:t>
                      </w:r>
                    </w:p>
                  </w:txbxContent>
                </v:textbox>
                <w10:wrap anchorx="margin" anchory="margin"/>
              </v:roundrect>
            </w:pict>
          </mc:Fallback>
        </mc:AlternateContent>
      </w:r>
      <w:r w:rsidRPr="008D5B1D">
        <w:rPr>
          <w:rFonts w:ascii="Simplified Arabic" w:hAnsi="Simplified Arabic" w:cs="Simplified Arabic"/>
          <w:sz w:val="28"/>
          <w:szCs w:val="28"/>
          <w:rtl/>
        </w:rPr>
        <w:br w:type="page"/>
      </w:r>
    </w:p>
    <w:p w14:paraId="475E9AE8" w14:textId="77777777" w:rsidR="002959BC" w:rsidRDefault="002959BC" w:rsidP="002959BC">
      <w:pPr>
        <w:ind w:left="71"/>
        <w:jc w:val="both"/>
        <w:rPr>
          <w:rFonts w:ascii="Simplified Arabic" w:hAnsi="Simplified Arabic" w:cs="Simplified Arabic"/>
          <w:b/>
          <w:bCs/>
          <w:sz w:val="30"/>
          <w:szCs w:val="30"/>
          <w:rtl/>
        </w:rPr>
      </w:pPr>
      <w:r w:rsidRPr="008D5B1D">
        <w:rPr>
          <w:rFonts w:ascii="Simplified Arabic" w:hAnsi="Simplified Arabic" w:cs="Simplified Arabic"/>
          <w:b/>
          <w:bCs/>
          <w:sz w:val="30"/>
          <w:szCs w:val="30"/>
          <w:rtl/>
        </w:rPr>
        <w:lastRenderedPageBreak/>
        <w:t>تمثلت أهم النتائج التي تم التوصل إليها خلال هذه الدراسة في الآتي:</w:t>
      </w:r>
    </w:p>
    <w:p w14:paraId="13698ABA" w14:textId="77777777" w:rsidR="002959BC" w:rsidRPr="008D5B1D" w:rsidRDefault="002959BC" w:rsidP="002959BC">
      <w:pPr>
        <w:ind w:left="71"/>
        <w:jc w:val="both"/>
        <w:rPr>
          <w:rFonts w:ascii="Simplified Arabic" w:hAnsi="Simplified Arabic" w:cs="Simplified Arabic"/>
          <w:b/>
          <w:bCs/>
          <w:sz w:val="16"/>
          <w:szCs w:val="16"/>
          <w:rtl/>
        </w:rPr>
      </w:pPr>
    </w:p>
    <w:p w14:paraId="52FBD03F" w14:textId="77777777" w:rsidR="002959BC" w:rsidRPr="008D5B1D" w:rsidRDefault="002959BC" w:rsidP="0041332D">
      <w:pPr>
        <w:pStyle w:val="ListParagraph"/>
        <w:numPr>
          <w:ilvl w:val="0"/>
          <w:numId w:val="1"/>
        </w:numPr>
        <w:spacing w:after="0" w:line="240" w:lineRule="auto"/>
        <w:ind w:left="283" w:hanging="240"/>
        <w:contextualSpacing w:val="0"/>
        <w:jc w:val="both"/>
        <w:rPr>
          <w:rFonts w:ascii="Simplified Arabic" w:eastAsia="Times New Roman" w:hAnsi="Simplified Arabic" w:cs="Simplified Arabic"/>
          <w:sz w:val="28"/>
          <w:szCs w:val="28"/>
        </w:rPr>
      </w:pPr>
      <w:r w:rsidRPr="008D5B1D">
        <w:rPr>
          <w:rFonts w:ascii="Simplified Arabic" w:eastAsia="Times New Roman" w:hAnsi="Simplified Arabic" w:cs="Simplified Arabic"/>
          <w:sz w:val="28"/>
          <w:szCs w:val="28"/>
          <w:rtl/>
        </w:rPr>
        <w:t>يمثل عجز الموازنة العامة مشكلة كبيرة في الاقتصاد المصري نظراً لأنه عجز هيكلي ومزمن ومرتفع، لم تستطع السياسة المالية التخلص منه في أي من الأعوام المالية التي تناولتها الدراسة، وكان أفضل ما تحقق هو تخفيض ذلك العجز لنسب صغيرة وذلك لسنوات محدودة جداً أثناء الفترة محل الدراسة.</w:t>
      </w:r>
    </w:p>
    <w:p w14:paraId="2170D017" w14:textId="77777777" w:rsidR="002959BC" w:rsidRPr="008D5B1D" w:rsidRDefault="002959BC" w:rsidP="002959BC">
      <w:pPr>
        <w:pStyle w:val="ListParagraph"/>
        <w:spacing w:after="0" w:line="240" w:lineRule="auto"/>
        <w:ind w:left="448"/>
        <w:contextualSpacing w:val="0"/>
        <w:jc w:val="both"/>
        <w:rPr>
          <w:rFonts w:ascii="Simplified Arabic" w:eastAsia="Times New Roman" w:hAnsi="Simplified Arabic" w:cs="Simplified Arabic"/>
          <w:sz w:val="28"/>
          <w:szCs w:val="28"/>
        </w:rPr>
      </w:pPr>
    </w:p>
    <w:p w14:paraId="7FEBB59A" w14:textId="77777777" w:rsidR="002959BC" w:rsidRPr="008D5B1D" w:rsidRDefault="002959BC" w:rsidP="0041332D">
      <w:pPr>
        <w:pStyle w:val="ListParagraph"/>
        <w:numPr>
          <w:ilvl w:val="0"/>
          <w:numId w:val="1"/>
        </w:numPr>
        <w:spacing w:after="0" w:line="240" w:lineRule="auto"/>
        <w:ind w:left="283" w:hanging="240"/>
        <w:contextualSpacing w:val="0"/>
        <w:jc w:val="both"/>
        <w:rPr>
          <w:rFonts w:ascii="Simplified Arabic" w:eastAsia="Times New Roman" w:hAnsi="Simplified Arabic" w:cs="Simplified Arabic"/>
          <w:sz w:val="28"/>
          <w:szCs w:val="28"/>
        </w:rPr>
      </w:pPr>
      <w:r w:rsidRPr="008D5B1D">
        <w:rPr>
          <w:rFonts w:ascii="Simplified Arabic" w:eastAsia="Times New Roman" w:hAnsi="Simplified Arabic" w:cs="Simplified Arabic"/>
          <w:sz w:val="28"/>
          <w:szCs w:val="28"/>
          <w:rtl/>
        </w:rPr>
        <w:t>يوجد ارتباط طردي قوي بين كل من الإيرادات العامة والمصروفات العامة خلال الفترة موضع الدراسة، حيث أنه في السنوات التي شهدت زيادة في المصروفات العامة كانت هناك زيادة – وإن كانت بدرجة أقل - في الإيرادات العامة، وأيضاً السنوات التي شهدت تشديد مالي وانخفاض المصروفات العامة شهدت انخفاض في الإيرادات العامة، وربما يفسر هذا بأهمية الإنفاق الحكومي في إنعاش النمو الاقتصادي وتحفيز القطاعات الأخرى على الإنتاج، وذلك كله ينعكس إيجابياً على زيادة إيرادات الحكومة من الضرائب وغيرها من الرسوم.</w:t>
      </w:r>
    </w:p>
    <w:p w14:paraId="10A2DE71" w14:textId="77777777" w:rsidR="002959BC" w:rsidRPr="008D5B1D" w:rsidRDefault="002959BC" w:rsidP="002959BC">
      <w:pPr>
        <w:pStyle w:val="ListParagraph"/>
        <w:spacing w:after="0" w:line="240" w:lineRule="auto"/>
        <w:contextualSpacing w:val="0"/>
        <w:jc w:val="both"/>
        <w:rPr>
          <w:rFonts w:ascii="Simplified Arabic" w:eastAsia="Times New Roman" w:hAnsi="Simplified Arabic" w:cs="Simplified Arabic"/>
          <w:sz w:val="28"/>
          <w:szCs w:val="28"/>
          <w:rtl/>
        </w:rPr>
      </w:pPr>
    </w:p>
    <w:p w14:paraId="533C5484" w14:textId="77777777" w:rsidR="002959BC" w:rsidRPr="008D5B1D" w:rsidRDefault="002959BC" w:rsidP="0041332D">
      <w:pPr>
        <w:pStyle w:val="ListParagraph"/>
        <w:numPr>
          <w:ilvl w:val="0"/>
          <w:numId w:val="1"/>
        </w:numPr>
        <w:spacing w:after="0" w:line="240" w:lineRule="auto"/>
        <w:ind w:left="283" w:hanging="240"/>
        <w:contextualSpacing w:val="0"/>
        <w:jc w:val="both"/>
        <w:rPr>
          <w:rFonts w:ascii="Simplified Arabic" w:eastAsia="Times New Roman" w:hAnsi="Simplified Arabic" w:cs="Simplified Arabic"/>
          <w:sz w:val="28"/>
          <w:szCs w:val="28"/>
        </w:rPr>
      </w:pPr>
      <w:r w:rsidRPr="008D5B1D">
        <w:rPr>
          <w:rFonts w:ascii="Simplified Arabic" w:eastAsia="Times New Roman" w:hAnsi="Simplified Arabic" w:cs="Simplified Arabic"/>
          <w:sz w:val="28"/>
          <w:szCs w:val="28"/>
          <w:rtl/>
        </w:rPr>
        <w:t>حساسية الاقتصاد المصري للصدمات الخارجية التي تؤثر على المالية العامة سواء كانت صدمات اقتصادية أو سياسية، وقد اتضح ذلك في انخفاض الإيرادات العامة نتيجة الصدمات الخارجية التي أثرت سلباً على أداء الاقتصاد المصري خلال فترة الدراسة، وذلك نظراً للمساهمة المرتفعة لمصادر الإيرادات التي تتأثر بشكل كبير بأوضاع القطاع الخارجي.</w:t>
      </w:r>
    </w:p>
    <w:p w14:paraId="4C832006" w14:textId="77777777" w:rsidR="002959BC" w:rsidRPr="008D5B1D" w:rsidRDefault="002959BC" w:rsidP="002959BC">
      <w:pPr>
        <w:pStyle w:val="ListParagraph"/>
        <w:spacing w:after="0" w:line="240" w:lineRule="auto"/>
        <w:contextualSpacing w:val="0"/>
        <w:jc w:val="both"/>
        <w:rPr>
          <w:rFonts w:ascii="Simplified Arabic" w:eastAsia="Times New Roman" w:hAnsi="Simplified Arabic" w:cs="Simplified Arabic"/>
          <w:sz w:val="28"/>
          <w:szCs w:val="28"/>
          <w:rtl/>
        </w:rPr>
      </w:pPr>
    </w:p>
    <w:p w14:paraId="5D705860" w14:textId="77777777" w:rsidR="002959BC" w:rsidRDefault="002959BC" w:rsidP="0041332D">
      <w:pPr>
        <w:pStyle w:val="ListParagraph"/>
        <w:numPr>
          <w:ilvl w:val="0"/>
          <w:numId w:val="1"/>
        </w:numPr>
        <w:spacing w:after="0" w:line="240" w:lineRule="auto"/>
        <w:ind w:left="283" w:hanging="240"/>
        <w:contextualSpacing w:val="0"/>
        <w:jc w:val="both"/>
        <w:rPr>
          <w:rFonts w:ascii="Simplified Arabic" w:eastAsia="Times New Roman" w:hAnsi="Simplified Arabic" w:cs="Simplified Arabic"/>
          <w:sz w:val="28"/>
          <w:szCs w:val="28"/>
        </w:rPr>
      </w:pPr>
      <w:r w:rsidRPr="008D5B1D">
        <w:rPr>
          <w:rFonts w:ascii="Simplified Arabic" w:eastAsia="Times New Roman" w:hAnsi="Simplified Arabic" w:cs="Simplified Arabic"/>
          <w:sz w:val="28"/>
          <w:szCs w:val="28"/>
          <w:rtl/>
        </w:rPr>
        <w:t>ارتفاع عبء الدين العام بشكل كبير وخاصة الدين الخارجي خلال الفترة الأخيرة، وهو ما يمثل عبء إضافي على الموازنة العامة للدولة، حيث تستحوذ الفوائد على نسبة لا يستهان بها من إجمالي النفقات العامة، وما يستتبع ذلك من تضييق حيز التحرك لإدارة المالية العامة، ويضعف القدرة على تصحيح الهيكل الإنتاجي بتوجيه مزيد من الاستثمارات للقطاعات ذات العائد الاقتصادي المرتفع.</w:t>
      </w:r>
    </w:p>
    <w:p w14:paraId="39FB3EAE" w14:textId="77777777" w:rsidR="002959BC" w:rsidRPr="008D5B1D" w:rsidRDefault="002959BC" w:rsidP="002959BC">
      <w:pPr>
        <w:pStyle w:val="ListParagraph"/>
        <w:rPr>
          <w:rFonts w:ascii="Simplified Arabic" w:eastAsia="Times New Roman" w:hAnsi="Simplified Arabic" w:cs="Simplified Arabic"/>
          <w:sz w:val="28"/>
          <w:szCs w:val="28"/>
          <w:rtl/>
        </w:rPr>
      </w:pPr>
    </w:p>
    <w:p w14:paraId="76A070F3" w14:textId="77777777" w:rsidR="002959BC" w:rsidRPr="008D5B1D" w:rsidRDefault="002959BC" w:rsidP="0041332D">
      <w:pPr>
        <w:pStyle w:val="ListParagraph"/>
        <w:numPr>
          <w:ilvl w:val="0"/>
          <w:numId w:val="1"/>
        </w:numPr>
        <w:spacing w:after="0" w:line="240" w:lineRule="auto"/>
        <w:ind w:left="283" w:hanging="240"/>
        <w:contextualSpacing w:val="0"/>
        <w:jc w:val="both"/>
        <w:rPr>
          <w:rFonts w:ascii="Simplified Arabic" w:eastAsia="Times New Roman" w:hAnsi="Simplified Arabic" w:cs="Simplified Arabic"/>
          <w:sz w:val="28"/>
          <w:szCs w:val="28"/>
        </w:rPr>
      </w:pPr>
      <w:r w:rsidRPr="008D5B1D">
        <w:rPr>
          <w:rFonts w:ascii="Simplified Arabic" w:eastAsia="Times New Roman" w:hAnsi="Simplified Arabic" w:cs="Simplified Arabic"/>
          <w:sz w:val="28"/>
          <w:szCs w:val="28"/>
          <w:rtl/>
        </w:rPr>
        <w:t xml:space="preserve">اقتران عجز الموازنة العامة بمشكلة ارتفاع الدين العام يؤدي إلى مشاكل اقتصادية أخرى وفي القلب منها ارتفاع معدلات التضخم والذي يكون له آثار سلبية شديدة على مجمل متغيرات الاقتصاد القومي. </w:t>
      </w:r>
    </w:p>
    <w:p w14:paraId="041A0F05" w14:textId="77777777" w:rsidR="002959BC" w:rsidRPr="008D5B1D" w:rsidRDefault="002959BC" w:rsidP="002959BC">
      <w:pPr>
        <w:pStyle w:val="ListParagraph"/>
        <w:spacing w:after="0" w:line="240" w:lineRule="auto"/>
        <w:ind w:left="448"/>
        <w:contextualSpacing w:val="0"/>
        <w:jc w:val="both"/>
        <w:rPr>
          <w:rFonts w:ascii="Simplified Arabic" w:eastAsia="Times New Roman" w:hAnsi="Simplified Arabic" w:cs="Simplified Arabic"/>
          <w:sz w:val="28"/>
          <w:szCs w:val="28"/>
          <w:lang w:bidi="ar-EG"/>
        </w:rPr>
      </w:pPr>
    </w:p>
    <w:p w14:paraId="76BEE64A" w14:textId="77777777" w:rsidR="002959BC" w:rsidRPr="008D5B1D" w:rsidRDefault="002959BC" w:rsidP="0041332D">
      <w:pPr>
        <w:pStyle w:val="ListParagraph"/>
        <w:numPr>
          <w:ilvl w:val="0"/>
          <w:numId w:val="1"/>
        </w:numPr>
        <w:spacing w:after="0" w:line="240" w:lineRule="auto"/>
        <w:ind w:left="283" w:hanging="240"/>
        <w:contextualSpacing w:val="0"/>
        <w:jc w:val="both"/>
        <w:rPr>
          <w:rFonts w:ascii="Simplified Arabic" w:eastAsia="Times New Roman" w:hAnsi="Simplified Arabic" w:cs="Simplified Arabic"/>
          <w:sz w:val="28"/>
          <w:szCs w:val="28"/>
        </w:rPr>
      </w:pPr>
      <w:r w:rsidRPr="008D5B1D">
        <w:rPr>
          <w:rFonts w:ascii="Simplified Arabic" w:eastAsia="Times New Roman" w:hAnsi="Simplified Arabic" w:cs="Simplified Arabic"/>
          <w:sz w:val="28"/>
          <w:szCs w:val="28"/>
          <w:rtl/>
        </w:rPr>
        <w:t xml:space="preserve">اتجاه نسبة النفقات العامة إلى الناتج المحلي الإجمالي إلى الانخفاض بصورة مستمرة خلال الفترة موضع الدراسة يؤكد اتجاه مساهمة القطاع الحكومي في الاقتصاد القومي إلى الانخفاض خلال تلك الفترة، وهو ما يتيح المجال للقطاع الخاص لزيادة نسبة مساهمته في الاقتصاد القومي. </w:t>
      </w:r>
    </w:p>
    <w:p w14:paraId="14959CEC" w14:textId="77777777" w:rsidR="002959BC" w:rsidRPr="008D5B1D" w:rsidRDefault="002959BC" w:rsidP="002959BC">
      <w:pPr>
        <w:pStyle w:val="ListParagraph"/>
        <w:spacing w:after="0" w:line="240" w:lineRule="auto"/>
        <w:contextualSpacing w:val="0"/>
        <w:jc w:val="both"/>
        <w:rPr>
          <w:rFonts w:ascii="Simplified Arabic" w:eastAsia="Times New Roman" w:hAnsi="Simplified Arabic" w:cs="Simplified Arabic"/>
          <w:sz w:val="28"/>
          <w:szCs w:val="28"/>
          <w:rtl/>
        </w:rPr>
      </w:pPr>
    </w:p>
    <w:p w14:paraId="4AB1BCE9" w14:textId="77777777" w:rsidR="002959BC" w:rsidRPr="008D5B1D" w:rsidRDefault="002959BC" w:rsidP="0041332D">
      <w:pPr>
        <w:pStyle w:val="ListParagraph"/>
        <w:numPr>
          <w:ilvl w:val="0"/>
          <w:numId w:val="1"/>
        </w:numPr>
        <w:spacing w:after="0" w:line="240" w:lineRule="auto"/>
        <w:ind w:left="283" w:hanging="240"/>
        <w:contextualSpacing w:val="0"/>
        <w:jc w:val="both"/>
        <w:rPr>
          <w:rFonts w:ascii="Simplified Arabic" w:eastAsia="Times New Roman" w:hAnsi="Simplified Arabic" w:cs="Simplified Arabic"/>
          <w:sz w:val="28"/>
          <w:szCs w:val="28"/>
        </w:rPr>
      </w:pPr>
      <w:r w:rsidRPr="008D5B1D">
        <w:rPr>
          <w:rFonts w:ascii="Simplified Arabic" w:eastAsia="Times New Roman" w:hAnsi="Simplified Arabic" w:cs="Simplified Arabic"/>
          <w:sz w:val="28"/>
          <w:szCs w:val="28"/>
          <w:rtl/>
        </w:rPr>
        <w:lastRenderedPageBreak/>
        <w:t>عدم الاهتمام بالدراسات الفنية السليمة للمشروعات الكبرى التي تنفذها الحكومة من خلال الموازنة العامة للدولة والتنفيذ السليم لها والتأكد من مردودها الاقتصادي أدى إلى زيادة النفقات العامة بصورة كبيرة في بعض سنوات الدراسة دون أن ينعكس مردود تلك المشروعات على زيادة الإيرادات العامة، نظراً لأن تلك المشروعات لم تأتي بالعائد المرجو منها، ما ساهم في تفاقم العجز المالي خلال تلك الأعوام المالية.</w:t>
      </w:r>
    </w:p>
    <w:p w14:paraId="1FA912CF" w14:textId="77777777" w:rsidR="002959BC" w:rsidRPr="008D5B1D" w:rsidRDefault="002959BC" w:rsidP="002959BC">
      <w:pPr>
        <w:pStyle w:val="ListParagraph"/>
        <w:spacing w:after="0" w:line="240" w:lineRule="auto"/>
        <w:contextualSpacing w:val="0"/>
        <w:jc w:val="both"/>
        <w:rPr>
          <w:rFonts w:ascii="Simplified Arabic" w:eastAsia="Times New Roman" w:hAnsi="Simplified Arabic" w:cs="Simplified Arabic"/>
          <w:rtl/>
        </w:rPr>
      </w:pPr>
    </w:p>
    <w:p w14:paraId="344352B6" w14:textId="77777777" w:rsidR="002959BC" w:rsidRPr="008D5B1D" w:rsidRDefault="002959BC" w:rsidP="0041332D">
      <w:pPr>
        <w:pStyle w:val="ListParagraph"/>
        <w:numPr>
          <w:ilvl w:val="0"/>
          <w:numId w:val="1"/>
        </w:numPr>
        <w:spacing w:after="0" w:line="240" w:lineRule="auto"/>
        <w:ind w:left="283" w:hanging="240"/>
        <w:contextualSpacing w:val="0"/>
        <w:jc w:val="both"/>
        <w:rPr>
          <w:rFonts w:ascii="Simplified Arabic" w:eastAsia="Times New Roman" w:hAnsi="Simplified Arabic" w:cs="Simplified Arabic"/>
          <w:sz w:val="28"/>
          <w:szCs w:val="28"/>
        </w:rPr>
      </w:pPr>
      <w:r w:rsidRPr="008D5B1D">
        <w:rPr>
          <w:rFonts w:ascii="Simplified Arabic" w:eastAsia="Times New Roman" w:hAnsi="Simplified Arabic" w:cs="Simplified Arabic"/>
          <w:sz w:val="28"/>
          <w:szCs w:val="28"/>
          <w:rtl/>
        </w:rPr>
        <w:t>القرارات الإدارية لزيادة بعض بنود النفقات العامة (وخاصة بنود الأجور والدعم والاستثمارات الحكومية) دون الأخذ في الاعتبار وضع المالية العامة، يؤدي إلى زيادة عجز الموازنة العامة للدولة، كما يؤدي إلى غل يد واضعي السياسة المالية لتحسين أوضاع المالية العامة.</w:t>
      </w:r>
    </w:p>
    <w:p w14:paraId="15C8DCD9" w14:textId="77777777" w:rsidR="002959BC" w:rsidRPr="008D5B1D" w:rsidRDefault="002959BC" w:rsidP="002959BC">
      <w:pPr>
        <w:pStyle w:val="ListParagraph"/>
        <w:spacing w:after="0" w:line="240" w:lineRule="auto"/>
        <w:contextualSpacing w:val="0"/>
        <w:jc w:val="both"/>
        <w:rPr>
          <w:rFonts w:ascii="Simplified Arabic" w:eastAsia="Times New Roman" w:hAnsi="Simplified Arabic" w:cs="Simplified Arabic"/>
          <w:rtl/>
        </w:rPr>
      </w:pPr>
    </w:p>
    <w:p w14:paraId="55CD244F" w14:textId="77777777" w:rsidR="002959BC" w:rsidRPr="008D5B1D" w:rsidRDefault="002959BC" w:rsidP="0041332D">
      <w:pPr>
        <w:pStyle w:val="ListParagraph"/>
        <w:numPr>
          <w:ilvl w:val="0"/>
          <w:numId w:val="1"/>
        </w:numPr>
        <w:spacing w:after="0" w:line="240" w:lineRule="auto"/>
        <w:ind w:left="283" w:hanging="240"/>
        <w:contextualSpacing w:val="0"/>
        <w:jc w:val="both"/>
        <w:rPr>
          <w:rFonts w:ascii="Simplified Arabic" w:eastAsia="Times New Roman" w:hAnsi="Simplified Arabic" w:cs="Simplified Arabic"/>
          <w:sz w:val="28"/>
          <w:szCs w:val="28"/>
        </w:rPr>
      </w:pPr>
      <w:r w:rsidRPr="008D5B1D">
        <w:rPr>
          <w:rFonts w:ascii="Simplified Arabic" w:eastAsia="Times New Roman" w:hAnsi="Simplified Arabic" w:cs="Simplified Arabic"/>
          <w:sz w:val="28"/>
          <w:szCs w:val="28"/>
          <w:rtl/>
        </w:rPr>
        <w:t>الانخفاض الكبير والمستمر في نسبة الإيرادات العامة إلى الناتج المحلي الإجمالي خلال الفترة موضع الدراسة يؤكد ضعف الجهاز الضريبي وانخفاض قدرته على تحصيل مستحقات الدولة، كما يؤكد على زيادة معدلات التهرب الضريبي واتساع نطاق الاقتصاد غير الرسمي.</w:t>
      </w:r>
    </w:p>
    <w:p w14:paraId="39F6BC5F" w14:textId="77777777" w:rsidR="002959BC" w:rsidRPr="008D5B1D" w:rsidRDefault="002959BC" w:rsidP="002959BC">
      <w:pPr>
        <w:pStyle w:val="ListParagraph"/>
        <w:spacing w:after="0" w:line="240" w:lineRule="auto"/>
        <w:contextualSpacing w:val="0"/>
        <w:jc w:val="both"/>
        <w:rPr>
          <w:rFonts w:ascii="Simplified Arabic" w:eastAsia="Times New Roman" w:hAnsi="Simplified Arabic" w:cs="Simplified Arabic"/>
          <w:rtl/>
        </w:rPr>
      </w:pPr>
    </w:p>
    <w:p w14:paraId="49A561E7" w14:textId="77777777" w:rsidR="002959BC" w:rsidRPr="008D5B1D" w:rsidRDefault="002959BC" w:rsidP="0041332D">
      <w:pPr>
        <w:pStyle w:val="ListParagraph"/>
        <w:numPr>
          <w:ilvl w:val="0"/>
          <w:numId w:val="1"/>
        </w:numPr>
        <w:spacing w:after="0" w:line="240" w:lineRule="auto"/>
        <w:ind w:left="283" w:hanging="240"/>
        <w:contextualSpacing w:val="0"/>
        <w:jc w:val="both"/>
        <w:rPr>
          <w:rFonts w:ascii="Simplified Arabic" w:eastAsia="Times New Roman" w:hAnsi="Simplified Arabic" w:cs="Simplified Arabic"/>
          <w:sz w:val="28"/>
          <w:szCs w:val="28"/>
        </w:rPr>
      </w:pPr>
      <w:r w:rsidRPr="008D5B1D">
        <w:rPr>
          <w:rFonts w:ascii="Simplified Arabic" w:eastAsia="Times New Roman" w:hAnsi="Simplified Arabic" w:cs="Simplified Arabic"/>
          <w:sz w:val="28"/>
          <w:szCs w:val="28"/>
          <w:rtl/>
        </w:rPr>
        <w:t>الاتجاه إلى تمويل عجز الموازنة العامة من خلال المصادر المحلية للتمويل وخاصة التمويل غير المصرفي والتوقف عن استخدام مصادر التمويل الخارجي في بعض سنوات الدراسة قد أدى إلى السيطرة على حجم الدين الخارجي المرتفع، كما أتاح بعض الأموال والتي تم استخدامها لسداد جزء من الدين الخارجي خلال تلك الفترة.</w:t>
      </w:r>
    </w:p>
    <w:p w14:paraId="68A9A924" w14:textId="77777777" w:rsidR="002959BC" w:rsidRPr="008D5B1D" w:rsidRDefault="002959BC" w:rsidP="002959BC">
      <w:pPr>
        <w:pStyle w:val="ListParagraph"/>
        <w:spacing w:after="0" w:line="240" w:lineRule="auto"/>
        <w:contextualSpacing w:val="0"/>
        <w:jc w:val="both"/>
        <w:rPr>
          <w:rFonts w:ascii="Simplified Arabic" w:eastAsia="Times New Roman" w:hAnsi="Simplified Arabic" w:cs="Simplified Arabic"/>
          <w:rtl/>
        </w:rPr>
      </w:pPr>
    </w:p>
    <w:p w14:paraId="4FCABC31" w14:textId="77777777" w:rsidR="002959BC" w:rsidRPr="008D5B1D" w:rsidRDefault="002959BC" w:rsidP="0041332D">
      <w:pPr>
        <w:pStyle w:val="ListParagraph"/>
        <w:numPr>
          <w:ilvl w:val="0"/>
          <w:numId w:val="1"/>
        </w:numPr>
        <w:spacing w:after="0" w:line="240" w:lineRule="auto"/>
        <w:ind w:left="283" w:hanging="240"/>
        <w:contextualSpacing w:val="0"/>
        <w:jc w:val="both"/>
        <w:rPr>
          <w:rFonts w:ascii="Simplified Arabic" w:eastAsia="Times New Roman" w:hAnsi="Simplified Arabic" w:cs="Simplified Arabic"/>
          <w:sz w:val="28"/>
          <w:szCs w:val="28"/>
        </w:rPr>
      </w:pPr>
      <w:r w:rsidRPr="008D5B1D">
        <w:rPr>
          <w:rFonts w:ascii="Simplified Arabic" w:eastAsia="Times New Roman" w:hAnsi="Simplified Arabic" w:cs="Simplified Arabic"/>
          <w:sz w:val="28"/>
          <w:szCs w:val="28"/>
          <w:rtl/>
        </w:rPr>
        <w:t xml:space="preserve">استخدام التمويل المحلي المصرفي لتمويل عجز الموازنة العامة للدولة بشكل كبير خلال مجمل الفترة موضع الدراسة كان له مردود مباشر على زيادة </w:t>
      </w:r>
      <w:r w:rsidRPr="008D5B1D">
        <w:rPr>
          <w:rFonts w:ascii="Simplified Arabic" w:hAnsi="Simplified Arabic" w:cs="Simplified Arabic"/>
          <w:sz w:val="28"/>
          <w:szCs w:val="28"/>
          <w:rtl/>
          <w:lang w:bidi="ar-EG"/>
        </w:rPr>
        <w:t xml:space="preserve">التضخم معبراً عنه بالرقم القياسي لأسعار المستهلكين </w:t>
      </w:r>
      <w:r w:rsidRPr="008D5B1D">
        <w:rPr>
          <w:rFonts w:ascii="Simplified Arabic" w:eastAsia="Times New Roman" w:hAnsi="Simplified Arabic" w:cs="Simplified Arabic"/>
          <w:sz w:val="28"/>
          <w:szCs w:val="28"/>
          <w:rtl/>
        </w:rPr>
        <w:t>خلال تلك الفترة والذي يؤدي إلى انخفاض القيمة الحقيقية لحصيلة الضرائب مما يؤدي إلى زيادة عجز الموازنة العامة مرة أخرى.</w:t>
      </w:r>
    </w:p>
    <w:p w14:paraId="2FA29625" w14:textId="77777777" w:rsidR="002959BC" w:rsidRPr="008D5B1D" w:rsidRDefault="002959BC" w:rsidP="002959BC">
      <w:pPr>
        <w:pStyle w:val="ListParagraph"/>
        <w:spacing w:after="0" w:line="240" w:lineRule="auto"/>
        <w:contextualSpacing w:val="0"/>
        <w:jc w:val="both"/>
        <w:rPr>
          <w:rFonts w:ascii="Simplified Arabic" w:eastAsia="Times New Roman" w:hAnsi="Simplified Arabic" w:cs="Simplified Arabic"/>
          <w:rtl/>
        </w:rPr>
      </w:pPr>
    </w:p>
    <w:p w14:paraId="0B66C3F7" w14:textId="77777777" w:rsidR="002959BC" w:rsidRDefault="002959BC" w:rsidP="0041332D">
      <w:pPr>
        <w:pStyle w:val="ListParagraph"/>
        <w:numPr>
          <w:ilvl w:val="0"/>
          <w:numId w:val="1"/>
        </w:numPr>
        <w:spacing w:after="0" w:line="240" w:lineRule="auto"/>
        <w:ind w:left="283" w:hanging="240"/>
        <w:contextualSpacing w:val="0"/>
        <w:jc w:val="both"/>
        <w:rPr>
          <w:rFonts w:ascii="Simplified Arabic" w:hAnsi="Simplified Arabic" w:cs="Simplified Arabic"/>
          <w:sz w:val="28"/>
          <w:szCs w:val="28"/>
          <w:lang w:bidi="ar-EG"/>
        </w:rPr>
      </w:pPr>
      <w:r w:rsidRPr="008D5B1D">
        <w:rPr>
          <w:rFonts w:ascii="Simplified Arabic" w:eastAsia="Times New Roman" w:hAnsi="Simplified Arabic" w:cs="Simplified Arabic"/>
          <w:sz w:val="28"/>
          <w:szCs w:val="28"/>
          <w:rtl/>
        </w:rPr>
        <w:t>أثبتت</w:t>
      </w:r>
      <w:r w:rsidRPr="008D5B1D">
        <w:rPr>
          <w:rFonts w:ascii="Simplified Arabic" w:hAnsi="Simplified Arabic" w:cs="Simplified Arabic"/>
          <w:sz w:val="28"/>
          <w:szCs w:val="28"/>
          <w:rtl/>
          <w:lang w:bidi="ar-EG"/>
        </w:rPr>
        <w:t xml:space="preserve"> الدراسة التطبيقية أن بعض الآليات المالية لتمويل عجز الموازنة العامة للدولة تُعد سبباً في توليد الضغوط التضخمية في الاقتصاد المصري خلال فترة الدراسة، كما أن بعض تلك الآليات يمكن </w:t>
      </w:r>
      <w:r w:rsidRPr="008D5B1D">
        <w:rPr>
          <w:rFonts w:ascii="Simplified Arabic" w:eastAsia="Times New Roman" w:hAnsi="Simplified Arabic" w:cs="Simplified Arabic"/>
          <w:sz w:val="28"/>
          <w:szCs w:val="28"/>
          <w:rtl/>
        </w:rPr>
        <w:t>استخدامها</w:t>
      </w:r>
      <w:r w:rsidRPr="008D5B1D">
        <w:rPr>
          <w:rFonts w:ascii="Simplified Arabic" w:hAnsi="Simplified Arabic" w:cs="Simplified Arabic"/>
          <w:sz w:val="28"/>
          <w:szCs w:val="28"/>
          <w:rtl/>
          <w:lang w:bidi="ar-EG"/>
        </w:rPr>
        <w:t xml:space="preserve"> لتمويل عجز الموازنة العامة للدولة وفي نفس الوقت يمكن استخدامها لتخفيض الضغوط التضخمية في الاقتصاد المصري، وذلك على النحو التالي:</w:t>
      </w:r>
    </w:p>
    <w:p w14:paraId="007888E4" w14:textId="77777777" w:rsidR="002959BC" w:rsidRPr="008D5B1D" w:rsidRDefault="002959BC" w:rsidP="002959BC">
      <w:pPr>
        <w:pStyle w:val="ListParagraph"/>
        <w:rPr>
          <w:rFonts w:ascii="Simplified Arabic" w:hAnsi="Simplified Arabic" w:cs="Simplified Arabic"/>
          <w:sz w:val="18"/>
          <w:szCs w:val="18"/>
          <w:rtl/>
          <w:lang w:bidi="ar-EG"/>
        </w:rPr>
      </w:pPr>
    </w:p>
    <w:p w14:paraId="2B28421C" w14:textId="77777777" w:rsidR="002959BC" w:rsidRPr="008D5B1D" w:rsidRDefault="002959BC" w:rsidP="0041332D">
      <w:pPr>
        <w:pStyle w:val="ListParagraph"/>
        <w:numPr>
          <w:ilvl w:val="0"/>
          <w:numId w:val="39"/>
        </w:numPr>
        <w:spacing w:after="0" w:line="240" w:lineRule="auto"/>
        <w:ind w:left="567" w:hanging="284"/>
        <w:contextualSpacing w:val="0"/>
        <w:jc w:val="both"/>
        <w:rPr>
          <w:rFonts w:ascii="Simplified Arabic" w:hAnsi="Simplified Arabic" w:cs="Simplified Arabic"/>
          <w:sz w:val="28"/>
          <w:szCs w:val="28"/>
        </w:rPr>
      </w:pPr>
      <w:r w:rsidRPr="008D5B1D">
        <w:rPr>
          <w:rFonts w:ascii="Simplified Arabic" w:hAnsi="Simplified Arabic" w:cs="Simplified Arabic"/>
          <w:sz w:val="28"/>
          <w:szCs w:val="28"/>
          <w:rtl/>
        </w:rPr>
        <w:t>هناك علاقة طردية معنوية</w:t>
      </w:r>
      <w:r w:rsidRPr="008D5B1D">
        <w:rPr>
          <w:rFonts w:ascii="Simplified Arabic" w:hAnsi="Simplified Arabic" w:cs="Simplified Arabic"/>
          <w:sz w:val="28"/>
          <w:szCs w:val="28"/>
          <w:rtl/>
          <w:lang w:bidi="ar-EG"/>
        </w:rPr>
        <w:t xml:space="preserve"> بين التمويل المحلي المصرفي لعجز الموازنة العامة للدولة والتضخم معبراً عنه بالرقم القياسي لأسعار المستهلكين في مصر خلال فترة الدراسة، مما يعني أن استخدام التمويل المحلي المصرفي لعجز الموازنة العامة للدولة يزيد من الضغوط التضخمية في الاقتصاد المصري.</w:t>
      </w:r>
    </w:p>
    <w:p w14:paraId="427CF740" w14:textId="77777777" w:rsidR="002959BC" w:rsidRPr="008D5B1D" w:rsidRDefault="002959BC" w:rsidP="002959BC">
      <w:pPr>
        <w:pStyle w:val="ListParagraph"/>
        <w:spacing w:after="0" w:line="240" w:lineRule="auto"/>
        <w:ind w:left="567"/>
        <w:contextualSpacing w:val="0"/>
        <w:jc w:val="both"/>
        <w:rPr>
          <w:rFonts w:ascii="Simplified Arabic" w:hAnsi="Simplified Arabic" w:cs="Simplified Arabic"/>
          <w:sz w:val="28"/>
          <w:szCs w:val="28"/>
          <w:rtl/>
        </w:rPr>
      </w:pPr>
      <w:r w:rsidRPr="008D5B1D">
        <w:rPr>
          <w:rFonts w:ascii="Simplified Arabic" w:hAnsi="Simplified Arabic" w:cs="Simplified Arabic"/>
          <w:sz w:val="28"/>
          <w:szCs w:val="28"/>
          <w:rtl/>
          <w:lang w:bidi="ar-EG"/>
        </w:rPr>
        <w:t xml:space="preserve">وهو ما يتفق مع النظرية الاقتصادية والتي تعزي جزء كبير من الضغوط التضخمية إلى الزيادة في العرض النقدي والمتولد عن قيام البنك المركزي بزيادة العرض النقدي لتغطية احتياجات الحكومة </w:t>
      </w:r>
      <w:r w:rsidRPr="008D5B1D">
        <w:rPr>
          <w:rFonts w:ascii="Simplified Arabic" w:hAnsi="Simplified Arabic" w:cs="Simplified Arabic"/>
          <w:sz w:val="28"/>
          <w:szCs w:val="28"/>
          <w:rtl/>
        </w:rPr>
        <w:t>إلى</w:t>
      </w:r>
      <w:r w:rsidRPr="008D5B1D">
        <w:rPr>
          <w:rFonts w:ascii="Simplified Arabic" w:hAnsi="Simplified Arabic" w:cs="Simplified Arabic"/>
          <w:sz w:val="28"/>
          <w:szCs w:val="28"/>
          <w:rtl/>
          <w:lang w:bidi="ar-EG"/>
        </w:rPr>
        <w:t xml:space="preserve"> </w:t>
      </w:r>
      <w:r w:rsidRPr="008D5B1D">
        <w:rPr>
          <w:rFonts w:ascii="Simplified Arabic" w:hAnsi="Simplified Arabic" w:cs="Simplified Arabic"/>
          <w:sz w:val="28"/>
          <w:szCs w:val="28"/>
          <w:rtl/>
          <w:lang w:bidi="ar-EG"/>
        </w:rPr>
        <w:lastRenderedPageBreak/>
        <w:t>تمويل عجز الموازنة العامة، كما تتفق هذه النتيجة أيضاً مع ما تم من تحليل للعلاقة بين بيانات التضخم والتمويل المحلي المصرفي والذي تم إيضاحه بالفصل الثاني من هذ البحث.</w:t>
      </w:r>
    </w:p>
    <w:p w14:paraId="4F2637BD" w14:textId="77777777" w:rsidR="002959BC" w:rsidRPr="008D5B1D" w:rsidRDefault="002959BC" w:rsidP="002959BC">
      <w:pPr>
        <w:pStyle w:val="ListParagraph"/>
        <w:spacing w:after="0" w:line="240" w:lineRule="auto"/>
        <w:ind w:left="567"/>
        <w:contextualSpacing w:val="0"/>
        <w:jc w:val="both"/>
        <w:rPr>
          <w:rFonts w:ascii="Simplified Arabic" w:hAnsi="Simplified Arabic" w:cs="Simplified Arabic"/>
          <w:sz w:val="28"/>
          <w:szCs w:val="28"/>
          <w:lang w:bidi="ar-EG"/>
        </w:rPr>
      </w:pPr>
    </w:p>
    <w:p w14:paraId="08353BF5" w14:textId="77777777" w:rsidR="002959BC" w:rsidRPr="008D5B1D" w:rsidRDefault="002959BC" w:rsidP="0041332D">
      <w:pPr>
        <w:pStyle w:val="ListParagraph"/>
        <w:numPr>
          <w:ilvl w:val="0"/>
          <w:numId w:val="39"/>
        </w:numPr>
        <w:spacing w:after="0" w:line="240" w:lineRule="auto"/>
        <w:ind w:left="567" w:hanging="284"/>
        <w:contextualSpacing w:val="0"/>
        <w:jc w:val="both"/>
        <w:rPr>
          <w:rFonts w:ascii="Simplified Arabic" w:hAnsi="Simplified Arabic" w:cs="Simplified Arabic"/>
          <w:sz w:val="28"/>
          <w:szCs w:val="28"/>
        </w:rPr>
      </w:pPr>
      <w:r w:rsidRPr="008D5B1D">
        <w:rPr>
          <w:rFonts w:ascii="Simplified Arabic" w:hAnsi="Simplified Arabic" w:cs="Simplified Arabic"/>
          <w:sz w:val="28"/>
          <w:szCs w:val="28"/>
          <w:rtl/>
        </w:rPr>
        <w:t>هناك علاقة عكسية معنوية بين ا</w:t>
      </w:r>
      <w:r w:rsidRPr="008D5B1D">
        <w:rPr>
          <w:rFonts w:ascii="Simplified Arabic" w:hAnsi="Simplified Arabic" w:cs="Simplified Arabic"/>
          <w:sz w:val="28"/>
          <w:szCs w:val="28"/>
          <w:rtl/>
          <w:lang w:bidi="ar-EG"/>
        </w:rPr>
        <w:t xml:space="preserve">لتمويل المحلي غير المصرفي لعجز الموازنة العامة للدولة والتضخم معبراً عنه بالرقم القياسي لأسعار المستهلكين في مصر خلال فترة الدراسة، مما يعني أنه </w:t>
      </w:r>
      <w:r w:rsidRPr="008D5B1D">
        <w:rPr>
          <w:rFonts w:ascii="Simplified Arabic" w:hAnsi="Simplified Arabic" w:cs="Simplified Arabic"/>
          <w:sz w:val="28"/>
          <w:szCs w:val="28"/>
          <w:rtl/>
        </w:rPr>
        <w:t>يمكن</w:t>
      </w:r>
      <w:r w:rsidRPr="008D5B1D">
        <w:rPr>
          <w:rFonts w:ascii="Simplified Arabic" w:hAnsi="Simplified Arabic" w:cs="Simplified Arabic"/>
          <w:sz w:val="28"/>
          <w:szCs w:val="28"/>
          <w:rtl/>
          <w:lang w:bidi="ar-EG"/>
        </w:rPr>
        <w:t xml:space="preserve"> استخدام التمويل المحلي غير المصرفي لعجز الموازنة العامة للدولة للمساهمة في تخفيض الضغوط التضخمية في الاقتصاد المصري.</w:t>
      </w:r>
    </w:p>
    <w:p w14:paraId="7D49E7DD" w14:textId="77777777" w:rsidR="002959BC" w:rsidRPr="008D5B1D" w:rsidRDefault="002959BC" w:rsidP="002959BC">
      <w:pPr>
        <w:pStyle w:val="ListParagraph"/>
        <w:spacing w:after="0" w:line="240" w:lineRule="auto"/>
        <w:ind w:left="567"/>
        <w:contextualSpacing w:val="0"/>
        <w:jc w:val="both"/>
        <w:rPr>
          <w:rFonts w:ascii="Simplified Arabic" w:hAnsi="Simplified Arabic" w:cs="Simplified Arabic"/>
          <w:sz w:val="28"/>
          <w:szCs w:val="28"/>
          <w:rtl/>
          <w:lang w:bidi="ar-EG"/>
        </w:rPr>
      </w:pPr>
      <w:r w:rsidRPr="008D5B1D">
        <w:rPr>
          <w:rFonts w:ascii="Simplified Arabic" w:hAnsi="Simplified Arabic" w:cs="Simplified Arabic"/>
          <w:sz w:val="28"/>
          <w:szCs w:val="28"/>
          <w:rtl/>
          <w:lang w:bidi="ar-EG"/>
        </w:rPr>
        <w:t xml:space="preserve">وهو ما يتفق أيضاً مع النظرية الاقتصادية والتي ترى أن استخدام الفوائض المالية لدى القطاع غير المصرفي يعد وسيلة فعالة لتمويل عجز الموازنة دون حدوث موجات تضخمية، ولهذا فإن هذه الآلية التمويلية تستخدم بطريقة واسعة النطاق في الاقتصاديات الرأسمالية ذات الأسواق المالية المتطورة </w:t>
      </w:r>
      <w:r w:rsidRPr="008D5B1D">
        <w:rPr>
          <w:rFonts w:ascii="Simplified Arabic" w:hAnsi="Simplified Arabic" w:cs="Simplified Arabic"/>
          <w:sz w:val="28"/>
          <w:szCs w:val="28"/>
          <w:rtl/>
        </w:rPr>
        <w:t>والتي</w:t>
      </w:r>
      <w:r w:rsidRPr="008D5B1D">
        <w:rPr>
          <w:rFonts w:ascii="Simplified Arabic" w:hAnsi="Simplified Arabic" w:cs="Simplified Arabic"/>
          <w:sz w:val="28"/>
          <w:szCs w:val="28"/>
          <w:rtl/>
          <w:lang w:bidi="ar-EG"/>
        </w:rPr>
        <w:t xml:space="preserve"> تتمكن من خلالها من توفير الأموال اللازمة لتمويل عجز الموازنة وبأسعار فائدة منخفضة وهي وسيلة لا تستخدمها الدول النامية بالمستوى المطلوب نظراً لمحدودية أسواق المال والقصور في الأوراق المالية المطروحة بها، وكذا نظراً لعدم تمتع بعض حكومات الدول النامية بالثقة الكافية من قبل المتعاملين الأفراد لإقراض حكومات تلك الدول. وفي هذا الإطار فإنه يمكن استحداث وسائل تمويلية تكون ذات جذب للمواطنين للمشاركة في عملية تمويل التنمية في بلدانهم وتكون ذات عائد مالي، بالإضافة إلى أهمية أخذ آراء المواطنين بعين الاعتبار عند تحديد المشروعات التنموية التي تنفذها الدولة وشرح مردود تلك المشروعات على المجتمع وعلى المساهمين فيها.</w:t>
      </w:r>
    </w:p>
    <w:p w14:paraId="1750FC87" w14:textId="77777777" w:rsidR="002959BC" w:rsidRPr="008D5B1D" w:rsidRDefault="002959BC" w:rsidP="002959BC">
      <w:pPr>
        <w:pStyle w:val="ListParagraph"/>
        <w:spacing w:after="0" w:line="240" w:lineRule="auto"/>
        <w:ind w:left="567"/>
        <w:contextualSpacing w:val="0"/>
        <w:jc w:val="both"/>
        <w:rPr>
          <w:rFonts w:ascii="Simplified Arabic" w:hAnsi="Simplified Arabic" w:cs="Simplified Arabic"/>
          <w:sz w:val="28"/>
          <w:szCs w:val="28"/>
          <w:lang w:bidi="ar-EG"/>
        </w:rPr>
      </w:pPr>
    </w:p>
    <w:p w14:paraId="18F4889C" w14:textId="77777777" w:rsidR="002959BC" w:rsidRPr="008D5B1D" w:rsidRDefault="002959BC" w:rsidP="0041332D">
      <w:pPr>
        <w:pStyle w:val="ListParagraph"/>
        <w:numPr>
          <w:ilvl w:val="0"/>
          <w:numId w:val="39"/>
        </w:numPr>
        <w:spacing w:after="0" w:line="240" w:lineRule="auto"/>
        <w:ind w:left="567" w:hanging="284"/>
        <w:contextualSpacing w:val="0"/>
        <w:jc w:val="both"/>
        <w:rPr>
          <w:rFonts w:ascii="Simplified Arabic" w:hAnsi="Simplified Arabic" w:cs="Simplified Arabic"/>
          <w:sz w:val="28"/>
          <w:szCs w:val="28"/>
        </w:rPr>
      </w:pPr>
      <w:r w:rsidRPr="008D5B1D">
        <w:rPr>
          <w:rFonts w:ascii="Simplified Arabic" w:hAnsi="Simplified Arabic" w:cs="Simplified Arabic"/>
          <w:sz w:val="28"/>
          <w:szCs w:val="28"/>
          <w:rtl/>
        </w:rPr>
        <w:t xml:space="preserve">لم يثبت وجود تأثير معنوي </w:t>
      </w:r>
      <w:r w:rsidRPr="008D5B1D">
        <w:rPr>
          <w:rFonts w:ascii="Simplified Arabic" w:hAnsi="Simplified Arabic" w:cs="Simplified Arabic"/>
          <w:sz w:val="28"/>
          <w:szCs w:val="28"/>
          <w:rtl/>
          <w:lang w:bidi="ar-EG"/>
        </w:rPr>
        <w:t xml:space="preserve">للتمويل الخارجي لعجز الموازنة العامة للدولة على زيادة التضخم معبراً </w:t>
      </w:r>
      <w:r w:rsidRPr="008D5B1D">
        <w:rPr>
          <w:rFonts w:ascii="Simplified Arabic" w:hAnsi="Simplified Arabic" w:cs="Simplified Arabic"/>
          <w:sz w:val="28"/>
          <w:szCs w:val="28"/>
          <w:rtl/>
        </w:rPr>
        <w:t>عنه</w:t>
      </w:r>
      <w:r w:rsidRPr="008D5B1D">
        <w:rPr>
          <w:rFonts w:ascii="Simplified Arabic" w:hAnsi="Simplified Arabic" w:cs="Simplified Arabic"/>
          <w:sz w:val="28"/>
          <w:szCs w:val="28"/>
          <w:rtl/>
          <w:lang w:bidi="ar-EG"/>
        </w:rPr>
        <w:t xml:space="preserve"> بالرقم القياسي لأسعار المستهلكين في مصر خلال فترة الدراسة.</w:t>
      </w:r>
    </w:p>
    <w:p w14:paraId="782979AC" w14:textId="77777777" w:rsidR="002959BC" w:rsidRPr="008D5B1D" w:rsidRDefault="002959BC" w:rsidP="002959BC">
      <w:pPr>
        <w:pStyle w:val="ListParagraph"/>
        <w:spacing w:after="0" w:line="240" w:lineRule="auto"/>
        <w:ind w:left="567"/>
        <w:contextualSpacing w:val="0"/>
        <w:jc w:val="both"/>
        <w:rPr>
          <w:rFonts w:ascii="Simplified Arabic" w:hAnsi="Simplified Arabic" w:cs="Simplified Arabic"/>
          <w:sz w:val="28"/>
          <w:szCs w:val="28"/>
        </w:rPr>
      </w:pPr>
    </w:p>
    <w:p w14:paraId="6A2DB3BE" w14:textId="77777777" w:rsidR="002959BC" w:rsidRDefault="002959BC" w:rsidP="0041332D">
      <w:pPr>
        <w:pStyle w:val="ListParagraph"/>
        <w:numPr>
          <w:ilvl w:val="0"/>
          <w:numId w:val="39"/>
        </w:numPr>
        <w:spacing w:after="0" w:line="240" w:lineRule="auto"/>
        <w:ind w:left="567" w:hanging="284"/>
        <w:contextualSpacing w:val="0"/>
        <w:jc w:val="both"/>
        <w:rPr>
          <w:rFonts w:ascii="Simplified Arabic" w:hAnsi="Simplified Arabic" w:cs="Simplified Arabic"/>
          <w:sz w:val="28"/>
          <w:szCs w:val="28"/>
        </w:rPr>
      </w:pPr>
      <w:r w:rsidRPr="008D5B1D">
        <w:rPr>
          <w:rFonts w:ascii="Simplified Arabic" w:hAnsi="Simplified Arabic" w:cs="Simplified Arabic"/>
          <w:sz w:val="28"/>
          <w:szCs w:val="28"/>
          <w:rtl/>
          <w:lang w:bidi="ar-EG"/>
        </w:rPr>
        <w:t xml:space="preserve">هناك علاقة طردية معنوية بين أسعار الواردات بالأسعار المحلية الثابتة التضخم معبراً عنه بالرقم </w:t>
      </w:r>
      <w:r w:rsidRPr="008D5B1D">
        <w:rPr>
          <w:rFonts w:ascii="Simplified Arabic" w:hAnsi="Simplified Arabic" w:cs="Simplified Arabic"/>
          <w:sz w:val="28"/>
          <w:szCs w:val="28"/>
          <w:rtl/>
        </w:rPr>
        <w:t>القياسي</w:t>
      </w:r>
      <w:r w:rsidRPr="008D5B1D">
        <w:rPr>
          <w:rFonts w:ascii="Simplified Arabic" w:hAnsi="Simplified Arabic" w:cs="Simplified Arabic"/>
          <w:sz w:val="28"/>
          <w:szCs w:val="28"/>
          <w:rtl/>
          <w:lang w:bidi="ar-EG"/>
        </w:rPr>
        <w:t xml:space="preserve"> لأسعار المستهلكين، كما أن هناك علاقة طردية معنوية بين المعروض النقدي نسبة إلى الناتج المحلي الإجمالي والتضخم معبراً عنه بالرقم القياسي لأسعار المستهلكين.</w:t>
      </w:r>
    </w:p>
    <w:p w14:paraId="76556E64" w14:textId="77777777" w:rsidR="002959BC" w:rsidRPr="008D5B1D" w:rsidRDefault="002959BC" w:rsidP="002959BC">
      <w:pPr>
        <w:pStyle w:val="ListParagraph"/>
        <w:rPr>
          <w:rFonts w:ascii="Simplified Arabic" w:hAnsi="Simplified Arabic" w:cs="Simplified Arabic"/>
          <w:sz w:val="28"/>
          <w:szCs w:val="28"/>
          <w:rtl/>
        </w:rPr>
      </w:pPr>
    </w:p>
    <w:p w14:paraId="4678E186" w14:textId="77777777" w:rsidR="002959BC" w:rsidRDefault="002959BC" w:rsidP="0041332D">
      <w:pPr>
        <w:pStyle w:val="ListParagraph"/>
        <w:numPr>
          <w:ilvl w:val="0"/>
          <w:numId w:val="39"/>
        </w:numPr>
        <w:spacing w:after="0" w:line="240" w:lineRule="auto"/>
        <w:ind w:left="567" w:hanging="284"/>
        <w:contextualSpacing w:val="0"/>
        <w:jc w:val="both"/>
        <w:rPr>
          <w:rFonts w:ascii="Simplified Arabic" w:hAnsi="Simplified Arabic" w:cs="Simplified Arabic"/>
          <w:sz w:val="28"/>
          <w:szCs w:val="28"/>
        </w:rPr>
      </w:pPr>
      <w:r w:rsidRPr="008D5B1D">
        <w:rPr>
          <w:rFonts w:ascii="Simplified Arabic" w:hAnsi="Simplified Arabic" w:cs="Simplified Arabic"/>
          <w:sz w:val="28"/>
          <w:szCs w:val="28"/>
          <w:rtl/>
          <w:lang w:bidi="ar-EG"/>
        </w:rPr>
        <w:t xml:space="preserve">هناك علاقة عكسية معنوية بين سعر الصرف والتضخم معبراً عنه بالرقم القياسي لأسعار </w:t>
      </w:r>
      <w:r w:rsidRPr="008D5B1D">
        <w:rPr>
          <w:rFonts w:ascii="Simplified Arabic" w:hAnsi="Simplified Arabic" w:cs="Simplified Arabic"/>
          <w:sz w:val="28"/>
          <w:szCs w:val="28"/>
          <w:rtl/>
        </w:rPr>
        <w:t>المستهلكين</w:t>
      </w:r>
      <w:r w:rsidRPr="008D5B1D">
        <w:rPr>
          <w:rFonts w:ascii="Simplified Arabic" w:hAnsi="Simplified Arabic" w:cs="Simplified Arabic"/>
          <w:sz w:val="28"/>
          <w:szCs w:val="28"/>
          <w:rtl/>
          <w:lang w:bidi="ar-EG"/>
        </w:rPr>
        <w:t xml:space="preserve"> في مصر خلال فترة الدراسة.</w:t>
      </w:r>
    </w:p>
    <w:p w14:paraId="26709A70" w14:textId="560A83C6" w:rsidR="002959BC" w:rsidRDefault="002959BC" w:rsidP="002959BC">
      <w:pPr>
        <w:pStyle w:val="ListParagraph"/>
        <w:rPr>
          <w:rFonts w:ascii="Simplified Arabic" w:hAnsi="Simplified Arabic" w:cs="Simplified Arabic"/>
          <w:sz w:val="28"/>
          <w:szCs w:val="28"/>
          <w:rtl/>
        </w:rPr>
      </w:pPr>
    </w:p>
    <w:p w14:paraId="6C6E2CCD" w14:textId="59B9A790" w:rsidR="00131C6C" w:rsidRDefault="00131C6C" w:rsidP="002959BC">
      <w:pPr>
        <w:pStyle w:val="ListParagraph"/>
        <w:rPr>
          <w:rFonts w:ascii="Simplified Arabic" w:hAnsi="Simplified Arabic" w:cs="Simplified Arabic"/>
          <w:sz w:val="28"/>
          <w:szCs w:val="28"/>
          <w:rtl/>
        </w:rPr>
      </w:pPr>
    </w:p>
    <w:p w14:paraId="425E1927" w14:textId="77777777" w:rsidR="00131C6C" w:rsidRPr="008D5B1D" w:rsidRDefault="00131C6C" w:rsidP="002959BC">
      <w:pPr>
        <w:pStyle w:val="ListParagraph"/>
        <w:rPr>
          <w:rFonts w:ascii="Simplified Arabic" w:hAnsi="Simplified Arabic" w:cs="Simplified Arabic"/>
          <w:sz w:val="28"/>
          <w:szCs w:val="28"/>
          <w:rtl/>
        </w:rPr>
      </w:pPr>
    </w:p>
    <w:p w14:paraId="48E17C79" w14:textId="77777777" w:rsidR="002959BC" w:rsidRPr="008D5B1D" w:rsidRDefault="002959BC" w:rsidP="002959BC">
      <w:pPr>
        <w:ind w:left="-86"/>
        <w:jc w:val="both"/>
        <w:rPr>
          <w:rFonts w:ascii="Simplified Arabic" w:hAnsi="Simplified Arabic" w:cs="Simplified Arabic"/>
          <w:b/>
          <w:bCs/>
          <w:sz w:val="30"/>
          <w:szCs w:val="30"/>
          <w:rtl/>
        </w:rPr>
      </w:pPr>
      <w:r w:rsidRPr="008D5B1D">
        <w:rPr>
          <w:rFonts w:ascii="Simplified Arabic" w:hAnsi="Simplified Arabic" w:cs="Simplified Arabic"/>
          <w:b/>
          <w:bCs/>
          <w:sz w:val="30"/>
          <w:szCs w:val="30"/>
          <w:rtl/>
        </w:rPr>
        <w:lastRenderedPageBreak/>
        <w:t>أهم التوصيات:-</w:t>
      </w:r>
    </w:p>
    <w:p w14:paraId="0D711A3B" w14:textId="77777777" w:rsidR="002959BC" w:rsidRPr="008D5B1D" w:rsidRDefault="002959BC" w:rsidP="002959BC">
      <w:pPr>
        <w:ind w:firstLine="454"/>
        <w:jc w:val="both"/>
        <w:rPr>
          <w:rFonts w:ascii="Simplified Arabic" w:hAnsi="Simplified Arabic" w:cs="Simplified Arabic"/>
          <w:sz w:val="28"/>
          <w:szCs w:val="28"/>
          <w:rtl/>
          <w:lang w:bidi="ar-EG"/>
        </w:rPr>
      </w:pPr>
      <w:r w:rsidRPr="008D5B1D">
        <w:rPr>
          <w:rFonts w:ascii="Simplified Arabic" w:hAnsi="Simplified Arabic" w:cs="Simplified Arabic"/>
          <w:sz w:val="28"/>
          <w:szCs w:val="28"/>
          <w:rtl/>
          <w:lang w:bidi="ar-EG"/>
        </w:rPr>
        <w:t>في ضوء ما توصلت إليه الدراسة من نتائج سواء من خلال استعراض الإطار النظري للعلاقة بين آليات تمويل عجز الموازنة العامة والتضخم، أو من خلال تحليل تلك العلاقة في الفترة الممتدة من العام المالي 1991/1992 وحتى العام المالي 2018/2019، كذا نتيجة الدراسة التطبيقية لهذه العلاقة خلال الفترة موضع الدراسة، فإن أهم التوصيات تتلخص فيما يلي:</w:t>
      </w:r>
    </w:p>
    <w:p w14:paraId="47080EF8" w14:textId="77777777" w:rsidR="002959BC" w:rsidRPr="008D5B1D" w:rsidRDefault="002959BC" w:rsidP="0041332D">
      <w:pPr>
        <w:pStyle w:val="ListParagraph"/>
        <w:numPr>
          <w:ilvl w:val="0"/>
          <w:numId w:val="1"/>
        </w:numPr>
        <w:spacing w:after="0" w:line="240" w:lineRule="auto"/>
        <w:ind w:left="283" w:hanging="240"/>
        <w:contextualSpacing w:val="0"/>
        <w:jc w:val="both"/>
        <w:rPr>
          <w:rFonts w:ascii="Simplified Arabic" w:hAnsi="Simplified Arabic" w:cs="Simplified Arabic"/>
          <w:sz w:val="28"/>
          <w:szCs w:val="28"/>
          <w:lang w:bidi="ar-EG"/>
        </w:rPr>
      </w:pPr>
      <w:r w:rsidRPr="008D5B1D">
        <w:rPr>
          <w:rFonts w:ascii="Simplified Arabic" w:hAnsi="Simplified Arabic" w:cs="Simplified Arabic"/>
          <w:sz w:val="28"/>
          <w:szCs w:val="28"/>
          <w:rtl/>
          <w:lang w:bidi="ar-EG"/>
        </w:rPr>
        <w:t xml:space="preserve">وضع استراتيجية متوسطة الأجل لإدارة المالية، وذلك بعد التواصل والتنسيق مع الجهات التشريعية والرقابية، وتقر </w:t>
      </w:r>
      <w:r w:rsidRPr="008D5B1D">
        <w:rPr>
          <w:rFonts w:ascii="Simplified Arabic" w:eastAsia="Times New Roman" w:hAnsi="Simplified Arabic" w:cs="Simplified Arabic"/>
          <w:sz w:val="28"/>
          <w:szCs w:val="28"/>
          <w:rtl/>
        </w:rPr>
        <w:t>بواسطة</w:t>
      </w:r>
      <w:r w:rsidRPr="008D5B1D">
        <w:rPr>
          <w:rFonts w:ascii="Simplified Arabic" w:hAnsi="Simplified Arabic" w:cs="Simplified Arabic"/>
          <w:sz w:val="28"/>
          <w:szCs w:val="28"/>
          <w:rtl/>
          <w:lang w:bidi="ar-EG"/>
        </w:rPr>
        <w:t xml:space="preserve"> مجلس الوزراء بعد العرض على اللجنة الوزارية الاقتصادية، على أن تكون معلنة وملزمة لكافة الجهات المعنية بوضع وتنفيذ ومراقبة الموازنة العامة للدولة، ولا يتم تغييرها إلا في إطار تحسين مؤشرات المالية العامة. </w:t>
      </w:r>
    </w:p>
    <w:p w14:paraId="1B330927" w14:textId="77777777" w:rsidR="002959BC" w:rsidRPr="008D5B1D" w:rsidRDefault="002959BC" w:rsidP="002959BC">
      <w:pPr>
        <w:pStyle w:val="ListParagraph"/>
        <w:spacing w:after="0" w:line="240" w:lineRule="auto"/>
        <w:ind w:left="448"/>
        <w:contextualSpacing w:val="0"/>
        <w:jc w:val="both"/>
        <w:rPr>
          <w:rFonts w:ascii="Simplified Arabic" w:hAnsi="Simplified Arabic" w:cs="Simplified Arabic"/>
          <w:sz w:val="28"/>
          <w:szCs w:val="28"/>
          <w:lang w:bidi="ar-EG"/>
        </w:rPr>
      </w:pPr>
    </w:p>
    <w:p w14:paraId="0FF2D478" w14:textId="77777777" w:rsidR="002959BC" w:rsidRPr="008D5B1D" w:rsidRDefault="002959BC" w:rsidP="0041332D">
      <w:pPr>
        <w:pStyle w:val="ListParagraph"/>
        <w:numPr>
          <w:ilvl w:val="0"/>
          <w:numId w:val="1"/>
        </w:numPr>
        <w:spacing w:after="0" w:line="240" w:lineRule="auto"/>
        <w:ind w:left="283" w:hanging="240"/>
        <w:contextualSpacing w:val="0"/>
        <w:jc w:val="both"/>
        <w:rPr>
          <w:rFonts w:ascii="Simplified Arabic" w:hAnsi="Simplified Arabic" w:cs="Simplified Arabic"/>
          <w:sz w:val="28"/>
          <w:szCs w:val="28"/>
          <w:lang w:bidi="ar-EG"/>
        </w:rPr>
      </w:pPr>
      <w:r w:rsidRPr="008D5B1D">
        <w:rPr>
          <w:rFonts w:ascii="Simplified Arabic" w:hAnsi="Simplified Arabic" w:cs="Simplified Arabic"/>
          <w:sz w:val="28"/>
          <w:szCs w:val="28"/>
          <w:rtl/>
          <w:lang w:bidi="ar-EG"/>
        </w:rPr>
        <w:t xml:space="preserve">الشفافية عند وضع السياسات المالية، والتواصل مع الأطراف ذات المصلحة، وأن تكون تلك السياسات ثابتة على </w:t>
      </w:r>
      <w:r w:rsidRPr="008D5B1D">
        <w:rPr>
          <w:rFonts w:ascii="Simplified Arabic" w:eastAsia="Times New Roman" w:hAnsi="Simplified Arabic" w:cs="Simplified Arabic"/>
          <w:sz w:val="28"/>
          <w:szCs w:val="28"/>
          <w:rtl/>
        </w:rPr>
        <w:t>المدى</w:t>
      </w:r>
      <w:r w:rsidRPr="008D5B1D">
        <w:rPr>
          <w:rFonts w:ascii="Simplified Arabic" w:hAnsi="Simplified Arabic" w:cs="Simplified Arabic"/>
          <w:sz w:val="28"/>
          <w:szCs w:val="28"/>
          <w:rtl/>
          <w:lang w:bidi="ar-EG"/>
        </w:rPr>
        <w:t xml:space="preserve"> المتوسط، وذلك لأن هذه السياسات يترتب عليها قرارات الادخار والاستثمار للقطاع الخاص وتغيرها بشكل فجائي يؤدي إلى ضعف الثقة في الاقتصاد القومي. </w:t>
      </w:r>
    </w:p>
    <w:p w14:paraId="71CDB504" w14:textId="77777777" w:rsidR="002959BC" w:rsidRPr="008D5B1D" w:rsidRDefault="002959BC" w:rsidP="002959BC">
      <w:pPr>
        <w:pStyle w:val="ListParagraph"/>
        <w:spacing w:after="0" w:line="240" w:lineRule="auto"/>
        <w:contextualSpacing w:val="0"/>
        <w:jc w:val="both"/>
        <w:rPr>
          <w:rFonts w:ascii="Simplified Arabic" w:hAnsi="Simplified Arabic" w:cs="Simplified Arabic"/>
          <w:sz w:val="28"/>
          <w:szCs w:val="28"/>
          <w:rtl/>
          <w:lang w:bidi="ar-EG"/>
        </w:rPr>
      </w:pPr>
    </w:p>
    <w:p w14:paraId="7BA647D8" w14:textId="77777777" w:rsidR="002959BC" w:rsidRPr="008D5B1D" w:rsidRDefault="002959BC" w:rsidP="0041332D">
      <w:pPr>
        <w:pStyle w:val="ListParagraph"/>
        <w:numPr>
          <w:ilvl w:val="0"/>
          <w:numId w:val="1"/>
        </w:numPr>
        <w:spacing w:after="0" w:line="240" w:lineRule="auto"/>
        <w:ind w:left="283" w:hanging="240"/>
        <w:contextualSpacing w:val="0"/>
        <w:jc w:val="both"/>
        <w:rPr>
          <w:rFonts w:ascii="Simplified Arabic" w:hAnsi="Simplified Arabic" w:cs="Simplified Arabic"/>
          <w:sz w:val="28"/>
          <w:szCs w:val="28"/>
          <w:lang w:bidi="ar-EG"/>
        </w:rPr>
      </w:pPr>
      <w:r w:rsidRPr="008D5B1D">
        <w:rPr>
          <w:rFonts w:ascii="Simplified Arabic" w:hAnsi="Simplified Arabic" w:cs="Simplified Arabic"/>
          <w:sz w:val="28"/>
          <w:szCs w:val="28"/>
          <w:rtl/>
          <w:lang w:bidi="ar-EG"/>
        </w:rPr>
        <w:t xml:space="preserve">يكون الهدف المعلن </w:t>
      </w:r>
      <w:r w:rsidRPr="008D5B1D">
        <w:rPr>
          <w:rFonts w:ascii="Simplified Arabic" w:eastAsia="Times New Roman" w:hAnsi="Simplified Arabic" w:cs="Simplified Arabic"/>
          <w:sz w:val="28"/>
          <w:szCs w:val="28"/>
          <w:rtl/>
        </w:rPr>
        <w:t>للسياسة</w:t>
      </w:r>
      <w:r w:rsidRPr="008D5B1D">
        <w:rPr>
          <w:rFonts w:ascii="Simplified Arabic" w:hAnsi="Simplified Arabic" w:cs="Simplified Arabic"/>
          <w:sz w:val="28"/>
          <w:szCs w:val="28"/>
          <w:rtl/>
          <w:lang w:bidi="ar-EG"/>
        </w:rPr>
        <w:t xml:space="preserve"> المالية هو زيادة معدلات النمو الاقتصادي والتشغيل والاستثمار، والتخلص من العجز المزمن للموازنة العامة في مصر، وذلك من خلال زيادة الإيرادات العامة، مع خفض النفقات العامة التي لا تؤثر على معدلات النمو الاقتصادي، وبحيث تكون السياسة المالية مضادة لاتجاه الدورة الاقتصادية.</w:t>
      </w:r>
    </w:p>
    <w:p w14:paraId="351F312A" w14:textId="77777777" w:rsidR="002959BC" w:rsidRPr="008D5B1D" w:rsidRDefault="002959BC" w:rsidP="002959BC">
      <w:pPr>
        <w:pStyle w:val="ListParagraph"/>
        <w:spacing w:after="0" w:line="240" w:lineRule="auto"/>
        <w:contextualSpacing w:val="0"/>
        <w:jc w:val="both"/>
        <w:rPr>
          <w:rFonts w:ascii="Simplified Arabic" w:hAnsi="Simplified Arabic" w:cs="Simplified Arabic"/>
          <w:sz w:val="28"/>
          <w:szCs w:val="28"/>
          <w:rtl/>
          <w:lang w:bidi="ar-EG"/>
        </w:rPr>
      </w:pPr>
    </w:p>
    <w:p w14:paraId="08ADF04D" w14:textId="77777777" w:rsidR="002959BC" w:rsidRPr="008D5B1D" w:rsidRDefault="002959BC" w:rsidP="0041332D">
      <w:pPr>
        <w:pStyle w:val="ListParagraph"/>
        <w:numPr>
          <w:ilvl w:val="0"/>
          <w:numId w:val="1"/>
        </w:numPr>
        <w:spacing w:after="0" w:line="240" w:lineRule="auto"/>
        <w:ind w:left="283" w:hanging="240"/>
        <w:contextualSpacing w:val="0"/>
        <w:jc w:val="both"/>
        <w:rPr>
          <w:rFonts w:ascii="Simplified Arabic" w:hAnsi="Simplified Arabic" w:cs="Simplified Arabic"/>
          <w:sz w:val="28"/>
          <w:szCs w:val="28"/>
          <w:lang w:bidi="ar-EG"/>
        </w:rPr>
      </w:pPr>
      <w:r w:rsidRPr="008D5B1D">
        <w:rPr>
          <w:rFonts w:ascii="Simplified Arabic" w:hAnsi="Simplified Arabic" w:cs="Simplified Arabic"/>
          <w:sz w:val="28"/>
          <w:szCs w:val="28"/>
          <w:rtl/>
          <w:lang w:bidi="ar-EG"/>
        </w:rPr>
        <w:t>اتخاذ إجراءات للتحوط ضد الصدمات الخارجية التي يمكن أن يتعرض لها الاقتصاد المصري، مثل التحوط ضد ارتفاع أسعار السلع الاستراتيجية، حتى لا يتفاقم عجز الموازنة العامة للدولة نتيجة اختلاف العجز المقدر عن العجز الفعلي.</w:t>
      </w:r>
    </w:p>
    <w:p w14:paraId="13E87DDC" w14:textId="77777777" w:rsidR="002959BC" w:rsidRPr="008D5B1D" w:rsidRDefault="002959BC" w:rsidP="002959BC">
      <w:pPr>
        <w:pStyle w:val="ListParagraph"/>
        <w:spacing w:after="0" w:line="240" w:lineRule="auto"/>
        <w:contextualSpacing w:val="0"/>
        <w:jc w:val="both"/>
        <w:rPr>
          <w:rFonts w:ascii="Simplified Arabic" w:hAnsi="Simplified Arabic" w:cs="Simplified Arabic"/>
          <w:sz w:val="28"/>
          <w:szCs w:val="28"/>
          <w:rtl/>
          <w:lang w:bidi="ar-EG"/>
        </w:rPr>
      </w:pPr>
    </w:p>
    <w:p w14:paraId="59312A20" w14:textId="77777777" w:rsidR="002959BC" w:rsidRPr="008D5B1D" w:rsidRDefault="002959BC" w:rsidP="0041332D">
      <w:pPr>
        <w:pStyle w:val="ListParagraph"/>
        <w:numPr>
          <w:ilvl w:val="0"/>
          <w:numId w:val="1"/>
        </w:numPr>
        <w:spacing w:after="0" w:line="240" w:lineRule="auto"/>
        <w:ind w:left="283" w:hanging="240"/>
        <w:contextualSpacing w:val="0"/>
        <w:jc w:val="both"/>
        <w:rPr>
          <w:rFonts w:ascii="Simplified Arabic" w:hAnsi="Simplified Arabic" w:cs="Simplified Arabic"/>
          <w:sz w:val="28"/>
          <w:szCs w:val="28"/>
          <w:lang w:bidi="ar-EG"/>
        </w:rPr>
      </w:pPr>
      <w:r w:rsidRPr="008D5B1D">
        <w:rPr>
          <w:rFonts w:ascii="Simplified Arabic" w:hAnsi="Simplified Arabic" w:cs="Simplified Arabic"/>
          <w:sz w:val="28"/>
          <w:szCs w:val="28"/>
          <w:rtl/>
          <w:lang w:bidi="ar-EG"/>
        </w:rPr>
        <w:t xml:space="preserve">وضع سيناريوهات مستقبلية للتعامل مع الأزمات الطارئة التي تؤثر على أوضاع المالية العامة سواء كانت صدمات اقتصادية أو سياسية وتكون معلنة ويتم التدريب على تنفيذها حال وقوع أي أزمات مستقبلية لتقليل أثر </w:t>
      </w:r>
      <w:r w:rsidRPr="008D5B1D">
        <w:rPr>
          <w:rFonts w:ascii="Simplified Arabic" w:eastAsia="Times New Roman" w:hAnsi="Simplified Arabic" w:cs="Simplified Arabic"/>
          <w:sz w:val="28"/>
          <w:szCs w:val="28"/>
          <w:rtl/>
        </w:rPr>
        <w:t>تلك</w:t>
      </w:r>
      <w:r w:rsidRPr="008D5B1D">
        <w:rPr>
          <w:rFonts w:ascii="Simplified Arabic" w:hAnsi="Simplified Arabic" w:cs="Simplified Arabic"/>
          <w:sz w:val="28"/>
          <w:szCs w:val="28"/>
          <w:rtl/>
          <w:lang w:bidi="ar-EG"/>
        </w:rPr>
        <w:t xml:space="preserve"> الصدمات على المالية العامة.</w:t>
      </w:r>
    </w:p>
    <w:p w14:paraId="4E29F939" w14:textId="77777777" w:rsidR="002959BC" w:rsidRPr="008D5B1D" w:rsidRDefault="002959BC" w:rsidP="002959BC">
      <w:pPr>
        <w:pStyle w:val="ListParagraph"/>
        <w:spacing w:after="0" w:line="240" w:lineRule="auto"/>
        <w:ind w:left="283"/>
        <w:contextualSpacing w:val="0"/>
        <w:jc w:val="both"/>
        <w:rPr>
          <w:rFonts w:ascii="Simplified Arabic" w:eastAsia="Times New Roman" w:hAnsi="Simplified Arabic" w:cs="Simplified Arabic"/>
          <w:sz w:val="28"/>
          <w:szCs w:val="28"/>
          <w:rtl/>
        </w:rPr>
      </w:pPr>
    </w:p>
    <w:p w14:paraId="3B4AD341" w14:textId="77777777" w:rsidR="002959BC" w:rsidRPr="008D5B1D" w:rsidRDefault="002959BC" w:rsidP="0041332D">
      <w:pPr>
        <w:pStyle w:val="ListParagraph"/>
        <w:numPr>
          <w:ilvl w:val="0"/>
          <w:numId w:val="1"/>
        </w:numPr>
        <w:spacing w:after="0" w:line="240" w:lineRule="auto"/>
        <w:ind w:left="283" w:hanging="240"/>
        <w:contextualSpacing w:val="0"/>
        <w:jc w:val="both"/>
        <w:rPr>
          <w:rFonts w:ascii="Simplified Arabic" w:hAnsi="Simplified Arabic" w:cs="Simplified Arabic"/>
          <w:sz w:val="28"/>
          <w:szCs w:val="28"/>
          <w:lang w:bidi="ar-EG"/>
        </w:rPr>
      </w:pPr>
      <w:r w:rsidRPr="008D5B1D">
        <w:rPr>
          <w:rFonts w:ascii="Simplified Arabic" w:hAnsi="Simplified Arabic" w:cs="Simplified Arabic"/>
          <w:sz w:val="28"/>
          <w:szCs w:val="28"/>
          <w:rtl/>
          <w:lang w:bidi="ar-EG"/>
        </w:rPr>
        <w:t xml:space="preserve">توظيف الاستثمارات الحكومية في مكانها الصحيح وهي القطاعات المتعلقة بالأمن القومي، وتلك التي لا يستثمر فيها القطاع الخاص، وعدم الاستثمار في كافة القطاعات الإنتاجية التي يعمل بها القطاع الخاص لأن تلك الاستثمارات الحكومية قد تُشكل عائقاً أمام نمو القطاع الخاص الذي لن يغامر بالدخول </w:t>
      </w:r>
      <w:r w:rsidRPr="008D5B1D">
        <w:rPr>
          <w:rFonts w:ascii="Simplified Arabic" w:hAnsi="Simplified Arabic" w:cs="Simplified Arabic"/>
          <w:sz w:val="28"/>
          <w:szCs w:val="28"/>
          <w:rtl/>
          <w:lang w:bidi="ar-EG"/>
        </w:rPr>
        <w:lastRenderedPageBreak/>
        <w:t xml:space="preserve">في منافسة مع الحكومة، لأن ذلك يشجع الاستثمارات الخاصة ويحقق نمواً أعلى للناتج المحلي الإجمالي نظراً لما يتمتع به القطاع الخاص من كفاءة التشغيل وارتفاع العائد. </w:t>
      </w:r>
    </w:p>
    <w:p w14:paraId="40972C65" w14:textId="77777777" w:rsidR="002959BC" w:rsidRPr="008D5B1D" w:rsidRDefault="002959BC" w:rsidP="002959BC">
      <w:pPr>
        <w:pStyle w:val="ListParagraph"/>
        <w:spacing w:after="0" w:line="240" w:lineRule="auto"/>
        <w:contextualSpacing w:val="0"/>
        <w:jc w:val="both"/>
        <w:rPr>
          <w:rFonts w:ascii="Simplified Arabic" w:hAnsi="Simplified Arabic" w:cs="Simplified Arabic"/>
          <w:sz w:val="28"/>
          <w:szCs w:val="28"/>
          <w:rtl/>
          <w:lang w:bidi="ar-EG"/>
        </w:rPr>
      </w:pPr>
    </w:p>
    <w:p w14:paraId="028EF8FC" w14:textId="77777777" w:rsidR="002959BC" w:rsidRPr="008D5B1D" w:rsidRDefault="002959BC" w:rsidP="0041332D">
      <w:pPr>
        <w:pStyle w:val="ListParagraph"/>
        <w:numPr>
          <w:ilvl w:val="0"/>
          <w:numId w:val="1"/>
        </w:numPr>
        <w:spacing w:after="0" w:line="240" w:lineRule="auto"/>
        <w:ind w:left="283" w:hanging="240"/>
        <w:contextualSpacing w:val="0"/>
        <w:jc w:val="both"/>
        <w:rPr>
          <w:rFonts w:ascii="Simplified Arabic" w:hAnsi="Simplified Arabic" w:cs="Simplified Arabic"/>
          <w:sz w:val="28"/>
          <w:szCs w:val="28"/>
          <w:lang w:bidi="ar-EG"/>
        </w:rPr>
      </w:pPr>
      <w:r w:rsidRPr="008D5B1D">
        <w:rPr>
          <w:rFonts w:ascii="Simplified Arabic" w:hAnsi="Simplified Arabic" w:cs="Simplified Arabic"/>
          <w:sz w:val="28"/>
          <w:szCs w:val="28"/>
          <w:rtl/>
          <w:lang w:bidi="ar-EG"/>
        </w:rPr>
        <w:t>إجراء دراسات الجدوى للمشروعات التي تنفذها أو تساهم فيها الدولة من خلال الموازنة العامة للدولة والتأكد من مردودها الاقتصادي، نظراً لأن تلك المشروعات إن لم تأتي بالعائد المرجو منها، فسوف تساهم في تفاقم العجز المالي.</w:t>
      </w:r>
    </w:p>
    <w:p w14:paraId="41F28A4D" w14:textId="77777777" w:rsidR="002959BC" w:rsidRPr="008D5B1D" w:rsidRDefault="002959BC" w:rsidP="002959BC">
      <w:pPr>
        <w:pStyle w:val="ListParagraph"/>
        <w:spacing w:after="0" w:line="240" w:lineRule="auto"/>
        <w:contextualSpacing w:val="0"/>
        <w:jc w:val="both"/>
        <w:rPr>
          <w:rFonts w:ascii="Simplified Arabic" w:hAnsi="Simplified Arabic" w:cs="Simplified Arabic"/>
          <w:sz w:val="28"/>
          <w:szCs w:val="28"/>
          <w:rtl/>
          <w:lang w:bidi="ar-EG"/>
        </w:rPr>
      </w:pPr>
    </w:p>
    <w:p w14:paraId="10B09301" w14:textId="77777777" w:rsidR="002959BC" w:rsidRPr="008D5B1D" w:rsidRDefault="002959BC" w:rsidP="0041332D">
      <w:pPr>
        <w:pStyle w:val="ListParagraph"/>
        <w:numPr>
          <w:ilvl w:val="0"/>
          <w:numId w:val="1"/>
        </w:numPr>
        <w:spacing w:after="0" w:line="240" w:lineRule="auto"/>
        <w:ind w:left="283" w:hanging="240"/>
        <w:contextualSpacing w:val="0"/>
        <w:jc w:val="both"/>
        <w:rPr>
          <w:rFonts w:ascii="Simplified Arabic" w:hAnsi="Simplified Arabic" w:cs="Simplified Arabic"/>
          <w:sz w:val="28"/>
          <w:szCs w:val="28"/>
          <w:lang w:bidi="ar-EG"/>
        </w:rPr>
      </w:pPr>
      <w:r w:rsidRPr="008D5B1D">
        <w:rPr>
          <w:rFonts w:ascii="Simplified Arabic" w:hAnsi="Simplified Arabic" w:cs="Simplified Arabic"/>
          <w:sz w:val="28"/>
          <w:szCs w:val="28"/>
          <w:rtl/>
          <w:lang w:bidi="ar-EG"/>
        </w:rPr>
        <w:t>التوقف عن إصدار القرارات الإدارية الخاصة بزيادة بنود الأجور أو الدعم، وأن لا يتم أي زيادات في تلك البنود أو غيرها من بنود الموازنة العامة إلا بموافقة المسئولين عن وضع السياسة المالية للدولة، وبالشكل الذي يحقق تحسن في مؤشرات الاقتصاد الكلي.</w:t>
      </w:r>
    </w:p>
    <w:p w14:paraId="61044E79" w14:textId="77777777" w:rsidR="002959BC" w:rsidRPr="008D5B1D" w:rsidRDefault="002959BC" w:rsidP="002959BC">
      <w:pPr>
        <w:pStyle w:val="ListParagraph"/>
        <w:spacing w:after="0" w:line="240" w:lineRule="auto"/>
        <w:contextualSpacing w:val="0"/>
        <w:jc w:val="both"/>
        <w:rPr>
          <w:rFonts w:ascii="Simplified Arabic" w:hAnsi="Simplified Arabic" w:cs="Simplified Arabic"/>
          <w:sz w:val="28"/>
          <w:szCs w:val="28"/>
          <w:rtl/>
          <w:lang w:bidi="ar-EG"/>
        </w:rPr>
      </w:pPr>
    </w:p>
    <w:p w14:paraId="7D43723D" w14:textId="77777777" w:rsidR="002959BC" w:rsidRPr="008D5B1D" w:rsidRDefault="002959BC" w:rsidP="0041332D">
      <w:pPr>
        <w:pStyle w:val="ListParagraph"/>
        <w:numPr>
          <w:ilvl w:val="0"/>
          <w:numId w:val="1"/>
        </w:numPr>
        <w:spacing w:after="0" w:line="240" w:lineRule="auto"/>
        <w:ind w:left="283" w:hanging="240"/>
        <w:contextualSpacing w:val="0"/>
        <w:jc w:val="both"/>
        <w:rPr>
          <w:rFonts w:ascii="Simplified Arabic" w:hAnsi="Simplified Arabic" w:cs="Simplified Arabic"/>
          <w:sz w:val="28"/>
          <w:szCs w:val="28"/>
          <w:lang w:bidi="ar-EG"/>
        </w:rPr>
      </w:pPr>
      <w:r w:rsidRPr="008D5B1D">
        <w:rPr>
          <w:rFonts w:ascii="Simplified Arabic" w:hAnsi="Simplified Arabic" w:cs="Simplified Arabic"/>
          <w:sz w:val="28"/>
          <w:szCs w:val="28"/>
          <w:rtl/>
          <w:lang w:bidi="ar-EG"/>
        </w:rPr>
        <w:t xml:space="preserve">الإسراع بتطوير منظومة الضرائب وميكنتها حتى تضمن القضاء على التهرب الضريبي ودمج الاقتصاد غير الرسمي في الاقتصاد الرسمي، وبما يضمن أيضاً تحقق مطالب الأطراف ذات المصلحة من </w:t>
      </w:r>
      <w:r w:rsidRPr="008D5B1D">
        <w:rPr>
          <w:rFonts w:ascii="Simplified Arabic" w:eastAsia="Times New Roman" w:hAnsi="Simplified Arabic" w:cs="Simplified Arabic"/>
          <w:sz w:val="28"/>
          <w:szCs w:val="28"/>
          <w:rtl/>
        </w:rPr>
        <w:t>المتعاملين</w:t>
      </w:r>
      <w:r w:rsidRPr="008D5B1D">
        <w:rPr>
          <w:rFonts w:ascii="Simplified Arabic" w:hAnsi="Simplified Arabic" w:cs="Simplified Arabic"/>
          <w:sz w:val="28"/>
          <w:szCs w:val="28"/>
          <w:rtl/>
          <w:lang w:bidi="ar-EG"/>
        </w:rPr>
        <w:t xml:space="preserve"> مع مصلحة الضرائب.</w:t>
      </w:r>
    </w:p>
    <w:p w14:paraId="1F8278C9" w14:textId="77777777" w:rsidR="002959BC" w:rsidRPr="008D5B1D" w:rsidRDefault="002959BC" w:rsidP="002959BC">
      <w:pPr>
        <w:pStyle w:val="ListParagraph"/>
        <w:spacing w:after="0" w:line="240" w:lineRule="auto"/>
        <w:contextualSpacing w:val="0"/>
        <w:jc w:val="both"/>
        <w:rPr>
          <w:rFonts w:ascii="Simplified Arabic" w:hAnsi="Simplified Arabic" w:cs="Simplified Arabic"/>
          <w:sz w:val="28"/>
          <w:szCs w:val="28"/>
          <w:rtl/>
          <w:lang w:bidi="ar-EG"/>
        </w:rPr>
      </w:pPr>
    </w:p>
    <w:p w14:paraId="6B607CC7" w14:textId="77777777" w:rsidR="002959BC" w:rsidRPr="008D5B1D" w:rsidRDefault="002959BC" w:rsidP="0041332D">
      <w:pPr>
        <w:pStyle w:val="ListParagraph"/>
        <w:numPr>
          <w:ilvl w:val="0"/>
          <w:numId w:val="1"/>
        </w:numPr>
        <w:spacing w:after="0" w:line="240" w:lineRule="auto"/>
        <w:ind w:left="283" w:hanging="240"/>
        <w:contextualSpacing w:val="0"/>
        <w:jc w:val="both"/>
        <w:rPr>
          <w:rFonts w:ascii="Simplified Arabic" w:hAnsi="Simplified Arabic" w:cs="Simplified Arabic"/>
          <w:sz w:val="28"/>
          <w:szCs w:val="28"/>
          <w:lang w:bidi="ar-EG"/>
        </w:rPr>
      </w:pPr>
      <w:r w:rsidRPr="008D5B1D">
        <w:rPr>
          <w:rFonts w:ascii="Simplified Arabic" w:hAnsi="Simplified Arabic" w:cs="Simplified Arabic"/>
          <w:sz w:val="28"/>
          <w:szCs w:val="28"/>
          <w:rtl/>
          <w:lang w:bidi="ar-EG"/>
        </w:rPr>
        <w:t xml:space="preserve">التوقف عن استخدام التمويل المصرفي نظراً لتأثيره الضار على زيادة معدلات التضخم، وكذا التوقف عن الاقتراض </w:t>
      </w:r>
      <w:r w:rsidRPr="008D5B1D">
        <w:rPr>
          <w:rFonts w:ascii="Simplified Arabic" w:eastAsia="Times New Roman" w:hAnsi="Simplified Arabic" w:cs="Simplified Arabic"/>
          <w:sz w:val="28"/>
          <w:szCs w:val="28"/>
          <w:rtl/>
        </w:rPr>
        <w:t>الخارجي</w:t>
      </w:r>
      <w:r w:rsidRPr="008D5B1D">
        <w:rPr>
          <w:rFonts w:ascii="Simplified Arabic" w:hAnsi="Simplified Arabic" w:cs="Simplified Arabic"/>
          <w:sz w:val="28"/>
          <w:szCs w:val="28"/>
          <w:rtl/>
          <w:lang w:bidi="ar-EG"/>
        </w:rPr>
        <w:t xml:space="preserve"> نظراً لارتفاع الديون الخارجية في الفترة الأخيرة الأمر الذي يؤثر سلباً على ميزان المدفوعات وأسعار الصرف، كما أن الفوائد </w:t>
      </w:r>
      <w:r w:rsidRPr="008D5B1D">
        <w:rPr>
          <w:rFonts w:ascii="Simplified Arabic" w:eastAsia="Times New Roman" w:hAnsi="Simplified Arabic" w:cs="Simplified Arabic"/>
          <w:sz w:val="28"/>
          <w:szCs w:val="28"/>
          <w:rtl/>
        </w:rPr>
        <w:t>تستحوذ على نسبة كبيرة من إجمالي النفقات العامة، وهو ما يضع قيداً شديداً على حرية الحركة في إدارة المالية العامة</w:t>
      </w:r>
      <w:r w:rsidRPr="008D5B1D">
        <w:rPr>
          <w:rFonts w:ascii="Simplified Arabic" w:hAnsi="Simplified Arabic" w:cs="Simplified Arabic"/>
          <w:sz w:val="28"/>
          <w:szCs w:val="28"/>
          <w:rtl/>
          <w:lang w:bidi="ar-EG"/>
        </w:rPr>
        <w:t>.</w:t>
      </w:r>
    </w:p>
    <w:p w14:paraId="6F9FBC40" w14:textId="77777777" w:rsidR="002959BC" w:rsidRPr="008D5B1D" w:rsidRDefault="002959BC" w:rsidP="002959BC">
      <w:pPr>
        <w:pStyle w:val="ListParagraph"/>
        <w:spacing w:after="0" w:line="240" w:lineRule="auto"/>
        <w:contextualSpacing w:val="0"/>
        <w:jc w:val="both"/>
        <w:rPr>
          <w:rFonts w:ascii="Simplified Arabic" w:hAnsi="Simplified Arabic" w:cs="Simplified Arabic"/>
          <w:sz w:val="28"/>
          <w:szCs w:val="28"/>
          <w:rtl/>
          <w:lang w:bidi="ar-EG"/>
        </w:rPr>
      </w:pPr>
    </w:p>
    <w:p w14:paraId="5E05DB0F" w14:textId="77777777" w:rsidR="002959BC" w:rsidRPr="008D5B1D" w:rsidRDefault="002959BC" w:rsidP="0041332D">
      <w:pPr>
        <w:pStyle w:val="ListParagraph"/>
        <w:numPr>
          <w:ilvl w:val="0"/>
          <w:numId w:val="1"/>
        </w:numPr>
        <w:spacing w:after="0" w:line="240" w:lineRule="auto"/>
        <w:ind w:left="283" w:hanging="240"/>
        <w:contextualSpacing w:val="0"/>
        <w:jc w:val="both"/>
        <w:rPr>
          <w:rFonts w:ascii="Simplified Arabic" w:eastAsia="Times New Roman" w:hAnsi="Simplified Arabic" w:cs="Simplified Arabic"/>
          <w:sz w:val="28"/>
          <w:szCs w:val="28"/>
        </w:rPr>
      </w:pPr>
      <w:r w:rsidRPr="008D5B1D">
        <w:rPr>
          <w:rFonts w:ascii="Simplified Arabic" w:hAnsi="Simplified Arabic" w:cs="Simplified Arabic"/>
          <w:sz w:val="28"/>
          <w:szCs w:val="28"/>
          <w:rtl/>
          <w:lang w:bidi="ar-EG"/>
        </w:rPr>
        <w:t xml:space="preserve">التمويل المحلي غير المصرفي لعجز الموازنة العامة يعد وسيلة فعالة لتجنب التضخم والأزمات الخارجية، ويلزم ذلك توسيع قاعدة المتعاملين في الأذون والسندات الحكومية من خلال طرحها بالأسواق </w:t>
      </w:r>
      <w:r w:rsidRPr="008D5B1D">
        <w:rPr>
          <w:rFonts w:ascii="Simplified Arabic" w:eastAsia="Times New Roman" w:hAnsi="Simplified Arabic" w:cs="Simplified Arabic"/>
          <w:sz w:val="28"/>
          <w:szCs w:val="28"/>
          <w:rtl/>
        </w:rPr>
        <w:t>المالية</w:t>
      </w:r>
      <w:r w:rsidRPr="008D5B1D">
        <w:rPr>
          <w:rFonts w:ascii="Simplified Arabic" w:hAnsi="Simplified Arabic" w:cs="Simplified Arabic"/>
          <w:sz w:val="28"/>
          <w:szCs w:val="28"/>
          <w:rtl/>
          <w:lang w:bidi="ar-EG"/>
        </w:rPr>
        <w:t>، على أن يقتصر استخدامها على تمويل المشروعات العامة، ويستخدم العائد من تلك المشروعات لسداد الأصل والعائد على تلك الأذون والسندات.</w:t>
      </w:r>
    </w:p>
    <w:p w14:paraId="21B1B960" w14:textId="77777777" w:rsidR="002959BC" w:rsidRPr="008D5B1D" w:rsidRDefault="002959BC" w:rsidP="002959BC">
      <w:pPr>
        <w:pStyle w:val="ListParagraph"/>
        <w:spacing w:after="0" w:line="240" w:lineRule="auto"/>
        <w:contextualSpacing w:val="0"/>
        <w:jc w:val="both"/>
        <w:rPr>
          <w:rFonts w:ascii="Simplified Arabic" w:hAnsi="Simplified Arabic" w:cs="Simplified Arabic"/>
          <w:sz w:val="28"/>
          <w:szCs w:val="28"/>
          <w:rtl/>
          <w:lang w:bidi="ar-EG"/>
        </w:rPr>
      </w:pPr>
    </w:p>
    <w:p w14:paraId="3A215312" w14:textId="77777777" w:rsidR="002959BC" w:rsidRPr="008D5B1D" w:rsidRDefault="002959BC" w:rsidP="0041332D">
      <w:pPr>
        <w:pStyle w:val="ListParagraph"/>
        <w:numPr>
          <w:ilvl w:val="0"/>
          <w:numId w:val="1"/>
        </w:numPr>
        <w:spacing w:after="0" w:line="240" w:lineRule="auto"/>
        <w:ind w:left="283" w:hanging="240"/>
        <w:contextualSpacing w:val="0"/>
        <w:jc w:val="both"/>
        <w:rPr>
          <w:rFonts w:ascii="Simplified Arabic" w:eastAsia="Times New Roman" w:hAnsi="Simplified Arabic" w:cs="Simplified Arabic"/>
          <w:sz w:val="28"/>
          <w:szCs w:val="28"/>
        </w:rPr>
      </w:pPr>
      <w:r w:rsidRPr="008D5B1D">
        <w:rPr>
          <w:rFonts w:ascii="Simplified Arabic" w:hAnsi="Simplified Arabic" w:cs="Simplified Arabic"/>
          <w:sz w:val="28"/>
          <w:szCs w:val="28"/>
          <w:rtl/>
          <w:lang w:bidi="ar-EG"/>
        </w:rPr>
        <w:t xml:space="preserve">التوسع في استخدام الصيغ التمويلية المختلفة لتمويل الاستثمارات الحكومية بدلاً من التمويل من خلال الموازنة </w:t>
      </w:r>
      <w:r w:rsidRPr="008D5B1D">
        <w:rPr>
          <w:rFonts w:ascii="Simplified Arabic" w:eastAsia="Times New Roman" w:hAnsi="Simplified Arabic" w:cs="Simplified Arabic"/>
          <w:sz w:val="28"/>
          <w:szCs w:val="28"/>
          <w:rtl/>
        </w:rPr>
        <w:t>العامة</w:t>
      </w:r>
      <w:r w:rsidRPr="008D5B1D">
        <w:rPr>
          <w:rFonts w:ascii="Simplified Arabic" w:hAnsi="Simplified Arabic" w:cs="Simplified Arabic"/>
          <w:sz w:val="28"/>
          <w:szCs w:val="28"/>
          <w:rtl/>
          <w:lang w:bidi="ar-EG"/>
        </w:rPr>
        <w:t xml:space="preserve"> للدولة مثل التمويل من خلال الشراكة مع القطاع الخاص، والصكوك، وغيرها من وسائل التمويل، مع التزام الحكومة بضمان أموال المشاركين في تلك المشروعات وتعويض</w:t>
      </w:r>
      <w:r w:rsidRPr="008D5B1D">
        <w:rPr>
          <w:rFonts w:ascii="Simplified Arabic" w:hAnsi="Simplified Arabic" w:cs="Simplified Arabic"/>
          <w:sz w:val="28"/>
          <w:szCs w:val="28"/>
          <w:rtl/>
        </w:rPr>
        <w:t xml:space="preserve"> أي خسائر ناجمة عن مشاركتهم في تلك المشروعات.</w:t>
      </w:r>
    </w:p>
    <w:p w14:paraId="2B7CA00C" w14:textId="77777777" w:rsidR="002959BC" w:rsidRPr="008D5B1D" w:rsidRDefault="002959BC" w:rsidP="002959BC">
      <w:pPr>
        <w:pStyle w:val="ListParagraph"/>
        <w:spacing w:after="0" w:line="240" w:lineRule="auto"/>
        <w:contextualSpacing w:val="0"/>
        <w:jc w:val="both"/>
        <w:rPr>
          <w:rFonts w:ascii="Simplified Arabic" w:hAnsi="Simplified Arabic" w:cs="Simplified Arabic"/>
          <w:sz w:val="28"/>
          <w:szCs w:val="28"/>
          <w:rtl/>
          <w:lang w:bidi="ar-EG"/>
        </w:rPr>
      </w:pPr>
    </w:p>
    <w:p w14:paraId="6714C346" w14:textId="77777777" w:rsidR="002959BC" w:rsidRPr="008D5B1D" w:rsidRDefault="002959BC" w:rsidP="0041332D">
      <w:pPr>
        <w:pStyle w:val="ListParagraph"/>
        <w:numPr>
          <w:ilvl w:val="0"/>
          <w:numId w:val="1"/>
        </w:numPr>
        <w:spacing w:after="0" w:line="240" w:lineRule="auto"/>
        <w:ind w:left="283" w:hanging="240"/>
        <w:contextualSpacing w:val="0"/>
        <w:jc w:val="both"/>
        <w:rPr>
          <w:rFonts w:ascii="Simplified Arabic" w:hAnsi="Simplified Arabic" w:cs="Simplified Arabic"/>
          <w:sz w:val="28"/>
          <w:szCs w:val="28"/>
          <w:lang w:bidi="ar-EG"/>
        </w:rPr>
      </w:pPr>
      <w:r w:rsidRPr="008D5B1D">
        <w:rPr>
          <w:rFonts w:ascii="Simplified Arabic" w:hAnsi="Simplified Arabic" w:cs="Simplified Arabic"/>
          <w:sz w:val="28"/>
          <w:szCs w:val="28"/>
          <w:rtl/>
          <w:lang w:bidi="ar-EG"/>
        </w:rPr>
        <w:lastRenderedPageBreak/>
        <w:t xml:space="preserve">استحداث وسائل تمويلية – وبخاصة صيغ التمويل الإسلامية – حيث أنها سوف تكون مصدر جذب كبير </w:t>
      </w:r>
      <w:r w:rsidRPr="008D5B1D">
        <w:rPr>
          <w:rFonts w:ascii="Simplified Arabic" w:eastAsia="Times New Roman" w:hAnsi="Simplified Arabic" w:cs="Simplified Arabic"/>
          <w:sz w:val="28"/>
          <w:szCs w:val="28"/>
          <w:rtl/>
        </w:rPr>
        <w:t>للمواطنين</w:t>
      </w:r>
      <w:r w:rsidRPr="008D5B1D">
        <w:rPr>
          <w:rFonts w:ascii="Simplified Arabic" w:hAnsi="Simplified Arabic" w:cs="Simplified Arabic"/>
          <w:sz w:val="28"/>
          <w:szCs w:val="28"/>
          <w:rtl/>
          <w:lang w:bidi="ar-EG"/>
        </w:rPr>
        <w:t xml:space="preserve"> للمشاركة في عملية تمويل التنمية في وفي ذات الوقت ستكون ذات عائد مالي للمشاركين فيها.</w:t>
      </w:r>
    </w:p>
    <w:p w14:paraId="2294493F" w14:textId="77777777" w:rsidR="002959BC" w:rsidRPr="008D5B1D" w:rsidRDefault="002959BC" w:rsidP="002959BC">
      <w:pPr>
        <w:pStyle w:val="ListParagraph"/>
        <w:spacing w:after="0" w:line="240" w:lineRule="auto"/>
        <w:contextualSpacing w:val="0"/>
        <w:jc w:val="both"/>
        <w:rPr>
          <w:rFonts w:ascii="Simplified Arabic" w:hAnsi="Simplified Arabic" w:cs="Simplified Arabic"/>
          <w:sz w:val="28"/>
          <w:szCs w:val="28"/>
          <w:rtl/>
          <w:lang w:bidi="ar-EG"/>
        </w:rPr>
      </w:pPr>
    </w:p>
    <w:p w14:paraId="2DCAB02F" w14:textId="77777777" w:rsidR="002959BC" w:rsidRPr="008D5B1D" w:rsidRDefault="002959BC" w:rsidP="0041332D">
      <w:pPr>
        <w:pStyle w:val="ListParagraph"/>
        <w:numPr>
          <w:ilvl w:val="0"/>
          <w:numId w:val="1"/>
        </w:numPr>
        <w:spacing w:after="0" w:line="240" w:lineRule="auto"/>
        <w:ind w:left="283" w:hanging="240"/>
        <w:contextualSpacing w:val="0"/>
        <w:jc w:val="both"/>
        <w:rPr>
          <w:rFonts w:ascii="Simplified Arabic" w:hAnsi="Simplified Arabic" w:cs="Simplified Arabic"/>
          <w:sz w:val="28"/>
          <w:szCs w:val="28"/>
          <w:rtl/>
          <w:lang w:bidi="ar-EG"/>
        </w:rPr>
      </w:pPr>
      <w:r w:rsidRPr="008D5B1D">
        <w:rPr>
          <w:rFonts w:ascii="Simplified Arabic" w:hAnsi="Simplified Arabic" w:cs="Simplified Arabic"/>
          <w:sz w:val="28"/>
          <w:szCs w:val="28"/>
          <w:rtl/>
          <w:lang w:bidi="ar-EG"/>
        </w:rPr>
        <w:t xml:space="preserve">استحداث آلية لاستطلاع آراء المواطنين في المشروعات التي تنفذها الدولة والتي تتطلب أعباء مالية يمكن للمواطنين المشاركة في تحمل جزء كبير منها، إذا ما تم أخذ آراؤهم بعين الاعتبار عند إنشاء تلك </w:t>
      </w:r>
      <w:r w:rsidRPr="008D5B1D">
        <w:rPr>
          <w:rFonts w:ascii="Simplified Arabic" w:eastAsia="Times New Roman" w:hAnsi="Simplified Arabic" w:cs="Simplified Arabic"/>
          <w:sz w:val="28"/>
          <w:szCs w:val="28"/>
          <w:rtl/>
        </w:rPr>
        <w:t>المشروعات</w:t>
      </w:r>
      <w:r w:rsidRPr="008D5B1D">
        <w:rPr>
          <w:rFonts w:ascii="Simplified Arabic" w:hAnsi="Simplified Arabic" w:cs="Simplified Arabic"/>
          <w:sz w:val="28"/>
          <w:szCs w:val="28"/>
          <w:rtl/>
          <w:lang w:bidi="ar-EG"/>
        </w:rPr>
        <w:t xml:space="preserve"> وشرح مردودها على المجتمع وعلى المساهمين فيها.</w:t>
      </w:r>
    </w:p>
    <w:p w14:paraId="14013ABC" w14:textId="46CE349F" w:rsidR="002959BC" w:rsidRDefault="002959BC">
      <w:pPr>
        <w:bidi w:val="0"/>
        <w:spacing w:after="160" w:line="259" w:lineRule="auto"/>
        <w:rPr>
          <w:rtl/>
          <w:lang w:bidi="ar-EG"/>
        </w:rPr>
      </w:pPr>
      <w:r>
        <w:rPr>
          <w:rtl/>
          <w:lang w:bidi="ar-EG"/>
        </w:rPr>
        <w:br w:type="page"/>
      </w:r>
    </w:p>
    <w:p w14:paraId="240ADC91" w14:textId="77777777" w:rsidR="002959BC" w:rsidRPr="00726E27" w:rsidRDefault="002959BC" w:rsidP="002959BC">
      <w:pPr>
        <w:shd w:val="clear" w:color="auto" w:fill="FFFFFF" w:themeFill="background1"/>
        <w:bidi w:val="0"/>
        <w:jc w:val="both"/>
        <w:rPr>
          <w:rFonts w:ascii="Simplified Arabic" w:hAnsi="Simplified Arabic" w:cs="Simplified Arabic"/>
          <w:color w:val="FFFFFF" w:themeColor="background1"/>
          <w:sz w:val="28"/>
          <w:szCs w:val="28"/>
          <w:u w:val="single"/>
          <w:rtl/>
          <w:lang w:bidi="ar-EG"/>
        </w:rPr>
      </w:pPr>
      <w:r w:rsidRPr="00726E27">
        <w:rPr>
          <w:rFonts w:ascii="Simplified Arabic" w:hAnsi="Simplified Arabic" w:cs="Simplified Arabic"/>
          <w:color w:val="FF0000"/>
          <w:sz w:val="28"/>
          <w:szCs w:val="28"/>
          <w:rtl/>
        </w:rPr>
        <w:lastRenderedPageBreak/>
        <mc:AlternateContent>
          <mc:Choice Requires="wps">
            <w:drawing>
              <wp:anchor distT="0" distB="0" distL="114300" distR="114300" simplePos="0" relativeHeight="251723776" behindDoc="0" locked="0" layoutInCell="1" allowOverlap="1" wp14:anchorId="1AC4C240" wp14:editId="095CDECE">
                <wp:simplePos x="0" y="0"/>
                <wp:positionH relativeFrom="margin">
                  <wp:align>center</wp:align>
                </wp:positionH>
                <wp:positionV relativeFrom="margin">
                  <wp:align>center</wp:align>
                </wp:positionV>
                <wp:extent cx="5370830" cy="612250"/>
                <wp:effectExtent l="0" t="0" r="39370" b="54610"/>
                <wp:wrapNone/>
                <wp:docPr id="151"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0830" cy="612250"/>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082AC13C" w14:textId="77777777" w:rsidR="00270E6A" w:rsidRPr="00726E27" w:rsidRDefault="00270E6A" w:rsidP="002959BC">
                            <w:pPr>
                              <w:jc w:val="center"/>
                              <w:rPr>
                                <w:rFonts w:ascii="Simplified Arabic" w:hAnsi="Simplified Arabic" w:cs="Simplified Arabic"/>
                                <w:b/>
                                <w:bCs/>
                                <w:color w:val="222A35" w:themeColor="text2" w:themeShade="80"/>
                                <w:sz w:val="32"/>
                                <w:szCs w:val="32"/>
                                <w:lang w:bidi="ar-EG"/>
                              </w:rPr>
                            </w:pPr>
                            <w:r w:rsidRPr="00726E27">
                              <w:rPr>
                                <w:rFonts w:ascii="Simplified Arabic" w:hAnsi="Simplified Arabic" w:cs="Simplified Arabic"/>
                                <w:b/>
                                <w:bCs/>
                                <w:color w:val="222A35" w:themeColor="text2" w:themeShade="80"/>
                                <w:sz w:val="32"/>
                                <w:szCs w:val="32"/>
                                <w:rtl/>
                                <w:lang w:bidi="ar-EG"/>
                              </w:rPr>
                              <w:t xml:space="preserve">المـراجـــــع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C4C240" id="_x0000_s1137" style="position:absolute;left:0;text-align:left;margin-left:0;margin-top:0;width:422.9pt;height:48.2pt;z-index:251723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" fillcolor="white [3201]" strokecolor="#c9c9c9 [1942]" strokeweight="1pt">
                <v:fill color2="#dbdbdb [1302]" focus="100%" type="gradient"/>
                <v:shadow on="t" color="#525252 [1606]" opacity=".5" offset="1pt"/>
                <v:textbox>
                  <w:txbxContent>
                    <w:p w14:paraId="082AC13C" w14:textId="77777777" w:rsidR="00270E6A" w:rsidRPr="00726E27" w:rsidRDefault="00270E6A" w:rsidP="002959BC">
                      <w:pPr>
                        <w:jc w:val="center"/>
                        <w:rPr>
                          <w:rFonts w:ascii="Simplified Arabic" w:hAnsi="Simplified Arabic" w:cs="Simplified Arabic"/>
                          <w:b/>
                          <w:bCs/>
                          <w:color w:val="222A35" w:themeColor="text2" w:themeShade="80"/>
                          <w:sz w:val="32"/>
                          <w:szCs w:val="32"/>
                          <w:lang w:bidi="ar-EG"/>
                        </w:rPr>
                      </w:pPr>
                      <w:r w:rsidRPr="00726E27">
                        <w:rPr>
                          <w:rFonts w:ascii="Simplified Arabic" w:hAnsi="Simplified Arabic" w:cs="Simplified Arabic"/>
                          <w:b/>
                          <w:bCs/>
                          <w:color w:val="222A35" w:themeColor="text2" w:themeShade="80"/>
                          <w:sz w:val="32"/>
                          <w:szCs w:val="32"/>
                          <w:rtl/>
                          <w:lang w:bidi="ar-EG"/>
                        </w:rPr>
                        <w:t xml:space="preserve">المـراجـــــع </w:t>
                      </w:r>
                    </w:p>
                  </w:txbxContent>
                </v:textbox>
                <w10:wrap anchorx="margin" anchory="margin"/>
              </v:roundrect>
            </w:pict>
          </mc:Fallback>
        </mc:AlternateContent>
      </w:r>
      <w:r w:rsidRPr="00726E27">
        <w:rPr>
          <w:rFonts w:ascii="Simplified Arabic" w:hAnsi="Simplified Arabic" w:cs="Simplified Arabic"/>
          <w:color w:val="FFFFFF" w:themeColor="background1"/>
          <w:sz w:val="28"/>
          <w:szCs w:val="28"/>
          <w:u w:val="single"/>
          <w:rtl/>
          <w:lang w:bidi="ar-EG"/>
        </w:rPr>
        <w:br w:type="page"/>
      </w:r>
    </w:p>
    <w:p w14:paraId="4FBC7C9E" w14:textId="77777777" w:rsidR="002959BC" w:rsidRPr="00726E27" w:rsidRDefault="002959BC" w:rsidP="002959BC">
      <w:pPr>
        <w:tabs>
          <w:tab w:val="left" w:pos="832"/>
          <w:tab w:val="center" w:pos="4535"/>
        </w:tabs>
        <w:jc w:val="center"/>
        <w:rPr>
          <w:rFonts w:ascii="Simplified Arabic" w:hAnsi="Simplified Arabic" w:cs="Simplified Arabic"/>
          <w:b/>
          <w:bCs/>
          <w:sz w:val="32"/>
          <w:szCs w:val="32"/>
          <w:u w:val="single"/>
          <w:lang w:bidi="ar-EG"/>
        </w:rPr>
      </w:pPr>
      <w:r w:rsidRPr="00726E27">
        <w:rPr>
          <w:rFonts w:ascii="Simplified Arabic" w:hAnsi="Simplified Arabic" w:cs="Simplified Arabic"/>
          <w:b/>
          <w:bCs/>
          <w:sz w:val="32"/>
          <w:szCs w:val="32"/>
          <w:u w:val="single"/>
          <w:rtl/>
          <w:lang w:bidi="ar-EG"/>
        </w:rPr>
        <w:lastRenderedPageBreak/>
        <w:t>أولاً: المراجع العربية:</w:t>
      </w:r>
    </w:p>
    <w:p w14:paraId="0D05A05A" w14:textId="77777777" w:rsidR="002959BC" w:rsidRPr="00726E27" w:rsidRDefault="002959BC" w:rsidP="002959BC">
      <w:pPr>
        <w:jc w:val="both"/>
        <w:rPr>
          <w:rFonts w:ascii="Simplified Arabic" w:hAnsi="Simplified Arabic" w:cs="Simplified Arabic"/>
          <w:b/>
          <w:bCs/>
          <w:sz w:val="30"/>
          <w:szCs w:val="30"/>
          <w:u w:val="single"/>
          <w:rtl/>
          <w:lang w:bidi="ar-EG"/>
        </w:rPr>
      </w:pPr>
      <w:r w:rsidRPr="00726E27">
        <w:rPr>
          <w:rFonts w:ascii="Simplified Arabic" w:hAnsi="Simplified Arabic" w:cs="Simplified Arabic"/>
          <w:b/>
          <w:bCs/>
          <w:sz w:val="30"/>
          <w:szCs w:val="30"/>
          <w:u w:val="single"/>
          <w:rtl/>
          <w:lang w:bidi="ar-EG"/>
        </w:rPr>
        <w:t>أ- الكتب العلمية:</w:t>
      </w:r>
    </w:p>
    <w:p w14:paraId="2BE56634" w14:textId="77777777" w:rsidR="002959BC"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أحمد، عبد الرحمن يسري (1981). التنمية الاقتصادية والاجتماعية في الإسلام. مؤسسة شباب الجامعة. الإسكندرية.</w:t>
      </w:r>
    </w:p>
    <w:p w14:paraId="1A8E93A3" w14:textId="77777777" w:rsidR="002959BC"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 xml:space="preserve">أحمد، فايز عبد الهادي (بدون)، مبادئ الاقتصاد الكلي. الأكاديمية الحديثة. القاهرة. </w:t>
      </w:r>
    </w:p>
    <w:p w14:paraId="6AC29746" w14:textId="77777777" w:rsidR="002959BC" w:rsidRDefault="002959BC" w:rsidP="0041332D">
      <w:pPr>
        <w:pStyle w:val="ListParagraph"/>
        <w:numPr>
          <w:ilvl w:val="0"/>
          <w:numId w:val="40"/>
        </w:numPr>
        <w:spacing w:after="0" w:line="240" w:lineRule="auto"/>
        <w:ind w:left="568" w:hanging="284"/>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 xml:space="preserve">أمين، جلال (2012). قصة الاقتصاد المصري: من عهد محمد علي إلى عهد مبارك. دار الشروق. القاهرة. </w:t>
      </w:r>
    </w:p>
    <w:p w14:paraId="46324813" w14:textId="77777777" w:rsidR="002959BC"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 xml:space="preserve">بخيت، حسين علي؛ فتح الله، سحر (2006). الاقتصاد القياسي. </w:t>
      </w:r>
    </w:p>
    <w:p w14:paraId="1203CD1C"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البواب، سيد (2000). عجز الموازنة العامة للدولة: النظرية والصراع الفكري للمذاهب الاقتصادية ومناهج العلاج. القاهرة.</w:t>
      </w:r>
    </w:p>
    <w:p w14:paraId="36E0543C" w14:textId="77777777" w:rsidR="002959BC" w:rsidRDefault="002959BC" w:rsidP="0041332D">
      <w:pPr>
        <w:pStyle w:val="ListParagraph"/>
        <w:numPr>
          <w:ilvl w:val="0"/>
          <w:numId w:val="40"/>
        </w:numPr>
        <w:spacing w:after="0" w:line="240" w:lineRule="auto"/>
        <w:ind w:left="568" w:hanging="284"/>
        <w:contextualSpacing w:val="0"/>
        <w:jc w:val="both"/>
        <w:rPr>
          <w:rFonts w:ascii="Simplified Arabic" w:hAnsi="Simplified Arabic" w:cs="Simplified Arabic"/>
          <w:sz w:val="28"/>
          <w:szCs w:val="28"/>
        </w:rPr>
      </w:pPr>
      <w:r w:rsidRPr="001E4FC5">
        <w:rPr>
          <w:rFonts w:ascii="Simplified Arabic" w:hAnsi="Simplified Arabic" w:cs="Simplified Arabic"/>
          <w:sz w:val="28"/>
          <w:szCs w:val="28"/>
          <w:rtl/>
        </w:rPr>
        <w:t xml:space="preserve">الجنابي، نبيل مهدي (2017). التوقعات العقلانية: المدخل الحديث لنظرية الاقتصاد الكلي. دار غيداء للنشر والتوزيع. </w:t>
      </w:r>
    </w:p>
    <w:p w14:paraId="570C49F4"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tl/>
        </w:rPr>
      </w:pPr>
      <w:r w:rsidRPr="00726E27">
        <w:rPr>
          <w:rFonts w:ascii="Simplified Arabic" w:hAnsi="Simplified Arabic" w:cs="Simplified Arabic"/>
          <w:sz w:val="28"/>
          <w:szCs w:val="28"/>
          <w:rtl/>
        </w:rPr>
        <w:t xml:space="preserve">جوجارت، دامودار(2015)؛ ترجمة ومراجعة: هند عبد الغفار عودة. الاقتصاد القياسي. الجزء الثاني. درا المريخ للنشر. </w:t>
      </w:r>
    </w:p>
    <w:p w14:paraId="0D7DEC69" w14:textId="77777777" w:rsidR="002959BC"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حسين، رحيم (2013) تحليل ظاهرة التضخم: أي تفسير لأي اقتصاد؟. جامعة جيجل. كلية العلوم الاقتصادية والتجارية وعلوم التسيير. الملتقى الوطني الثاني حول التضخم في الجزائر.</w:t>
      </w:r>
    </w:p>
    <w:p w14:paraId="32E338A9" w14:textId="77777777" w:rsidR="002959BC" w:rsidRPr="00726E27" w:rsidRDefault="002959BC" w:rsidP="0041332D">
      <w:pPr>
        <w:pStyle w:val="ListParagraph"/>
        <w:numPr>
          <w:ilvl w:val="0"/>
          <w:numId w:val="40"/>
        </w:numPr>
        <w:spacing w:after="0" w:line="240" w:lineRule="auto"/>
        <w:ind w:left="568" w:hanging="284"/>
        <w:contextualSpacing w:val="0"/>
        <w:jc w:val="both"/>
        <w:rPr>
          <w:rFonts w:ascii="Simplified Arabic" w:hAnsi="Simplified Arabic" w:cs="Simplified Arabic"/>
          <w:sz w:val="28"/>
          <w:szCs w:val="28"/>
          <w:rtl/>
        </w:rPr>
      </w:pPr>
      <w:r w:rsidRPr="00726E27">
        <w:rPr>
          <w:rFonts w:ascii="Simplified Arabic" w:hAnsi="Simplified Arabic" w:cs="Simplified Arabic"/>
          <w:sz w:val="28"/>
          <w:szCs w:val="28"/>
          <w:rtl/>
        </w:rPr>
        <w:t>الخطيب، فاروق بن صالح؛ دياب، عبد العزيز بن أحمد (1435 هـ). دراسات متقدمة في النظرية الاقتصادية الكلية. جامعة الملك عبد العزيز. السعودية.</w:t>
      </w:r>
    </w:p>
    <w:p w14:paraId="52016DEE"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 xml:space="preserve">دراز، حامد عبد الحميد (2000). مبادرة المالية: القروض العامة. الدار الجامعية. القاهرة. </w:t>
      </w:r>
    </w:p>
    <w:p w14:paraId="1BE328B1"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زكي، رمزي (1980). مشكلة التضخم في مصر: أسبابها ونتائجها مع برنامج مقترح لمكافحة الغلاء. الهيئة المصرية العامة للكتاب. القاهرة.</w:t>
      </w:r>
    </w:p>
    <w:p w14:paraId="749CD0FC" w14:textId="77777777" w:rsidR="002959BC"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زكي، رمزي (1991). محنة الديون وسياسات التحرر في دول العالم الثالث. دار العالم الثالث للطباعة والنشر. القاهرة.</w:t>
      </w:r>
      <w:r>
        <w:rPr>
          <w:rFonts w:ascii="Simplified Arabic" w:hAnsi="Simplified Arabic" w:cs="Simplified Arabic" w:hint="cs"/>
          <w:sz w:val="28"/>
          <w:szCs w:val="28"/>
          <w:rtl/>
        </w:rPr>
        <w:t xml:space="preserve">  </w:t>
      </w:r>
    </w:p>
    <w:p w14:paraId="3F0A46B6"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زكي، رمزي. (1994) الاحتياطيات الدولية والأزمة الاقتصادية في الدول النامية مع إشارة خاصة بالاقتصاد المصري. دار المستقبل العربي. القاهرة.</w:t>
      </w:r>
    </w:p>
    <w:p w14:paraId="08479501" w14:textId="77777777" w:rsidR="002959BC"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شيخي، محمد (2011). طرق الاقتصاد القياسي: محاضرات وتطبيقات. دار الحامد للنشر. الجزائر.</w:t>
      </w:r>
    </w:p>
    <w:p w14:paraId="3D2BF585" w14:textId="77777777" w:rsidR="002959BC" w:rsidRPr="00726E27" w:rsidRDefault="002959BC" w:rsidP="0041332D">
      <w:pPr>
        <w:pStyle w:val="ListParagraph"/>
        <w:numPr>
          <w:ilvl w:val="0"/>
          <w:numId w:val="40"/>
        </w:numPr>
        <w:spacing w:after="0" w:line="240" w:lineRule="auto"/>
        <w:ind w:left="568" w:hanging="284"/>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 xml:space="preserve">الصالح، ناصر عبد الله؛ السيراني، محمد محمود (2014). الجغرافيا الكمية والإحصائية: أسس وتطبيقات بالأساليب الحاسوبية الحديثة. العبيكان للنشر. </w:t>
      </w:r>
    </w:p>
    <w:p w14:paraId="5A76C4F5" w14:textId="77777777" w:rsidR="002959BC"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صقر، صقر أحمد (1983). النظرية الاقتصادية الكلية. وكالة المطبوعات. الكويت.</w:t>
      </w:r>
    </w:p>
    <w:p w14:paraId="196EDC73"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 xml:space="preserve">عامر، عادل (2016)، دور الدولة في تحقيق التوازن الاقتصادي وفي ظل الاقتصاد الحر. حروف منثورة للنشر الإلكتروني. </w:t>
      </w:r>
    </w:p>
    <w:p w14:paraId="4D0BDB67"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tl/>
        </w:rPr>
      </w:pPr>
      <w:r w:rsidRPr="00726E27">
        <w:rPr>
          <w:rFonts w:ascii="Simplified Arabic" w:hAnsi="Simplified Arabic" w:cs="Simplified Arabic"/>
          <w:sz w:val="28"/>
          <w:szCs w:val="28"/>
          <w:rtl/>
        </w:rPr>
        <w:lastRenderedPageBreak/>
        <w:t xml:space="preserve">عبد العزيز، بركات (2014). مقدمة في التحليل الإحصائي لبحوث الإعلام. الدار المصرية اللبنانية. </w:t>
      </w:r>
    </w:p>
    <w:p w14:paraId="5AECDE06"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 xml:space="preserve">عبد المعطي، علاء إبراهيم (2016). أذون وسندات الخزانة العامة: دراسة مقارنة. دار الفكر والقانون للنشر والتوزيع. المنصورة. </w:t>
      </w:r>
    </w:p>
    <w:p w14:paraId="4C0E83B1" w14:textId="77777777" w:rsidR="002959BC"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 xml:space="preserve">عثمان، محمد عثمان (2016). التنمية العادلة: النمو الاقتصادي – توزيع الدخل – مشكلة الفقر. روابط للنشر وتقنية المعلومات. </w:t>
      </w:r>
    </w:p>
    <w:p w14:paraId="63DEEC46" w14:textId="77777777" w:rsidR="002959BC"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 xml:space="preserve">عطية، عبد القادر محمد عبد القادر (2014). الحديث في الاقتصاد القياسي بين النظرية والتطبيق. الدار الجامعية. الإسكندرية. </w:t>
      </w:r>
    </w:p>
    <w:p w14:paraId="7A1B2480"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 xml:space="preserve">العيسوي، إبراهيم (1993)، التشابكات بين توزيع الدخل والنمو الاقتصادي في سياق التنمية الاقتصادية في مصر. ندوة الاقتصاد السياسي لتوزيع الدخل في مصر. تحرير د. جودة عبد الخالق. الهيئة المصرية العامة للكتاب. </w:t>
      </w:r>
    </w:p>
    <w:p w14:paraId="7E5431FD" w14:textId="77777777" w:rsidR="002959BC"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 xml:space="preserve">العيسوي، إبراهيم (2007)، الاقتصاد المصري في ثلاثين عاماً: تحليل التطورات الاقتصادية الكلية منذ 1974 وبيان تداعياتها الاجتماعية، مع تصور لنموذج تنموي بديل. المكتبة الأكاديمية. القاهرة. </w:t>
      </w:r>
    </w:p>
    <w:p w14:paraId="7F0EC1E6" w14:textId="77777777" w:rsidR="002959BC" w:rsidRPr="00726E27" w:rsidRDefault="002959BC" w:rsidP="0041332D">
      <w:pPr>
        <w:pStyle w:val="ListParagraph"/>
        <w:numPr>
          <w:ilvl w:val="0"/>
          <w:numId w:val="40"/>
        </w:numPr>
        <w:spacing w:after="0" w:line="240" w:lineRule="auto"/>
        <w:ind w:left="568" w:hanging="284"/>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 xml:space="preserve">القاضي، حسن محمد (2014). الإدارة المالية العامة. الأكاديميون للنشر والتوزيع. </w:t>
      </w:r>
    </w:p>
    <w:p w14:paraId="743192A8" w14:textId="77777777" w:rsidR="002959BC"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القطاربي، محمد ضيف الله (2011). دور السياسة النقدية في الاستقرار والتنمية الاقتصادية: نظرية تحليلية - قياسية. دار غيداء للنشر والتوزيع.</w:t>
      </w:r>
    </w:p>
    <w:p w14:paraId="2CD42BD9" w14:textId="77777777" w:rsidR="002959BC"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لحسن، دردوري؛ الأخضر، لقليطي (2018)، أساسيات المالية العامة. دار حميثرا للنشر والترجمة.</w:t>
      </w:r>
    </w:p>
    <w:p w14:paraId="62A2DE33"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 xml:space="preserve">محمود، حامد محمود (2017). الاقتصاد الكلي. دار حميثرا للنشر والترجمة. </w:t>
      </w:r>
    </w:p>
    <w:p w14:paraId="1D33377A"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tl/>
        </w:rPr>
      </w:pPr>
      <w:r w:rsidRPr="00726E27">
        <w:rPr>
          <w:rFonts w:ascii="Simplified Arabic" w:hAnsi="Simplified Arabic" w:cs="Simplified Arabic"/>
          <w:sz w:val="28"/>
          <w:szCs w:val="28"/>
          <w:rtl/>
        </w:rPr>
        <w:t xml:space="preserve">مسعود، محمد رشدي إبراهيم (2010). توحيد العملات النقدية وأثره في اقتصاد الدول المتقدمة والنامية: دراسة مقارنة بين الاقتصاد الوضعي والاقتصاد الإسلامي. در النشر للجامعات. </w:t>
      </w:r>
    </w:p>
    <w:p w14:paraId="50E3FAD7" w14:textId="77777777" w:rsidR="002959BC"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 xml:space="preserve">مقلد، رمضان محمد؛ نعمة الله، أحمد رمضان؛ القفاش، سحر عبد الرؤوف (2009). مبادئ الاقتصاد الكلي. قسم الاقتصاد كلية التجارة جامعة الإسكندرية. </w:t>
      </w:r>
    </w:p>
    <w:p w14:paraId="551AFACC" w14:textId="77777777" w:rsidR="002959BC" w:rsidRPr="00726E27" w:rsidRDefault="002959BC" w:rsidP="002959BC">
      <w:pPr>
        <w:pStyle w:val="ListParagraph"/>
        <w:spacing w:after="0" w:line="240" w:lineRule="auto"/>
        <w:ind w:left="566"/>
        <w:contextualSpacing w:val="0"/>
        <w:jc w:val="both"/>
        <w:rPr>
          <w:rFonts w:ascii="Simplified Arabic" w:hAnsi="Simplified Arabic" w:cs="Simplified Arabic"/>
          <w:sz w:val="28"/>
          <w:szCs w:val="28"/>
          <w:rtl/>
        </w:rPr>
      </w:pPr>
    </w:p>
    <w:p w14:paraId="07144525" w14:textId="77777777" w:rsidR="002959BC" w:rsidRPr="00726E27" w:rsidRDefault="002959BC" w:rsidP="002959BC">
      <w:pPr>
        <w:jc w:val="both"/>
        <w:rPr>
          <w:rFonts w:ascii="Simplified Arabic" w:hAnsi="Simplified Arabic" w:cs="Simplified Arabic"/>
          <w:b/>
          <w:bCs/>
          <w:sz w:val="30"/>
          <w:szCs w:val="30"/>
          <w:u w:val="single"/>
          <w:rtl/>
          <w:lang w:bidi="ar-EG"/>
        </w:rPr>
      </w:pPr>
      <w:r w:rsidRPr="00726E27">
        <w:rPr>
          <w:rFonts w:ascii="Simplified Arabic" w:hAnsi="Simplified Arabic" w:cs="Simplified Arabic"/>
          <w:b/>
          <w:bCs/>
          <w:sz w:val="30"/>
          <w:szCs w:val="30"/>
          <w:u w:val="single"/>
          <w:rtl/>
          <w:lang w:bidi="ar-EG"/>
        </w:rPr>
        <w:t>ب-  الدوريات العلمية:</w:t>
      </w:r>
    </w:p>
    <w:p w14:paraId="2FAD5889" w14:textId="77777777" w:rsidR="002959BC" w:rsidRPr="00726E27" w:rsidRDefault="002959BC" w:rsidP="0041332D">
      <w:pPr>
        <w:pStyle w:val="ListParagraph"/>
        <w:numPr>
          <w:ilvl w:val="0"/>
          <w:numId w:val="40"/>
        </w:numPr>
        <w:spacing w:after="0" w:line="240" w:lineRule="auto"/>
        <w:ind w:left="568" w:hanging="284"/>
        <w:contextualSpacing w:val="0"/>
        <w:jc w:val="both"/>
        <w:rPr>
          <w:rFonts w:ascii="Simplified Arabic" w:hAnsi="Simplified Arabic" w:cs="Simplified Arabic"/>
          <w:sz w:val="28"/>
          <w:szCs w:val="28"/>
          <w:rtl/>
        </w:rPr>
      </w:pPr>
      <w:r w:rsidRPr="00726E27">
        <w:rPr>
          <w:rFonts w:ascii="Simplified Arabic" w:hAnsi="Simplified Arabic" w:cs="Simplified Arabic"/>
          <w:sz w:val="28"/>
          <w:szCs w:val="28"/>
          <w:rtl/>
        </w:rPr>
        <w:t xml:space="preserve">أبو العينين، سهير (أبريل 1995). مؤشرات التضخم في الاقتصاد المصري في فترة الثمانينات وبداية التسعينات. معهد التخطيط القومي. مذكرة خارجية رقم (1585). </w:t>
      </w:r>
    </w:p>
    <w:p w14:paraId="282A4D2C" w14:textId="77777777" w:rsidR="002959BC" w:rsidRPr="00726E27" w:rsidRDefault="002959BC" w:rsidP="0041332D">
      <w:pPr>
        <w:pStyle w:val="ListParagraph"/>
        <w:numPr>
          <w:ilvl w:val="0"/>
          <w:numId w:val="40"/>
        </w:numPr>
        <w:spacing w:after="0" w:line="240" w:lineRule="auto"/>
        <w:ind w:left="568" w:hanging="284"/>
        <w:contextualSpacing w:val="0"/>
        <w:jc w:val="both"/>
        <w:rPr>
          <w:rFonts w:ascii="Simplified Arabic" w:hAnsi="Simplified Arabic" w:cs="Simplified Arabic"/>
          <w:sz w:val="28"/>
          <w:szCs w:val="28"/>
          <w:rtl/>
        </w:rPr>
      </w:pPr>
      <w:r w:rsidRPr="00726E27">
        <w:rPr>
          <w:rFonts w:ascii="Simplified Arabic" w:hAnsi="Simplified Arabic" w:cs="Simplified Arabic"/>
          <w:sz w:val="28"/>
          <w:szCs w:val="28"/>
          <w:rtl/>
        </w:rPr>
        <w:t xml:space="preserve">أمانيان، أرفند سوبر (أكتوبر 1997). تجربة مصر في الاستقرار الاقتصادي: دراسة تحليلية لاحقة. المركز المصري للدراسات الاقتصادية. ورقة عمل رقم 18. </w:t>
      </w:r>
    </w:p>
    <w:p w14:paraId="79DF5CCF" w14:textId="77777777" w:rsidR="002959BC"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الجهاز المركزي للتعبئة العامة والإحصاء (2021). النشرة الشهرية للأرقام القياسية لأسعار المستهلكين يناير 2021. القاهرة.</w:t>
      </w:r>
    </w:p>
    <w:p w14:paraId="08F86A83"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tl/>
        </w:rPr>
      </w:pPr>
      <w:r w:rsidRPr="00726E27">
        <w:rPr>
          <w:rFonts w:ascii="Simplified Arabic" w:hAnsi="Simplified Arabic" w:cs="Simplified Arabic"/>
          <w:sz w:val="28"/>
          <w:szCs w:val="28"/>
          <w:rtl/>
        </w:rPr>
        <w:t>راشد، منير (1998). تصميم برامج الاستقرار والتصحيح الاقتصادي، صندوق النقد العربي، معهد السياسات الاقتصادية. أبو ظبي.</w:t>
      </w:r>
    </w:p>
    <w:p w14:paraId="3D1ADA10"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tl/>
        </w:rPr>
      </w:pPr>
      <w:r w:rsidRPr="00726E27">
        <w:rPr>
          <w:rFonts w:ascii="Simplified Arabic" w:hAnsi="Simplified Arabic" w:cs="Simplified Arabic"/>
          <w:sz w:val="28"/>
          <w:szCs w:val="28"/>
          <w:rtl/>
        </w:rPr>
        <w:lastRenderedPageBreak/>
        <w:t xml:space="preserve">صندوق النقد الدولي (1995). إدارة الشئون المالية. مبادئ إرشادية للتصحيح المالي. سلسلة كتيبات رقم (49) واشنطن. </w:t>
      </w:r>
    </w:p>
    <w:p w14:paraId="4A2C73AD"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 xml:space="preserve">صندوق النقد الدولي (مارس 2010). مجلة التمويل والتنمية. عودة إلى الأسس: ما هو التضخم. </w:t>
      </w:r>
    </w:p>
    <w:p w14:paraId="265E81DA"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طالب، زياد عزالدين طه ، عبد الله، كيلان إسماعيل (2015). التأصيل الفكري للنظريات المفسرة لظاهرة التضخم والآثار المتوقعة منها: مع إشارة إلى واقع التضخم في الاقتصاد العراقي للمدة 2003-2013. جامعة تكريت. كلية الإدارة والاقتصاد، مجلة تكريت للعلوم الإدارية والاقتصادية. المجلد 11. العدد 33. السنة 2015.</w:t>
      </w:r>
    </w:p>
    <w:p w14:paraId="12A83F0C" w14:textId="77777777" w:rsidR="002959BC"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 xml:space="preserve">عثمان نقار، منذر العواد (2012). استخدام نماذج </w:t>
      </w:r>
      <w:r w:rsidRPr="00726E27">
        <w:rPr>
          <w:rFonts w:ascii="Simplified Arabic" w:hAnsi="Simplified Arabic" w:cs="Simplified Arabic"/>
          <w:sz w:val="28"/>
          <w:szCs w:val="28"/>
        </w:rPr>
        <w:t>var</w:t>
      </w:r>
      <w:r w:rsidRPr="00726E27">
        <w:rPr>
          <w:rFonts w:ascii="Simplified Arabic" w:hAnsi="Simplified Arabic" w:cs="Simplified Arabic"/>
          <w:sz w:val="28"/>
          <w:szCs w:val="28"/>
          <w:rtl/>
        </w:rPr>
        <w:t xml:space="preserve"> في التنبؤ ودراسة العلاقة السببية بين إجمالي الناتج المحلي وإجمال التكوين الرأسمالي في سورية، مجلة جامعة دمشق للعلوم الاقتصادية والقانونية. المجلد 28. العدد الثاني 2012 كلية الاقتصاد. جامعة دمشق. </w:t>
      </w:r>
    </w:p>
    <w:p w14:paraId="5B876156"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الغالبي، كريم سالم حسين، الإنفاق الحكومي واختبار قانون فاجنر (</w:t>
      </w:r>
      <w:r w:rsidRPr="00726E27">
        <w:rPr>
          <w:rFonts w:ascii="Simplified Arabic" w:hAnsi="Simplified Arabic" w:cs="Simplified Arabic"/>
          <w:sz w:val="28"/>
          <w:szCs w:val="28"/>
        </w:rPr>
        <w:t>Wagner’s law</w:t>
      </w:r>
      <w:r w:rsidRPr="00726E27">
        <w:rPr>
          <w:rFonts w:ascii="Simplified Arabic" w:hAnsi="Simplified Arabic" w:cs="Simplified Arabic"/>
          <w:sz w:val="28"/>
          <w:szCs w:val="28"/>
          <w:rtl/>
        </w:rPr>
        <w:t>)</w:t>
      </w:r>
      <w:r w:rsidRPr="00726E27">
        <w:rPr>
          <w:rFonts w:ascii="Simplified Arabic" w:hAnsi="Simplified Arabic" w:cs="Simplified Arabic"/>
          <w:sz w:val="28"/>
          <w:szCs w:val="28"/>
        </w:rPr>
        <w:t xml:space="preserve"> </w:t>
      </w:r>
      <w:r w:rsidRPr="00726E27">
        <w:rPr>
          <w:rFonts w:ascii="Simplified Arabic" w:hAnsi="Simplified Arabic" w:cs="Simplified Arabic"/>
          <w:sz w:val="28"/>
          <w:szCs w:val="28"/>
          <w:rtl/>
        </w:rPr>
        <w:t xml:space="preserve">في العراق للمدة (1975- 2010): تحليل قياسي. الغربي للعلوم الاقتصادية والإدارية. السنة الثامنة. العدد الخامس والعشرون.  جامعة القادسية. كلية الإدارة والاقتصاد. </w:t>
      </w:r>
    </w:p>
    <w:p w14:paraId="73ADFFFF"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tl/>
        </w:rPr>
      </w:pPr>
      <w:r w:rsidRPr="00726E27">
        <w:rPr>
          <w:rFonts w:ascii="Simplified Arabic" w:hAnsi="Simplified Arabic" w:cs="Simplified Arabic"/>
          <w:sz w:val="28"/>
          <w:szCs w:val="28"/>
          <w:rtl/>
        </w:rPr>
        <w:t>معتوق، سهير محمود (1990). سياسة التمويل التضخمي ومدى فاعليتها في السنوات التسعينية. المؤتمر العلمي السنوي الخامس عشر للاقتصاديين المصريين: السياسات الاقتصادية لمصر في التسعينات. الجمعية المصرية للاقتصاد السياسي والإحصاء والتشريع. القاهرة.</w:t>
      </w:r>
    </w:p>
    <w:p w14:paraId="7542DF15"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المركز المصري للدراسات الاقتصادية</w:t>
      </w:r>
      <w:r>
        <w:rPr>
          <w:rFonts w:ascii="Simplified Arabic" w:hAnsi="Simplified Arabic" w:cs="Simplified Arabic" w:hint="cs"/>
          <w:sz w:val="28"/>
          <w:szCs w:val="28"/>
          <w:rtl/>
        </w:rPr>
        <w:t>.</w:t>
      </w:r>
      <w:r w:rsidRPr="00726E27">
        <w:rPr>
          <w:rFonts w:ascii="Simplified Arabic" w:hAnsi="Simplified Arabic" w:cs="Simplified Arabic"/>
          <w:sz w:val="28"/>
          <w:szCs w:val="28"/>
          <w:rtl/>
        </w:rPr>
        <w:t xml:space="preserve"> رأي في أزمة: الاقتصاد غير الرسمي.. العدد 7. بتاريخ 6-4-2020.</w:t>
      </w:r>
    </w:p>
    <w:p w14:paraId="217515CD"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وزارة المالية (2016). دليل تصنيف الموازنة العامة للدولة في جمهورية مصر العربية: وفقاً لإحصاءات مالية الحكومة لعام 2001. القاهرة.</w:t>
      </w:r>
    </w:p>
    <w:p w14:paraId="23D225FA"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tl/>
        </w:rPr>
      </w:pPr>
      <w:r w:rsidRPr="00726E27">
        <w:rPr>
          <w:rFonts w:ascii="Simplified Arabic" w:hAnsi="Simplified Arabic" w:cs="Simplified Arabic"/>
          <w:sz w:val="28"/>
          <w:szCs w:val="28"/>
          <w:rtl/>
        </w:rPr>
        <w:t>وزارة المالية، دراسة</w:t>
      </w:r>
      <w:r w:rsidRPr="00726E27">
        <w:rPr>
          <w:rFonts w:ascii="Simplified Arabic" w:hAnsi="Simplified Arabic" w:cs="Simplified Arabic"/>
          <w:sz w:val="28"/>
          <w:szCs w:val="28"/>
        </w:rPr>
        <w:t xml:space="preserve"> </w:t>
      </w:r>
      <w:r w:rsidRPr="00726E27">
        <w:rPr>
          <w:rFonts w:ascii="Simplified Arabic" w:hAnsi="Simplified Arabic" w:cs="Simplified Arabic"/>
          <w:sz w:val="28"/>
          <w:szCs w:val="28"/>
          <w:rtl/>
        </w:rPr>
        <w:t>عن تطور</w:t>
      </w:r>
      <w:r w:rsidRPr="00726E27">
        <w:rPr>
          <w:rFonts w:ascii="Simplified Arabic" w:hAnsi="Simplified Arabic" w:cs="Simplified Arabic"/>
          <w:sz w:val="28"/>
          <w:szCs w:val="28"/>
        </w:rPr>
        <w:t xml:space="preserve"> </w:t>
      </w:r>
      <w:r w:rsidRPr="00726E27">
        <w:rPr>
          <w:rFonts w:ascii="Simplified Arabic" w:hAnsi="Simplified Arabic" w:cs="Simplified Arabic"/>
          <w:sz w:val="28"/>
          <w:szCs w:val="28"/>
          <w:rtl/>
        </w:rPr>
        <w:t>عجز</w:t>
      </w:r>
      <w:r w:rsidRPr="00726E27">
        <w:rPr>
          <w:rFonts w:ascii="Simplified Arabic" w:hAnsi="Simplified Arabic" w:cs="Simplified Arabic"/>
          <w:sz w:val="28"/>
          <w:szCs w:val="28"/>
        </w:rPr>
        <w:t xml:space="preserve"> </w:t>
      </w:r>
      <w:r w:rsidRPr="00726E27">
        <w:rPr>
          <w:rFonts w:ascii="Simplified Arabic" w:hAnsi="Simplified Arabic" w:cs="Simplified Arabic"/>
          <w:sz w:val="28"/>
          <w:szCs w:val="28"/>
          <w:rtl/>
        </w:rPr>
        <w:t>الموازنة</w:t>
      </w:r>
      <w:r w:rsidRPr="00726E27">
        <w:rPr>
          <w:rFonts w:ascii="Simplified Arabic" w:hAnsi="Simplified Arabic" w:cs="Simplified Arabic"/>
          <w:sz w:val="28"/>
          <w:szCs w:val="28"/>
        </w:rPr>
        <w:t xml:space="preserve"> </w:t>
      </w:r>
      <w:r w:rsidRPr="00726E27">
        <w:rPr>
          <w:rFonts w:ascii="Simplified Arabic" w:hAnsi="Simplified Arabic" w:cs="Simplified Arabic"/>
          <w:sz w:val="28"/>
          <w:szCs w:val="28"/>
          <w:rtl/>
        </w:rPr>
        <w:t>العامة: الأسباب –الآثار – الحلول.</w:t>
      </w:r>
    </w:p>
    <w:p w14:paraId="5007ACC1" w14:textId="77777777" w:rsidR="002959BC"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وزارة المالية، البيان المالي الشهري. أعداد مختلفة.</w:t>
      </w:r>
    </w:p>
    <w:p w14:paraId="517B4626"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tl/>
        </w:rPr>
      </w:pPr>
      <w:r w:rsidRPr="00726E27">
        <w:rPr>
          <w:rFonts w:ascii="Simplified Arabic" w:hAnsi="Simplified Arabic" w:cs="Simplified Arabic"/>
          <w:sz w:val="28"/>
          <w:szCs w:val="28"/>
          <w:rtl/>
        </w:rPr>
        <w:t>يونس، إيهاب محمد (أبريل ۲۰۱۲). نحو رؤية لتشخيص وعلاج عجز الموازنة العامة في مصر. النهضة. المجلد</w:t>
      </w:r>
      <w:r w:rsidRPr="00726E27">
        <w:rPr>
          <w:rFonts w:ascii="Simplified Arabic" w:hAnsi="Simplified Arabic" w:cs="Simplified Arabic"/>
          <w:sz w:val="28"/>
          <w:szCs w:val="28"/>
        </w:rPr>
        <w:t xml:space="preserve"> </w:t>
      </w:r>
      <w:r w:rsidRPr="00726E27">
        <w:rPr>
          <w:rFonts w:ascii="Simplified Arabic" w:hAnsi="Simplified Arabic" w:cs="Simplified Arabic"/>
          <w:sz w:val="28"/>
          <w:szCs w:val="28"/>
          <w:rtl/>
        </w:rPr>
        <w:t>الثالث عشر. العدد الثاني.</w:t>
      </w:r>
    </w:p>
    <w:p w14:paraId="013EF813" w14:textId="77777777" w:rsidR="002959BC" w:rsidRDefault="002959BC" w:rsidP="002959BC">
      <w:pPr>
        <w:jc w:val="both"/>
        <w:rPr>
          <w:rFonts w:ascii="Simplified Arabic" w:hAnsi="Simplified Arabic" w:cs="Simplified Arabic"/>
          <w:b/>
          <w:bCs/>
          <w:sz w:val="30"/>
          <w:szCs w:val="30"/>
          <w:u w:val="single"/>
          <w:rtl/>
          <w:lang w:bidi="ar-EG"/>
        </w:rPr>
      </w:pPr>
    </w:p>
    <w:p w14:paraId="67BFA354" w14:textId="77777777" w:rsidR="002959BC" w:rsidRDefault="002959BC" w:rsidP="002959BC">
      <w:pPr>
        <w:jc w:val="both"/>
        <w:rPr>
          <w:rFonts w:ascii="Simplified Arabic" w:hAnsi="Simplified Arabic" w:cs="Simplified Arabic"/>
          <w:b/>
          <w:bCs/>
          <w:sz w:val="30"/>
          <w:szCs w:val="30"/>
          <w:u w:val="single"/>
          <w:rtl/>
          <w:lang w:bidi="ar-EG"/>
        </w:rPr>
      </w:pPr>
    </w:p>
    <w:p w14:paraId="3DE9B0B9" w14:textId="77777777" w:rsidR="002959BC" w:rsidRDefault="002959BC" w:rsidP="002959BC">
      <w:pPr>
        <w:jc w:val="both"/>
        <w:rPr>
          <w:rFonts w:ascii="Simplified Arabic" w:hAnsi="Simplified Arabic" w:cs="Simplified Arabic"/>
          <w:b/>
          <w:bCs/>
          <w:sz w:val="30"/>
          <w:szCs w:val="30"/>
          <w:u w:val="single"/>
          <w:rtl/>
          <w:lang w:bidi="ar-EG"/>
        </w:rPr>
      </w:pPr>
    </w:p>
    <w:p w14:paraId="492D7B07" w14:textId="77777777" w:rsidR="002959BC" w:rsidRPr="00726E27" w:rsidRDefault="002959BC" w:rsidP="002959BC">
      <w:pPr>
        <w:jc w:val="both"/>
        <w:rPr>
          <w:rFonts w:ascii="Simplified Arabic" w:hAnsi="Simplified Arabic" w:cs="Simplified Arabic"/>
          <w:b/>
          <w:bCs/>
          <w:sz w:val="30"/>
          <w:szCs w:val="30"/>
          <w:u w:val="single"/>
          <w:rtl/>
          <w:lang w:bidi="ar-EG"/>
        </w:rPr>
      </w:pPr>
      <w:r w:rsidRPr="00726E27">
        <w:rPr>
          <w:rFonts w:ascii="Simplified Arabic" w:hAnsi="Simplified Arabic" w:cs="Simplified Arabic"/>
          <w:b/>
          <w:bCs/>
          <w:sz w:val="30"/>
          <w:szCs w:val="30"/>
          <w:u w:val="single"/>
          <w:rtl/>
          <w:lang w:bidi="ar-EG"/>
        </w:rPr>
        <w:t>ج- الرسائل الجامعية:</w:t>
      </w:r>
    </w:p>
    <w:p w14:paraId="70D5A2DE" w14:textId="77777777" w:rsidR="002959BC" w:rsidRPr="00726E27" w:rsidRDefault="002959BC" w:rsidP="0041332D">
      <w:pPr>
        <w:pStyle w:val="ListParagraph"/>
        <w:numPr>
          <w:ilvl w:val="0"/>
          <w:numId w:val="40"/>
        </w:numPr>
        <w:spacing w:after="0" w:line="233" w:lineRule="auto"/>
        <w:ind w:left="568" w:hanging="284"/>
        <w:contextualSpacing w:val="0"/>
        <w:jc w:val="both"/>
        <w:rPr>
          <w:rFonts w:ascii="Simplified Arabic" w:hAnsi="Simplified Arabic" w:cs="Simplified Arabic"/>
          <w:sz w:val="28"/>
          <w:szCs w:val="28"/>
          <w:rtl/>
        </w:rPr>
      </w:pPr>
      <w:hyperlink r:id="rId51" w:history="1">
        <w:r w:rsidRPr="00726E27">
          <w:rPr>
            <w:rFonts w:ascii="Simplified Arabic" w:hAnsi="Simplified Arabic" w:cs="Simplified Arabic"/>
            <w:sz w:val="28"/>
            <w:szCs w:val="28"/>
            <w:rtl/>
          </w:rPr>
          <w:t xml:space="preserve"> إسماعيل،</w:t>
        </w:r>
      </w:hyperlink>
      <w:r w:rsidRPr="00726E27">
        <w:rPr>
          <w:rFonts w:ascii="Simplified Arabic" w:hAnsi="Simplified Arabic" w:cs="Simplified Arabic"/>
          <w:sz w:val="28"/>
          <w:szCs w:val="28"/>
          <w:rtl/>
        </w:rPr>
        <w:t xml:space="preserve"> عبد الرحيم بهجت محمود (2011). دور سوق المال في مواجهة عجز الموازنة العامة لمصر من 2000-2010. أطروحة (ماجستير) جامعة الدول العربية – المنظمة العربية للتربية والثقافة والعلوم - معهد البحوث والدراسات العربية. القاهرة.</w:t>
      </w:r>
    </w:p>
    <w:p w14:paraId="4ED60AFF" w14:textId="77777777" w:rsidR="002959BC" w:rsidRPr="00726E27" w:rsidRDefault="002959BC" w:rsidP="0041332D">
      <w:pPr>
        <w:pStyle w:val="ListParagraph"/>
        <w:numPr>
          <w:ilvl w:val="0"/>
          <w:numId w:val="40"/>
        </w:numPr>
        <w:spacing w:after="0" w:line="233" w:lineRule="auto"/>
        <w:ind w:left="568" w:hanging="284"/>
        <w:contextualSpacing w:val="0"/>
        <w:jc w:val="both"/>
        <w:rPr>
          <w:rFonts w:ascii="Simplified Arabic" w:hAnsi="Simplified Arabic" w:cs="Simplified Arabic"/>
          <w:sz w:val="28"/>
          <w:szCs w:val="28"/>
          <w:rtl/>
        </w:rPr>
      </w:pPr>
      <w:r w:rsidRPr="00726E27">
        <w:rPr>
          <w:rFonts w:ascii="Simplified Arabic" w:hAnsi="Simplified Arabic" w:cs="Simplified Arabic"/>
          <w:sz w:val="28"/>
          <w:szCs w:val="28"/>
          <w:rtl/>
        </w:rPr>
        <w:lastRenderedPageBreak/>
        <w:t>بكر، إلهام حسن عبد الرحمن (2015). تحليل دور السياسات المالية والنقدية في علاج مشكلة الركود التضخمي مع الإشارة إلى مصر خلال الفترة (1990-2010). أطروحة (ماجستير). جامعة دمنهور – كلية التجارة – قسم الاقتصاد</w:t>
      </w:r>
      <w:r>
        <w:rPr>
          <w:rFonts w:ascii="Simplified Arabic" w:hAnsi="Simplified Arabic" w:cs="Simplified Arabic" w:hint="cs"/>
          <w:sz w:val="28"/>
          <w:szCs w:val="28"/>
          <w:rtl/>
        </w:rPr>
        <w:t>.</w:t>
      </w:r>
    </w:p>
    <w:p w14:paraId="0470A54B" w14:textId="77777777" w:rsidR="002959BC" w:rsidRPr="00726E27" w:rsidRDefault="002959BC" w:rsidP="0041332D">
      <w:pPr>
        <w:pStyle w:val="ListParagraph"/>
        <w:numPr>
          <w:ilvl w:val="0"/>
          <w:numId w:val="40"/>
        </w:numPr>
        <w:spacing w:after="0" w:line="233" w:lineRule="auto"/>
        <w:ind w:left="568" w:hanging="284"/>
        <w:contextualSpacing w:val="0"/>
        <w:jc w:val="both"/>
        <w:rPr>
          <w:rFonts w:ascii="Simplified Arabic" w:hAnsi="Simplified Arabic" w:cs="Simplified Arabic"/>
          <w:sz w:val="28"/>
          <w:szCs w:val="28"/>
          <w:rtl/>
        </w:rPr>
      </w:pPr>
      <w:r w:rsidRPr="00726E27">
        <w:rPr>
          <w:rFonts w:ascii="Simplified Arabic" w:hAnsi="Simplified Arabic" w:cs="Simplified Arabic"/>
          <w:sz w:val="28"/>
          <w:szCs w:val="28"/>
          <w:rtl/>
        </w:rPr>
        <w:t>الحسيني، إسراء عادل السيد أحمد (2014). العلاقة بين مكونات السياسة المالية والنمو الاقتصادي: دراسة تطبيقية على الاقتصاد المصري. أطروحة (دكتوراة). كلية الاقتصاد والعلوم السياسية - جامعة القاهرة.</w:t>
      </w:r>
    </w:p>
    <w:p w14:paraId="7081DAC0" w14:textId="77777777" w:rsidR="002959BC" w:rsidRDefault="002959BC" w:rsidP="0041332D">
      <w:pPr>
        <w:pStyle w:val="ListParagraph"/>
        <w:numPr>
          <w:ilvl w:val="0"/>
          <w:numId w:val="40"/>
        </w:numPr>
        <w:spacing w:after="0" w:line="233" w:lineRule="auto"/>
        <w:ind w:left="568" w:hanging="284"/>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 xml:space="preserve">دبات، أمينة (2015). السياسة النقدية واستهداف التضخم بالجزائر. أطروحة (ماجستير). كلية العلوم الاقتصادية والتسيير والعلوم التجارية. جامعة أبي بكر بلقايد. الجزائر. </w:t>
      </w:r>
    </w:p>
    <w:p w14:paraId="40B1F3E8" w14:textId="77777777" w:rsidR="002959BC" w:rsidRPr="00726E27" w:rsidRDefault="002959BC" w:rsidP="0041332D">
      <w:pPr>
        <w:pStyle w:val="ListParagraph"/>
        <w:numPr>
          <w:ilvl w:val="0"/>
          <w:numId w:val="40"/>
        </w:numPr>
        <w:spacing w:after="0" w:line="233" w:lineRule="auto"/>
        <w:ind w:left="568" w:hanging="284"/>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الزهوى، حسين عبد المنعم حسين (2010). دراسة اقتصادية قياسية لمحددات التضخم في مصر خلال الفترة 1986 - 2006</w:t>
      </w:r>
      <w:hyperlink r:id="rId52" w:history="1"/>
      <w:r w:rsidRPr="00726E27">
        <w:rPr>
          <w:rFonts w:ascii="Simplified Arabic" w:hAnsi="Simplified Arabic" w:cs="Simplified Arabic"/>
          <w:sz w:val="28"/>
          <w:szCs w:val="28"/>
          <w:rtl/>
        </w:rPr>
        <w:t>. اطروحة (ماجستير) - جامعة القاهرة. كلية الاقتصاد والعلوم السياسية. قسم الاقتصاد.</w:t>
      </w:r>
    </w:p>
    <w:p w14:paraId="05E6E460" w14:textId="77777777" w:rsidR="002959BC" w:rsidRPr="00726E27" w:rsidRDefault="002959BC" w:rsidP="0041332D">
      <w:pPr>
        <w:pStyle w:val="ListParagraph"/>
        <w:numPr>
          <w:ilvl w:val="0"/>
          <w:numId w:val="40"/>
        </w:numPr>
        <w:spacing w:after="0" w:line="233" w:lineRule="auto"/>
        <w:ind w:left="568" w:hanging="284"/>
        <w:contextualSpacing w:val="0"/>
        <w:jc w:val="both"/>
        <w:rPr>
          <w:rFonts w:ascii="Simplified Arabic" w:hAnsi="Simplified Arabic" w:cs="Simplified Arabic"/>
          <w:sz w:val="28"/>
          <w:szCs w:val="28"/>
        </w:rPr>
      </w:pPr>
      <w:hyperlink r:id="rId53" w:history="1">
        <w:r w:rsidRPr="00726E27">
          <w:rPr>
            <w:rFonts w:ascii="Simplified Arabic" w:hAnsi="Simplified Arabic" w:cs="Simplified Arabic"/>
            <w:sz w:val="28"/>
            <w:szCs w:val="28"/>
            <w:rtl/>
          </w:rPr>
          <w:t>عمران،</w:t>
        </w:r>
      </w:hyperlink>
      <w:r w:rsidRPr="00726E27">
        <w:rPr>
          <w:rFonts w:ascii="Simplified Arabic" w:hAnsi="Simplified Arabic" w:cs="Simplified Arabic"/>
          <w:sz w:val="28"/>
          <w:szCs w:val="28"/>
          <w:rtl/>
        </w:rPr>
        <w:t xml:space="preserve"> محمد أحمد على (2016). أثر السياسة الضريبية على التضخم في مصر. أطروحة (دكتوراه) جامعة الأزهر - كلية التجارة بنين - قسم الاقتصاد.</w:t>
      </w:r>
    </w:p>
    <w:p w14:paraId="05D3E93B" w14:textId="77777777" w:rsidR="002959BC" w:rsidRDefault="002959BC" w:rsidP="0041332D">
      <w:pPr>
        <w:pStyle w:val="ListParagraph"/>
        <w:numPr>
          <w:ilvl w:val="0"/>
          <w:numId w:val="40"/>
        </w:numPr>
        <w:spacing w:after="0" w:line="233" w:lineRule="auto"/>
        <w:ind w:left="568" w:hanging="284"/>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عيسوي، ألفت حمدي محمد (2016). محددات التضخم في الاقتصاد المصري خلال الفترة (1990-2014): دراسة قياسية. أطروحة (ماجستير). جامعة القاهرة - كلية الاقتصاد والعلوم السياسية - قسم الاقتصاد.</w:t>
      </w:r>
    </w:p>
    <w:p w14:paraId="2DA7324F" w14:textId="77777777" w:rsidR="002959BC" w:rsidRDefault="002959BC" w:rsidP="0041332D">
      <w:pPr>
        <w:pStyle w:val="ListParagraph"/>
        <w:numPr>
          <w:ilvl w:val="0"/>
          <w:numId w:val="40"/>
        </w:numPr>
        <w:spacing w:after="0" w:line="233" w:lineRule="auto"/>
        <w:ind w:left="568" w:hanging="284"/>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 xml:space="preserve">لطفي، مصطفى علي (2004). فعالية السياسات المالية في علاج عجز الموازنة العامة للدولة بالتطبيق على مصر خلال الفترة من 1975-2002. أطروحة (ماجستير). كلية التجارة – جامعة عين شمس. </w:t>
      </w:r>
    </w:p>
    <w:p w14:paraId="0241CB2F" w14:textId="77777777" w:rsidR="002959BC" w:rsidRPr="00726E27" w:rsidRDefault="002959BC" w:rsidP="0041332D">
      <w:pPr>
        <w:pStyle w:val="ListParagraph"/>
        <w:numPr>
          <w:ilvl w:val="0"/>
          <w:numId w:val="40"/>
        </w:numPr>
        <w:spacing w:after="0" w:line="233" w:lineRule="auto"/>
        <w:ind w:left="568" w:hanging="284"/>
        <w:contextualSpacing w:val="0"/>
        <w:jc w:val="both"/>
        <w:rPr>
          <w:rFonts w:ascii="Simplified Arabic" w:hAnsi="Simplified Arabic" w:cs="Simplified Arabic"/>
          <w:sz w:val="28"/>
          <w:szCs w:val="28"/>
          <w:rtl/>
        </w:rPr>
      </w:pPr>
      <w:r w:rsidRPr="00726E27">
        <w:rPr>
          <w:rFonts w:ascii="Simplified Arabic" w:hAnsi="Simplified Arabic" w:cs="Simplified Arabic"/>
          <w:sz w:val="28"/>
          <w:szCs w:val="28"/>
          <w:rtl/>
        </w:rPr>
        <w:t>المتولي، عمرو محمد محمد (2016). إطار مقترح لعلاج عجز الموازنة العامة للدولة في ضوء بعض التجارب الدولية: دراسة حالة لجمهورية مصر العربية. أطروحة (ماجستير). معهد التخطيط القومي. القاهرة.</w:t>
      </w:r>
    </w:p>
    <w:p w14:paraId="311C6C51" w14:textId="77777777" w:rsidR="002959BC" w:rsidRPr="00726E27" w:rsidRDefault="002959BC" w:rsidP="0041332D">
      <w:pPr>
        <w:pStyle w:val="ListParagraph"/>
        <w:numPr>
          <w:ilvl w:val="0"/>
          <w:numId w:val="40"/>
        </w:numPr>
        <w:spacing w:after="0" w:line="233" w:lineRule="auto"/>
        <w:ind w:left="568" w:hanging="284"/>
        <w:contextualSpacing w:val="0"/>
        <w:jc w:val="both"/>
        <w:rPr>
          <w:rFonts w:ascii="Simplified Arabic" w:hAnsi="Simplified Arabic" w:cs="Simplified Arabic"/>
          <w:sz w:val="28"/>
          <w:szCs w:val="28"/>
          <w:rtl/>
        </w:rPr>
      </w:pPr>
      <w:r w:rsidRPr="00726E27">
        <w:rPr>
          <w:rFonts w:ascii="Simplified Arabic" w:hAnsi="Simplified Arabic" w:cs="Simplified Arabic"/>
          <w:sz w:val="28"/>
          <w:szCs w:val="28"/>
          <w:rtl/>
        </w:rPr>
        <w:t>مصطفى، إيمان محمد عبد اللطيف (2013). عجز الموازنة العامة في مصر وطرق تمويله خلال الفترة 2000-2010. أطروحة (دكتوراه). جامعة القاهرة - كلية الاقتصاد والعلوم السياسية - قسم الاقتصاد.</w:t>
      </w:r>
    </w:p>
    <w:p w14:paraId="2A7439A5" w14:textId="77777777" w:rsidR="002959BC" w:rsidRPr="00726E27" w:rsidRDefault="002959BC" w:rsidP="0041332D">
      <w:pPr>
        <w:pStyle w:val="ListParagraph"/>
        <w:numPr>
          <w:ilvl w:val="0"/>
          <w:numId w:val="40"/>
        </w:numPr>
        <w:spacing w:after="0" w:line="233" w:lineRule="auto"/>
        <w:ind w:left="568" w:hanging="284"/>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معوض، رانيا رمضان (2010). العلاقة بين عجز الموازنة والتضخم في مصر: دراسة تطبيقية (1980-2006). أطروحة (ماجستير). جامعة القاهرة - كلية الاقتصاد والعلوم السياسية - قسم الاقتصاد.</w:t>
      </w:r>
    </w:p>
    <w:p w14:paraId="47D42DBB" w14:textId="77777777" w:rsidR="002959BC" w:rsidRPr="00726E27" w:rsidRDefault="002959BC" w:rsidP="002959BC">
      <w:pPr>
        <w:jc w:val="both"/>
        <w:rPr>
          <w:rFonts w:ascii="Simplified Arabic" w:hAnsi="Simplified Arabic" w:cs="Simplified Arabic"/>
          <w:b/>
          <w:bCs/>
          <w:sz w:val="30"/>
          <w:szCs w:val="30"/>
          <w:u w:val="single"/>
          <w:rtl/>
          <w:lang w:bidi="ar-EG"/>
        </w:rPr>
      </w:pPr>
      <w:r w:rsidRPr="00726E27">
        <w:rPr>
          <w:rFonts w:ascii="Simplified Arabic" w:hAnsi="Simplified Arabic" w:cs="Simplified Arabic"/>
          <w:b/>
          <w:bCs/>
          <w:sz w:val="30"/>
          <w:szCs w:val="30"/>
          <w:u w:val="single"/>
          <w:rtl/>
          <w:lang w:bidi="ar-EG"/>
        </w:rPr>
        <w:t>د- القوانين والقرارات الرئاسية:</w:t>
      </w:r>
    </w:p>
    <w:p w14:paraId="31EB4104" w14:textId="77777777" w:rsidR="002959BC"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B93D07">
        <w:rPr>
          <w:rFonts w:ascii="Simplified Arabic" w:hAnsi="Simplified Arabic" w:cs="Simplified Arabic"/>
          <w:sz w:val="28"/>
          <w:szCs w:val="28"/>
          <w:rtl/>
        </w:rPr>
        <w:t>القانون رقم 53 لسنة 1973 بشأن الموازنة العامة للدولة وتعديلاته</w:t>
      </w:r>
      <w:r w:rsidRPr="00B93D07">
        <w:rPr>
          <w:rFonts w:ascii="Simplified Arabic" w:hAnsi="Simplified Arabic" w:cs="Simplified Arabic" w:hint="cs"/>
          <w:sz w:val="28"/>
          <w:szCs w:val="28"/>
          <w:rtl/>
        </w:rPr>
        <w:t xml:space="preserve"> ولائحته التنفيذية</w:t>
      </w:r>
      <w:r w:rsidRPr="00B93D07">
        <w:rPr>
          <w:rFonts w:ascii="Simplified Arabic" w:hAnsi="Simplified Arabic" w:cs="Simplified Arabic"/>
          <w:sz w:val="28"/>
          <w:szCs w:val="28"/>
          <w:rtl/>
        </w:rPr>
        <w:t>.</w:t>
      </w:r>
    </w:p>
    <w:p w14:paraId="292A0761" w14:textId="77777777" w:rsidR="002959BC"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القانون رقم 9 لسنة 2005 بتعديل بعض أحكام قانون الضريبية العامة على المبيعات.</w:t>
      </w:r>
    </w:p>
    <w:p w14:paraId="4C69CE4F"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القانون رقم 91 لسنة 2005 بشأن الضرائب على الدخل.</w:t>
      </w:r>
    </w:p>
    <w:p w14:paraId="121C7DC6" w14:textId="77777777" w:rsidR="002959BC"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lastRenderedPageBreak/>
        <w:t>القانون رقم 95 لسنة 2005 بتعديل بعض أحكام قانون الجمارك رقم 66 لسنة 1963</w:t>
      </w:r>
    </w:p>
    <w:p w14:paraId="6A11DCEF"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tl/>
        </w:rPr>
      </w:pPr>
      <w:r w:rsidRPr="00726E27">
        <w:rPr>
          <w:rFonts w:ascii="Simplified Arabic" w:hAnsi="Simplified Arabic" w:cs="Simplified Arabic"/>
          <w:sz w:val="28"/>
          <w:szCs w:val="28"/>
          <w:rtl/>
        </w:rPr>
        <w:t xml:space="preserve">القانون رقم 67 لسنة 2016 بإصدار قانون الضريبة على القيمة المضافة. </w:t>
      </w:r>
    </w:p>
    <w:p w14:paraId="4A55AC04"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القانون رقم 81 لسنة 2016 بإصدار قانون الخدمة المدنية.</w:t>
      </w:r>
    </w:p>
    <w:p w14:paraId="53B50492" w14:textId="77777777" w:rsidR="002959BC"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قرار رئيس الجمهورية رقم 39 لسنة 2011 بتشكيل وزارة أحمد شفيق.</w:t>
      </w:r>
    </w:p>
    <w:p w14:paraId="627D3D30"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قرار رئيس المجلس الأعلى للقوات المسلحة رقم 19 لسنة 2011 بتشكيل وزارة عصام شرف.</w:t>
      </w:r>
    </w:p>
    <w:p w14:paraId="79A146B5"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قرار رئيس المجلس الأعلى للقوات المسلحة رقم 282 لسنة 2011 بتشكيل وزارة كمال الجنزوري.</w:t>
      </w:r>
    </w:p>
    <w:p w14:paraId="3B2279A7"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قرار رئيس الجمهورية رقم 90 لسنة 2012 بتشكيل وزارة هشام قنديل.</w:t>
      </w:r>
    </w:p>
    <w:p w14:paraId="34A1C4B9"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قرار رئيس الجمهورية رقم 484 لسنة 2013 بتشكيل وزارة حازم الببلاوي.</w:t>
      </w:r>
    </w:p>
    <w:p w14:paraId="3D04CADE"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قرار رئيس الجمهورية رقم 72 لسنة 2014 بتشكيل وزارة إبراهيم محلب.</w:t>
      </w:r>
    </w:p>
    <w:p w14:paraId="7BE7826F"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rPr>
      </w:pPr>
      <w:r w:rsidRPr="00726E27">
        <w:rPr>
          <w:rFonts w:ascii="Simplified Arabic" w:hAnsi="Simplified Arabic" w:cs="Simplified Arabic"/>
          <w:sz w:val="28"/>
          <w:szCs w:val="28"/>
          <w:rtl/>
        </w:rPr>
        <w:t>قرار رئيس الجمهورية رقم 379 لسنة 2015 بتشكيل وزارة شريف إسماعيل.</w:t>
      </w:r>
    </w:p>
    <w:p w14:paraId="7B83C9B7" w14:textId="77777777" w:rsidR="002959BC" w:rsidRPr="00726E27" w:rsidRDefault="002959BC" w:rsidP="0041332D">
      <w:pPr>
        <w:pStyle w:val="ListParagraph"/>
        <w:numPr>
          <w:ilvl w:val="0"/>
          <w:numId w:val="40"/>
        </w:numPr>
        <w:spacing w:after="0" w:line="240" w:lineRule="auto"/>
        <w:ind w:left="566" w:hanging="283"/>
        <w:contextualSpacing w:val="0"/>
        <w:jc w:val="both"/>
        <w:rPr>
          <w:rFonts w:ascii="Simplified Arabic" w:hAnsi="Simplified Arabic" w:cs="Simplified Arabic"/>
          <w:sz w:val="28"/>
          <w:szCs w:val="28"/>
          <w:lang w:bidi="ar-EG"/>
        </w:rPr>
      </w:pPr>
      <w:r w:rsidRPr="00726E27">
        <w:rPr>
          <w:rFonts w:ascii="Simplified Arabic" w:hAnsi="Simplified Arabic" w:cs="Simplified Arabic"/>
          <w:sz w:val="28"/>
          <w:szCs w:val="28"/>
          <w:rtl/>
        </w:rPr>
        <w:t>قرار رئيس الجمهورية</w:t>
      </w:r>
      <w:r w:rsidRPr="00726E27">
        <w:rPr>
          <w:rFonts w:ascii="Simplified Arabic" w:hAnsi="Simplified Arabic" w:cs="Simplified Arabic"/>
          <w:sz w:val="28"/>
          <w:szCs w:val="28"/>
          <w:rtl/>
          <w:lang w:bidi="ar-EG"/>
        </w:rPr>
        <w:t xml:space="preserve"> رقم 269 لسنة 2018 بتشكيل وزارة مصطفى مدبولي.</w:t>
      </w:r>
    </w:p>
    <w:p w14:paraId="09DE792E" w14:textId="77777777" w:rsidR="002959BC" w:rsidRDefault="002959BC" w:rsidP="002959BC">
      <w:pPr>
        <w:bidi w:val="0"/>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36DB8B64" w14:textId="77777777" w:rsidR="002959BC" w:rsidRPr="00726E27" w:rsidRDefault="002959BC" w:rsidP="002959BC">
      <w:pPr>
        <w:jc w:val="both"/>
        <w:rPr>
          <w:rFonts w:ascii="Simplified Arabic" w:hAnsi="Simplified Arabic" w:cs="Simplified Arabic"/>
          <w:b/>
          <w:bCs/>
          <w:sz w:val="30"/>
          <w:szCs w:val="30"/>
          <w:u w:val="single"/>
          <w:rtl/>
          <w:lang w:bidi="ar-EG"/>
        </w:rPr>
      </w:pPr>
      <w:r w:rsidRPr="00726E27">
        <w:rPr>
          <w:rFonts w:ascii="Simplified Arabic" w:hAnsi="Simplified Arabic" w:cs="Simplified Arabic"/>
          <w:b/>
          <w:bCs/>
          <w:sz w:val="30"/>
          <w:szCs w:val="30"/>
          <w:u w:val="single"/>
          <w:rtl/>
          <w:lang w:bidi="ar-EG"/>
        </w:rPr>
        <w:lastRenderedPageBreak/>
        <w:t>ثانياً: المراجع الأجنبية:</w:t>
      </w:r>
    </w:p>
    <w:p w14:paraId="1F7F3F37" w14:textId="77777777" w:rsidR="002959BC" w:rsidRPr="00C6195E" w:rsidRDefault="002959BC" w:rsidP="0041332D">
      <w:pPr>
        <w:pStyle w:val="ListParagraph"/>
        <w:numPr>
          <w:ilvl w:val="0"/>
          <w:numId w:val="41"/>
        </w:numPr>
        <w:bidi w:val="0"/>
        <w:spacing w:after="0" w:line="240" w:lineRule="auto"/>
        <w:ind w:left="567" w:hanging="283"/>
        <w:contextualSpacing w:val="0"/>
        <w:jc w:val="both"/>
        <w:rPr>
          <w:rFonts w:asciiTheme="majorHAnsi" w:hAnsiTheme="majorHAnsi" w:cstheme="majorBidi"/>
          <w:sz w:val="28"/>
          <w:szCs w:val="28"/>
          <w:rtl/>
        </w:rPr>
      </w:pPr>
      <w:r w:rsidRPr="00C6195E">
        <w:rPr>
          <w:rFonts w:asciiTheme="majorHAnsi" w:hAnsiTheme="majorHAnsi" w:cstheme="majorBidi"/>
          <w:sz w:val="28"/>
          <w:szCs w:val="28"/>
        </w:rPr>
        <w:t>Bakare, Ibrahim A.O.; O.A. Adesanya; S.A. Bolarinwa (2014). Empirical Investigation between Budget Deficit, Inflation and Money Supply in Nigeria. European Journal of Business and Social Sciences, Vol. 2, No.12. March 2014.</w:t>
      </w:r>
    </w:p>
    <w:p w14:paraId="6FA8EA2F" w14:textId="77777777" w:rsidR="002959BC" w:rsidRPr="00C6195E" w:rsidRDefault="002959BC" w:rsidP="0041332D">
      <w:pPr>
        <w:pStyle w:val="ListParagraph"/>
        <w:numPr>
          <w:ilvl w:val="0"/>
          <w:numId w:val="41"/>
        </w:numPr>
        <w:bidi w:val="0"/>
        <w:spacing w:after="0" w:line="240" w:lineRule="auto"/>
        <w:ind w:left="567" w:hanging="283"/>
        <w:contextualSpacing w:val="0"/>
        <w:jc w:val="both"/>
        <w:rPr>
          <w:rFonts w:asciiTheme="majorHAnsi" w:hAnsiTheme="majorHAnsi" w:cstheme="majorBidi"/>
          <w:sz w:val="28"/>
          <w:szCs w:val="28"/>
          <w:rtl/>
        </w:rPr>
      </w:pPr>
      <w:r w:rsidRPr="00C6195E">
        <w:rPr>
          <w:rFonts w:asciiTheme="majorHAnsi" w:hAnsiTheme="majorHAnsi" w:cstheme="majorBidi"/>
          <w:sz w:val="28"/>
          <w:szCs w:val="28"/>
        </w:rPr>
        <w:t>Dadson, Yvonne Appiah (2015). Examining the Effects of Fiscal Deficits on Inflation in Ghana. Thesis (Master). University of Ghana.</w:t>
      </w:r>
    </w:p>
    <w:p w14:paraId="3E2CF8AC" w14:textId="77777777" w:rsidR="002959BC" w:rsidRPr="00C6195E" w:rsidRDefault="002959BC" w:rsidP="0041332D">
      <w:pPr>
        <w:pStyle w:val="ListParagraph"/>
        <w:numPr>
          <w:ilvl w:val="0"/>
          <w:numId w:val="41"/>
        </w:numPr>
        <w:bidi w:val="0"/>
        <w:spacing w:after="0" w:line="240" w:lineRule="auto"/>
        <w:ind w:left="567" w:hanging="283"/>
        <w:contextualSpacing w:val="0"/>
        <w:jc w:val="both"/>
        <w:rPr>
          <w:rFonts w:asciiTheme="majorHAnsi" w:hAnsiTheme="majorHAnsi" w:cstheme="majorBidi"/>
          <w:sz w:val="28"/>
          <w:szCs w:val="28"/>
        </w:rPr>
      </w:pPr>
      <w:r w:rsidRPr="00C6195E">
        <w:rPr>
          <w:rFonts w:asciiTheme="majorHAnsi" w:hAnsiTheme="majorHAnsi" w:cstheme="majorBidi"/>
          <w:sz w:val="28"/>
          <w:szCs w:val="28"/>
        </w:rPr>
        <w:t xml:space="preserve">Dwivedi, D.N. Macroeconomics: Theory and Policy (2005). Tata McGraw-Hill. </w:t>
      </w:r>
    </w:p>
    <w:p w14:paraId="5E4CB207" w14:textId="77777777" w:rsidR="002959BC" w:rsidRPr="000F498F" w:rsidRDefault="002959BC" w:rsidP="0041332D">
      <w:pPr>
        <w:pStyle w:val="ListParagraph"/>
        <w:numPr>
          <w:ilvl w:val="0"/>
          <w:numId w:val="41"/>
        </w:numPr>
        <w:bidi w:val="0"/>
        <w:spacing w:after="0" w:line="240" w:lineRule="auto"/>
        <w:ind w:left="567" w:hanging="283"/>
        <w:contextualSpacing w:val="0"/>
        <w:jc w:val="both"/>
        <w:rPr>
          <w:rFonts w:asciiTheme="majorHAnsi" w:hAnsiTheme="majorHAnsi" w:cstheme="majorBidi"/>
          <w:sz w:val="28"/>
          <w:szCs w:val="28"/>
          <w:rtl/>
        </w:rPr>
      </w:pPr>
      <w:r w:rsidRPr="00C6195E">
        <w:rPr>
          <w:rFonts w:asciiTheme="majorHAnsi" w:hAnsiTheme="majorHAnsi" w:cstheme="majorBidi"/>
          <w:sz w:val="28"/>
          <w:szCs w:val="28"/>
        </w:rPr>
        <w:t>Everton Dockery (2012). The Relationship between Fiscal Deficits and Inflation: Econometric Evidence for Nigeria. Thesis (Master). University of Ghana.</w:t>
      </w:r>
    </w:p>
    <w:p w14:paraId="3F56A4B0" w14:textId="77777777" w:rsidR="002959BC" w:rsidRPr="00C6195E" w:rsidRDefault="002959BC" w:rsidP="0041332D">
      <w:pPr>
        <w:pStyle w:val="ListParagraph"/>
        <w:numPr>
          <w:ilvl w:val="0"/>
          <w:numId w:val="41"/>
        </w:numPr>
        <w:bidi w:val="0"/>
        <w:spacing w:after="0" w:line="240" w:lineRule="auto"/>
        <w:ind w:left="567" w:hanging="283"/>
        <w:contextualSpacing w:val="0"/>
        <w:jc w:val="both"/>
        <w:rPr>
          <w:rFonts w:asciiTheme="majorHAnsi" w:hAnsiTheme="majorHAnsi" w:cstheme="majorBidi"/>
          <w:sz w:val="28"/>
          <w:szCs w:val="28"/>
          <w:rtl/>
        </w:rPr>
      </w:pPr>
      <w:r w:rsidRPr="00C6195E">
        <w:rPr>
          <w:rFonts w:asciiTheme="majorHAnsi" w:hAnsiTheme="majorHAnsi" w:cstheme="majorBidi"/>
          <w:sz w:val="28"/>
          <w:szCs w:val="28"/>
        </w:rPr>
        <w:t>El-Refaie, Faika (April 2001). The Coordination of Monetary and Fiscal Policies in Egypt. WP. 54. ECES.</w:t>
      </w:r>
    </w:p>
    <w:p w14:paraId="79F8CE39" w14:textId="77777777" w:rsidR="002959BC" w:rsidRPr="00C6195E" w:rsidRDefault="002959BC" w:rsidP="0041332D">
      <w:pPr>
        <w:pStyle w:val="ListParagraph"/>
        <w:numPr>
          <w:ilvl w:val="0"/>
          <w:numId w:val="41"/>
        </w:numPr>
        <w:bidi w:val="0"/>
        <w:spacing w:after="0" w:line="240" w:lineRule="auto"/>
        <w:ind w:left="567" w:hanging="283"/>
        <w:contextualSpacing w:val="0"/>
        <w:jc w:val="both"/>
        <w:rPr>
          <w:rFonts w:asciiTheme="majorHAnsi" w:hAnsiTheme="majorHAnsi" w:cstheme="majorBidi"/>
          <w:sz w:val="28"/>
          <w:szCs w:val="28"/>
          <w:rtl/>
        </w:rPr>
      </w:pPr>
      <w:r w:rsidRPr="00C6195E">
        <w:rPr>
          <w:rFonts w:asciiTheme="majorHAnsi" w:hAnsiTheme="majorHAnsi" w:cstheme="majorBidi"/>
          <w:sz w:val="28"/>
          <w:szCs w:val="28"/>
        </w:rPr>
        <w:t>Ekanayake, Hemantha K.J. (2012). The Link Between Fiscal Deficit and Inflation: Do public sector wages matter?. Working Paper. The Australian National University - Crawford School of Public Policy - Arndt-Corden Department of Economics.</w:t>
      </w:r>
    </w:p>
    <w:p w14:paraId="590C5C30" w14:textId="77777777" w:rsidR="002959BC" w:rsidRPr="00C6195E" w:rsidRDefault="002959BC" w:rsidP="0041332D">
      <w:pPr>
        <w:pStyle w:val="ListParagraph"/>
        <w:numPr>
          <w:ilvl w:val="0"/>
          <w:numId w:val="41"/>
        </w:numPr>
        <w:bidi w:val="0"/>
        <w:spacing w:after="0" w:line="240" w:lineRule="auto"/>
        <w:ind w:left="567" w:hanging="283"/>
        <w:contextualSpacing w:val="0"/>
        <w:jc w:val="both"/>
        <w:rPr>
          <w:rFonts w:asciiTheme="majorHAnsi" w:hAnsiTheme="majorHAnsi" w:cstheme="majorBidi"/>
          <w:sz w:val="28"/>
          <w:szCs w:val="28"/>
        </w:rPr>
      </w:pPr>
      <w:r w:rsidRPr="00C6195E">
        <w:rPr>
          <w:rFonts w:asciiTheme="majorHAnsi" w:hAnsiTheme="majorHAnsi" w:cstheme="majorBidi"/>
          <w:sz w:val="28"/>
          <w:szCs w:val="28"/>
        </w:rPr>
        <w:t>Friedman,</w:t>
      </w:r>
      <w:r w:rsidRPr="00C6195E">
        <w:rPr>
          <w:rFonts w:asciiTheme="majorHAnsi" w:hAnsiTheme="majorHAnsi" w:cstheme="majorBidi"/>
          <w:sz w:val="28"/>
          <w:szCs w:val="28"/>
          <w:rtl/>
        </w:rPr>
        <w:t xml:space="preserve"> </w:t>
      </w:r>
      <w:r w:rsidRPr="00C6195E">
        <w:rPr>
          <w:rFonts w:asciiTheme="majorHAnsi" w:hAnsiTheme="majorHAnsi" w:cstheme="majorBidi"/>
          <w:sz w:val="28"/>
          <w:szCs w:val="28"/>
        </w:rPr>
        <w:t>Milton</w:t>
      </w:r>
      <w:r w:rsidRPr="00C6195E">
        <w:rPr>
          <w:rFonts w:asciiTheme="majorHAnsi" w:hAnsiTheme="majorHAnsi" w:cstheme="majorBidi"/>
          <w:sz w:val="28"/>
          <w:szCs w:val="28"/>
          <w:rtl/>
        </w:rPr>
        <w:t xml:space="preserve"> </w:t>
      </w:r>
      <w:r w:rsidRPr="00C6195E">
        <w:rPr>
          <w:rFonts w:asciiTheme="majorHAnsi" w:hAnsiTheme="majorHAnsi" w:cstheme="majorBidi"/>
          <w:sz w:val="28"/>
          <w:szCs w:val="28"/>
        </w:rPr>
        <w:t>(1970).</w:t>
      </w:r>
      <w:r w:rsidRPr="00C6195E">
        <w:rPr>
          <w:rFonts w:asciiTheme="majorHAnsi" w:hAnsiTheme="majorHAnsi" w:cstheme="majorBidi"/>
          <w:sz w:val="28"/>
          <w:szCs w:val="28"/>
          <w:rtl/>
        </w:rPr>
        <w:t xml:space="preserve"> </w:t>
      </w:r>
      <w:r w:rsidRPr="00C6195E">
        <w:rPr>
          <w:rFonts w:asciiTheme="majorHAnsi" w:hAnsiTheme="majorHAnsi" w:cstheme="majorBidi"/>
          <w:sz w:val="28"/>
          <w:szCs w:val="28"/>
        </w:rPr>
        <w:t>The</w:t>
      </w:r>
      <w:r w:rsidRPr="00C6195E">
        <w:rPr>
          <w:rFonts w:asciiTheme="majorHAnsi" w:hAnsiTheme="majorHAnsi" w:cstheme="majorBidi"/>
          <w:sz w:val="28"/>
          <w:szCs w:val="28"/>
          <w:rtl/>
        </w:rPr>
        <w:t xml:space="preserve"> </w:t>
      </w:r>
      <w:r w:rsidRPr="00C6195E">
        <w:rPr>
          <w:rFonts w:asciiTheme="majorHAnsi" w:hAnsiTheme="majorHAnsi" w:cstheme="majorBidi"/>
          <w:sz w:val="28"/>
          <w:szCs w:val="28"/>
        </w:rPr>
        <w:t>Counter-revolution</w:t>
      </w:r>
      <w:r w:rsidRPr="00C6195E">
        <w:rPr>
          <w:rFonts w:asciiTheme="majorHAnsi" w:hAnsiTheme="majorHAnsi" w:cstheme="majorBidi"/>
          <w:sz w:val="28"/>
          <w:szCs w:val="28"/>
          <w:rtl/>
        </w:rPr>
        <w:t xml:space="preserve"> </w:t>
      </w:r>
      <w:r w:rsidRPr="00C6195E">
        <w:rPr>
          <w:rFonts w:asciiTheme="majorHAnsi" w:hAnsiTheme="majorHAnsi" w:cstheme="majorBidi"/>
          <w:sz w:val="28"/>
          <w:szCs w:val="28"/>
        </w:rPr>
        <w:t>in</w:t>
      </w:r>
      <w:r w:rsidRPr="00C6195E">
        <w:rPr>
          <w:rFonts w:asciiTheme="majorHAnsi" w:hAnsiTheme="majorHAnsi" w:cstheme="majorBidi"/>
          <w:sz w:val="28"/>
          <w:szCs w:val="28"/>
          <w:rtl/>
        </w:rPr>
        <w:t xml:space="preserve"> </w:t>
      </w:r>
      <w:r w:rsidRPr="00C6195E">
        <w:rPr>
          <w:rFonts w:asciiTheme="majorHAnsi" w:hAnsiTheme="majorHAnsi" w:cstheme="majorBidi"/>
          <w:sz w:val="28"/>
          <w:szCs w:val="28"/>
        </w:rPr>
        <w:t>Monetary Theory:</w:t>
      </w:r>
      <w:r w:rsidRPr="00C6195E">
        <w:rPr>
          <w:rFonts w:asciiTheme="majorHAnsi" w:hAnsiTheme="majorHAnsi" w:cstheme="majorBidi"/>
          <w:sz w:val="28"/>
          <w:szCs w:val="28"/>
          <w:rtl/>
        </w:rPr>
        <w:t xml:space="preserve"> </w:t>
      </w:r>
      <w:r w:rsidRPr="00C6195E">
        <w:rPr>
          <w:rFonts w:asciiTheme="majorHAnsi" w:hAnsiTheme="majorHAnsi" w:cstheme="majorBidi"/>
          <w:sz w:val="28"/>
          <w:szCs w:val="28"/>
        </w:rPr>
        <w:t xml:space="preserve">First Wincott Memorial Lecture. Wincott Foundation. </w:t>
      </w:r>
    </w:p>
    <w:p w14:paraId="4A398477" w14:textId="77777777" w:rsidR="002959BC" w:rsidRPr="00C6195E" w:rsidRDefault="002959BC" w:rsidP="0041332D">
      <w:pPr>
        <w:pStyle w:val="ListParagraph"/>
        <w:numPr>
          <w:ilvl w:val="0"/>
          <w:numId w:val="41"/>
        </w:numPr>
        <w:bidi w:val="0"/>
        <w:spacing w:after="0" w:line="240" w:lineRule="auto"/>
        <w:ind w:left="567" w:hanging="283"/>
        <w:contextualSpacing w:val="0"/>
        <w:jc w:val="both"/>
        <w:rPr>
          <w:rFonts w:asciiTheme="majorHAnsi" w:hAnsiTheme="majorHAnsi" w:cstheme="majorBidi"/>
          <w:sz w:val="28"/>
          <w:szCs w:val="28"/>
        </w:rPr>
      </w:pPr>
      <w:r w:rsidRPr="00C6195E">
        <w:rPr>
          <w:rFonts w:asciiTheme="majorHAnsi" w:hAnsiTheme="majorHAnsi" w:cstheme="majorBidi"/>
          <w:sz w:val="28"/>
          <w:szCs w:val="28"/>
          <w:lang w:val="de-LI"/>
        </w:rPr>
        <w:t xml:space="preserve">Hagen, Jurgen V.; Frieden, Jeffry; Eichengreen, Barry (2012). </w:t>
      </w:r>
      <w:r w:rsidRPr="00C6195E">
        <w:rPr>
          <w:rFonts w:asciiTheme="majorHAnsi" w:hAnsiTheme="majorHAnsi" w:cstheme="majorBidi"/>
          <w:sz w:val="28"/>
          <w:szCs w:val="28"/>
        </w:rPr>
        <w:t>Monetary and fiscal Policy in an integrated Europe. Springer Science &amp; Business Media.</w:t>
      </w:r>
    </w:p>
    <w:p w14:paraId="1B9B99B5" w14:textId="77777777" w:rsidR="002959BC" w:rsidRDefault="002959BC" w:rsidP="0041332D">
      <w:pPr>
        <w:pStyle w:val="ListParagraph"/>
        <w:numPr>
          <w:ilvl w:val="0"/>
          <w:numId w:val="41"/>
        </w:numPr>
        <w:bidi w:val="0"/>
        <w:spacing w:after="0" w:line="240" w:lineRule="auto"/>
        <w:ind w:left="567" w:hanging="283"/>
        <w:contextualSpacing w:val="0"/>
        <w:jc w:val="both"/>
        <w:rPr>
          <w:rFonts w:asciiTheme="majorHAnsi" w:hAnsiTheme="majorHAnsi" w:cstheme="majorBidi"/>
          <w:sz w:val="28"/>
          <w:szCs w:val="28"/>
        </w:rPr>
      </w:pPr>
      <w:r w:rsidRPr="00C6195E">
        <w:rPr>
          <w:rFonts w:asciiTheme="majorHAnsi" w:hAnsiTheme="majorHAnsi" w:cstheme="majorBidi"/>
          <w:sz w:val="28"/>
          <w:szCs w:val="28"/>
        </w:rPr>
        <w:t>Hallam, David. and Zanoli, Raffaele, Error-correction models and agricultural supply response, European Review of Agricultural Economics, Vol: 2, N: 20, 1993.</w:t>
      </w:r>
    </w:p>
    <w:p w14:paraId="3B646B61" w14:textId="77777777" w:rsidR="002959BC" w:rsidRPr="00C6195E" w:rsidRDefault="002959BC" w:rsidP="0041332D">
      <w:pPr>
        <w:pStyle w:val="ListParagraph"/>
        <w:numPr>
          <w:ilvl w:val="0"/>
          <w:numId w:val="41"/>
        </w:numPr>
        <w:bidi w:val="0"/>
        <w:spacing w:after="0" w:line="240" w:lineRule="auto"/>
        <w:ind w:left="567" w:hanging="283"/>
        <w:contextualSpacing w:val="0"/>
        <w:jc w:val="both"/>
        <w:rPr>
          <w:rFonts w:asciiTheme="majorHAnsi" w:hAnsiTheme="majorHAnsi" w:cstheme="majorBidi"/>
          <w:sz w:val="28"/>
          <w:szCs w:val="28"/>
          <w:rtl/>
        </w:rPr>
      </w:pPr>
      <w:r w:rsidRPr="00C6195E">
        <w:rPr>
          <w:rFonts w:asciiTheme="majorHAnsi" w:hAnsiTheme="majorHAnsi" w:cstheme="majorBidi"/>
          <w:sz w:val="28"/>
          <w:szCs w:val="28"/>
        </w:rPr>
        <w:t xml:space="preserve">International Monetary Fund (April 2014). Public Expenditure Reform: Making Difficult Choices. Fiscal Monitor. </w:t>
      </w:r>
    </w:p>
    <w:p w14:paraId="16782BAD" w14:textId="77777777" w:rsidR="002959BC" w:rsidRPr="00C6195E" w:rsidRDefault="002959BC" w:rsidP="0041332D">
      <w:pPr>
        <w:pStyle w:val="ListParagraph"/>
        <w:numPr>
          <w:ilvl w:val="0"/>
          <w:numId w:val="41"/>
        </w:numPr>
        <w:bidi w:val="0"/>
        <w:spacing w:after="0" w:line="240" w:lineRule="auto"/>
        <w:ind w:left="567" w:hanging="283"/>
        <w:contextualSpacing w:val="0"/>
        <w:jc w:val="both"/>
        <w:rPr>
          <w:rFonts w:asciiTheme="majorHAnsi" w:hAnsiTheme="majorHAnsi" w:cstheme="majorBidi"/>
          <w:sz w:val="28"/>
          <w:szCs w:val="28"/>
          <w:rtl/>
        </w:rPr>
      </w:pPr>
      <w:r w:rsidRPr="00C6195E">
        <w:rPr>
          <w:rFonts w:asciiTheme="majorHAnsi" w:hAnsiTheme="majorHAnsi" w:cstheme="majorBidi"/>
          <w:sz w:val="28"/>
          <w:szCs w:val="28"/>
        </w:rPr>
        <w:t>International Monetary Fund (April 2019). Fiscal Monitor: Curbing Corruption.</w:t>
      </w:r>
    </w:p>
    <w:p w14:paraId="1B30519C" w14:textId="77777777" w:rsidR="002959BC" w:rsidRDefault="002959BC" w:rsidP="0041332D">
      <w:pPr>
        <w:pStyle w:val="ListParagraph"/>
        <w:numPr>
          <w:ilvl w:val="0"/>
          <w:numId w:val="41"/>
        </w:numPr>
        <w:bidi w:val="0"/>
        <w:spacing w:after="0" w:line="240" w:lineRule="auto"/>
        <w:ind w:left="567" w:hanging="283"/>
        <w:contextualSpacing w:val="0"/>
        <w:jc w:val="both"/>
        <w:rPr>
          <w:rFonts w:asciiTheme="majorHAnsi" w:hAnsiTheme="majorHAnsi" w:cstheme="majorBidi"/>
          <w:sz w:val="28"/>
          <w:szCs w:val="28"/>
        </w:rPr>
      </w:pPr>
      <w:r w:rsidRPr="00C6195E">
        <w:rPr>
          <w:rFonts w:asciiTheme="majorHAnsi" w:hAnsiTheme="majorHAnsi" w:cstheme="majorBidi"/>
          <w:sz w:val="28"/>
          <w:szCs w:val="28"/>
          <w:shd w:val="clear" w:color="auto" w:fill="FFFFFF"/>
        </w:rPr>
        <w:t xml:space="preserve">Kaur, Gurleen (2018). The Relationship between </w:t>
      </w:r>
      <w:r w:rsidRPr="00C6195E">
        <w:rPr>
          <w:rFonts w:asciiTheme="majorHAnsi" w:hAnsiTheme="majorHAnsi" w:cstheme="majorBidi"/>
          <w:sz w:val="28"/>
          <w:szCs w:val="28"/>
        </w:rPr>
        <w:t>Fiscal Deficit and Inflation in India: A Cointegration Analysis. Journal of Business Thought Vol. 8 April 2017-March 2018</w:t>
      </w:r>
      <w:r>
        <w:rPr>
          <w:rFonts w:asciiTheme="majorHAnsi" w:hAnsiTheme="majorHAnsi" w:cstheme="majorBidi"/>
          <w:sz w:val="28"/>
          <w:szCs w:val="28"/>
        </w:rPr>
        <w:t>.</w:t>
      </w:r>
    </w:p>
    <w:p w14:paraId="27B78545" w14:textId="77777777" w:rsidR="002959BC" w:rsidRPr="00C6195E" w:rsidRDefault="002959BC" w:rsidP="0041332D">
      <w:pPr>
        <w:pStyle w:val="ListParagraph"/>
        <w:numPr>
          <w:ilvl w:val="0"/>
          <w:numId w:val="41"/>
        </w:numPr>
        <w:bidi w:val="0"/>
        <w:spacing w:after="0" w:line="240" w:lineRule="auto"/>
        <w:ind w:left="567" w:hanging="283"/>
        <w:contextualSpacing w:val="0"/>
        <w:jc w:val="both"/>
        <w:rPr>
          <w:rFonts w:asciiTheme="majorHAnsi" w:hAnsiTheme="majorHAnsi" w:cstheme="majorBidi"/>
          <w:sz w:val="28"/>
          <w:szCs w:val="28"/>
          <w:rtl/>
        </w:rPr>
      </w:pPr>
      <w:r w:rsidRPr="00C6195E">
        <w:rPr>
          <w:rFonts w:asciiTheme="majorHAnsi" w:hAnsiTheme="majorHAnsi" w:cstheme="majorBidi"/>
          <w:sz w:val="28"/>
          <w:szCs w:val="28"/>
          <w:lang w:val="de-LI"/>
        </w:rPr>
        <w:t xml:space="preserve">Kreiner, Claus Thustrup; Andersen, Torben (2015). </w:t>
      </w:r>
      <w:r w:rsidRPr="00C6195E">
        <w:rPr>
          <w:rFonts w:asciiTheme="majorHAnsi" w:hAnsiTheme="majorHAnsi" w:cstheme="majorBidi"/>
          <w:sz w:val="28"/>
          <w:szCs w:val="28"/>
        </w:rPr>
        <w:t>Baumol's Cost Disease and the Sustainability of the Welfare State. Economic Policy Research Unit, Inst. of Economics, University of Copenhagen.</w:t>
      </w:r>
    </w:p>
    <w:p w14:paraId="4680795D" w14:textId="77777777" w:rsidR="002959BC" w:rsidRPr="00C6195E" w:rsidRDefault="002959BC" w:rsidP="0041332D">
      <w:pPr>
        <w:pStyle w:val="ListParagraph"/>
        <w:numPr>
          <w:ilvl w:val="0"/>
          <w:numId w:val="41"/>
        </w:numPr>
        <w:bidi w:val="0"/>
        <w:spacing w:after="0" w:line="240" w:lineRule="auto"/>
        <w:ind w:left="567" w:hanging="283"/>
        <w:contextualSpacing w:val="0"/>
        <w:jc w:val="both"/>
        <w:rPr>
          <w:rFonts w:asciiTheme="majorHAnsi" w:hAnsiTheme="majorHAnsi" w:cstheme="majorBidi"/>
          <w:sz w:val="28"/>
          <w:szCs w:val="28"/>
          <w:rtl/>
        </w:rPr>
      </w:pPr>
      <w:r w:rsidRPr="00C6195E">
        <w:rPr>
          <w:rFonts w:asciiTheme="majorHAnsi" w:hAnsiTheme="majorHAnsi" w:cstheme="majorBidi"/>
          <w:sz w:val="28"/>
          <w:szCs w:val="28"/>
        </w:rPr>
        <w:t>Laidler, David. The Golden Age of the Quantity Theory (2014). Princeton University Press.</w:t>
      </w:r>
    </w:p>
    <w:p w14:paraId="49BCC1B2" w14:textId="77777777" w:rsidR="002959BC" w:rsidRPr="00C6195E" w:rsidRDefault="002959BC" w:rsidP="0041332D">
      <w:pPr>
        <w:pStyle w:val="ListParagraph"/>
        <w:numPr>
          <w:ilvl w:val="0"/>
          <w:numId w:val="41"/>
        </w:numPr>
        <w:bidi w:val="0"/>
        <w:spacing w:after="0" w:line="240" w:lineRule="auto"/>
        <w:ind w:left="567" w:hanging="283"/>
        <w:contextualSpacing w:val="0"/>
        <w:jc w:val="both"/>
        <w:rPr>
          <w:rFonts w:asciiTheme="majorHAnsi" w:hAnsiTheme="majorHAnsi" w:cstheme="majorBidi"/>
          <w:sz w:val="28"/>
          <w:szCs w:val="28"/>
        </w:rPr>
      </w:pPr>
      <w:r w:rsidRPr="00C6195E">
        <w:rPr>
          <w:rFonts w:asciiTheme="majorHAnsi" w:hAnsiTheme="majorHAnsi" w:cstheme="majorBidi"/>
          <w:sz w:val="28"/>
          <w:szCs w:val="28"/>
        </w:rPr>
        <w:t>Olivera, Julio G. H. Money, Prices and Fiscal Lags: A Note on the Dynamics of Inflation, Quarterly Review, vol. 20, Banca Nazionale del Lavoro, 1967.</w:t>
      </w:r>
    </w:p>
    <w:p w14:paraId="695FAC7E" w14:textId="77777777" w:rsidR="002959BC" w:rsidRPr="00C6195E" w:rsidRDefault="002959BC" w:rsidP="0041332D">
      <w:pPr>
        <w:pStyle w:val="ListParagraph"/>
        <w:numPr>
          <w:ilvl w:val="0"/>
          <w:numId w:val="41"/>
        </w:numPr>
        <w:bidi w:val="0"/>
        <w:spacing w:after="0" w:line="240" w:lineRule="auto"/>
        <w:ind w:left="567" w:hanging="283"/>
        <w:contextualSpacing w:val="0"/>
        <w:jc w:val="both"/>
        <w:rPr>
          <w:rFonts w:asciiTheme="majorHAnsi" w:hAnsiTheme="majorHAnsi" w:cstheme="majorBidi"/>
          <w:sz w:val="28"/>
          <w:szCs w:val="28"/>
          <w:rtl/>
        </w:rPr>
      </w:pPr>
      <w:r w:rsidRPr="00C6195E">
        <w:rPr>
          <w:rFonts w:asciiTheme="majorHAnsi" w:hAnsiTheme="majorHAnsi" w:cstheme="majorBidi"/>
          <w:sz w:val="28"/>
          <w:szCs w:val="28"/>
        </w:rPr>
        <w:t>Omneia A. Helmy (November 2008). The Impact of budget Deficit on Inflation in Egypt. Working Paper No. 141. The Egyptian Center for Economic studies</w:t>
      </w:r>
    </w:p>
    <w:p w14:paraId="16694E05" w14:textId="77777777" w:rsidR="002959BC" w:rsidRDefault="002959BC" w:rsidP="0041332D">
      <w:pPr>
        <w:pStyle w:val="ListParagraph"/>
        <w:numPr>
          <w:ilvl w:val="0"/>
          <w:numId w:val="41"/>
        </w:numPr>
        <w:bidi w:val="0"/>
        <w:spacing w:after="0" w:line="240" w:lineRule="auto"/>
        <w:ind w:left="567" w:hanging="283"/>
        <w:contextualSpacing w:val="0"/>
        <w:jc w:val="both"/>
        <w:rPr>
          <w:rFonts w:asciiTheme="majorHAnsi" w:hAnsiTheme="majorHAnsi" w:cstheme="majorBidi"/>
          <w:sz w:val="28"/>
          <w:szCs w:val="28"/>
        </w:rPr>
      </w:pPr>
      <w:r w:rsidRPr="00C6195E">
        <w:rPr>
          <w:rFonts w:asciiTheme="majorHAnsi" w:hAnsiTheme="majorHAnsi" w:cstheme="majorBidi"/>
          <w:sz w:val="28"/>
          <w:szCs w:val="28"/>
          <w:lang w:val="de-LI"/>
        </w:rPr>
        <w:t xml:space="preserve">Solomon, M; Wet, W. A. (2004). </w:t>
      </w:r>
      <w:r w:rsidRPr="00C6195E">
        <w:rPr>
          <w:rFonts w:asciiTheme="majorHAnsi" w:hAnsiTheme="majorHAnsi" w:cstheme="majorBidi"/>
          <w:sz w:val="28"/>
          <w:szCs w:val="28"/>
        </w:rPr>
        <w:t>The Effect of a budget Deficit on Inflation: The Case of Tanzania. Sajems Ns Vol. 7 No. 1.</w:t>
      </w:r>
    </w:p>
    <w:p w14:paraId="60E2CD09" w14:textId="77777777" w:rsidR="002959BC" w:rsidRPr="00C6195E" w:rsidRDefault="002959BC" w:rsidP="0041332D">
      <w:pPr>
        <w:pStyle w:val="ListParagraph"/>
        <w:numPr>
          <w:ilvl w:val="0"/>
          <w:numId w:val="41"/>
        </w:numPr>
        <w:bidi w:val="0"/>
        <w:spacing w:after="0" w:line="240" w:lineRule="auto"/>
        <w:ind w:left="567" w:hanging="283"/>
        <w:contextualSpacing w:val="0"/>
        <w:jc w:val="both"/>
        <w:rPr>
          <w:rFonts w:asciiTheme="majorHAnsi" w:hAnsiTheme="majorHAnsi" w:cstheme="majorBidi"/>
          <w:sz w:val="28"/>
          <w:szCs w:val="28"/>
        </w:rPr>
      </w:pPr>
      <w:r w:rsidRPr="00C6195E">
        <w:rPr>
          <w:rFonts w:asciiTheme="majorHAnsi" w:hAnsiTheme="majorHAnsi" w:cstheme="majorBidi"/>
          <w:sz w:val="28"/>
          <w:szCs w:val="28"/>
        </w:rPr>
        <w:lastRenderedPageBreak/>
        <w:t>The Scandinavian Journal of Economics (2012). PP1082-1104</w:t>
      </w:r>
    </w:p>
    <w:p w14:paraId="77E0CD73" w14:textId="77777777" w:rsidR="002959BC" w:rsidRPr="00C6195E" w:rsidRDefault="002959BC" w:rsidP="0041332D">
      <w:pPr>
        <w:pStyle w:val="ListParagraph"/>
        <w:numPr>
          <w:ilvl w:val="0"/>
          <w:numId w:val="41"/>
        </w:numPr>
        <w:bidi w:val="0"/>
        <w:spacing w:after="0" w:line="240" w:lineRule="auto"/>
        <w:ind w:left="567" w:hanging="283"/>
        <w:contextualSpacing w:val="0"/>
        <w:jc w:val="both"/>
        <w:rPr>
          <w:rFonts w:asciiTheme="majorHAnsi" w:hAnsiTheme="majorHAnsi" w:cstheme="majorBidi"/>
          <w:sz w:val="28"/>
          <w:szCs w:val="28"/>
        </w:rPr>
      </w:pPr>
      <w:r w:rsidRPr="00C6195E">
        <w:rPr>
          <w:rFonts w:asciiTheme="majorHAnsi" w:hAnsiTheme="majorHAnsi" w:cstheme="majorBidi"/>
          <w:sz w:val="28"/>
          <w:szCs w:val="28"/>
        </w:rPr>
        <w:t xml:space="preserve">Tanzi, Vito, Inflation, Lags in Collection, and the Real Value of Tax Revenue, Staff Papers, vol. 24, march 1977, IMF, 1977. </w:t>
      </w:r>
    </w:p>
    <w:p w14:paraId="0636A64C" w14:textId="77777777" w:rsidR="002959BC" w:rsidRPr="00C6195E" w:rsidRDefault="002959BC" w:rsidP="0041332D">
      <w:pPr>
        <w:pStyle w:val="ListParagraph"/>
        <w:numPr>
          <w:ilvl w:val="0"/>
          <w:numId w:val="41"/>
        </w:numPr>
        <w:bidi w:val="0"/>
        <w:spacing w:after="0" w:line="240" w:lineRule="auto"/>
        <w:ind w:left="567" w:hanging="283"/>
        <w:contextualSpacing w:val="0"/>
        <w:jc w:val="both"/>
        <w:rPr>
          <w:rFonts w:asciiTheme="majorHAnsi" w:hAnsiTheme="majorHAnsi" w:cstheme="majorBidi"/>
          <w:sz w:val="28"/>
          <w:szCs w:val="28"/>
        </w:rPr>
      </w:pPr>
      <w:r w:rsidRPr="00C6195E">
        <w:rPr>
          <w:rFonts w:asciiTheme="majorHAnsi" w:hAnsiTheme="majorHAnsi" w:cstheme="majorBidi"/>
          <w:sz w:val="28"/>
          <w:szCs w:val="28"/>
        </w:rPr>
        <w:t>Torres, Francisco; Giavazzi, Francesco (1996). Adjustment and growth in the European Monetary Union. Cambridge university Press.</w:t>
      </w:r>
    </w:p>
    <w:p w14:paraId="79966C46" w14:textId="77777777" w:rsidR="002959BC" w:rsidRPr="00C6195E" w:rsidRDefault="002959BC" w:rsidP="002959BC">
      <w:pPr>
        <w:jc w:val="both"/>
        <w:rPr>
          <w:rFonts w:asciiTheme="majorHAnsi" w:hAnsiTheme="majorHAnsi" w:cstheme="majorBidi"/>
          <w:sz w:val="28"/>
          <w:szCs w:val="28"/>
          <w:rtl/>
          <w:lang w:bidi="ar-EG"/>
        </w:rPr>
      </w:pPr>
    </w:p>
    <w:p w14:paraId="6FC58922" w14:textId="57B969CB" w:rsidR="002959BC" w:rsidRDefault="002959BC">
      <w:pPr>
        <w:bidi w:val="0"/>
        <w:spacing w:after="160" w:line="259" w:lineRule="auto"/>
        <w:rPr>
          <w:rtl/>
          <w:lang w:bidi="ar-EG"/>
        </w:rPr>
      </w:pPr>
      <w:r>
        <w:rPr>
          <w:rtl/>
          <w:lang w:bidi="ar-EG"/>
        </w:rPr>
        <w:br w:type="page"/>
      </w:r>
    </w:p>
    <w:p w14:paraId="2A60BE8C" w14:textId="77777777" w:rsidR="002959BC" w:rsidRPr="00E854C2" w:rsidRDefault="002959BC" w:rsidP="002959BC">
      <w:pPr>
        <w:jc w:val="center"/>
        <w:rPr>
          <w:rFonts w:ascii="Simplified Arabic" w:hAnsi="Simplified Arabic" w:cs="Simplified Arabic"/>
          <w:color w:val="000000" w:themeColor="text1"/>
          <w:sz w:val="28"/>
          <w:szCs w:val="28"/>
          <w:rtl/>
        </w:rPr>
      </w:pPr>
      <w:r w:rsidRPr="00E854C2">
        <w:rPr>
          <w:rFonts w:ascii="Simplified Arabic" w:hAnsi="Simplified Arabic" w:cs="Simplified Arabic"/>
          <w:color w:val="FF0000"/>
          <w:sz w:val="28"/>
          <w:szCs w:val="28"/>
          <w:rtl/>
        </w:rPr>
        <w:lastRenderedPageBreak/>
        <mc:AlternateContent>
          <mc:Choice Requires="wps">
            <w:drawing>
              <wp:anchor distT="0" distB="0" distL="114300" distR="114300" simplePos="0" relativeHeight="251725824" behindDoc="0" locked="0" layoutInCell="1" allowOverlap="1" wp14:anchorId="5BC97BE7" wp14:editId="5BA34267">
                <wp:simplePos x="0" y="0"/>
                <wp:positionH relativeFrom="margin">
                  <wp:align>center</wp:align>
                </wp:positionH>
                <wp:positionV relativeFrom="margin">
                  <wp:align>center</wp:align>
                </wp:positionV>
                <wp:extent cx="5370830" cy="556591"/>
                <wp:effectExtent l="0" t="0" r="39370" b="53340"/>
                <wp:wrapNone/>
                <wp:docPr id="152"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0830" cy="556591"/>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3C5B7D49" w14:textId="77777777" w:rsidR="00270E6A" w:rsidRPr="00E854C2" w:rsidRDefault="00270E6A" w:rsidP="002959BC">
                            <w:pPr>
                              <w:jc w:val="center"/>
                              <w:rPr>
                                <w:rFonts w:ascii="Simplified Arabic" w:hAnsi="Simplified Arabic" w:cs="Simplified Arabic"/>
                                <w:b/>
                                <w:bCs/>
                                <w:color w:val="222A35" w:themeColor="text2" w:themeShade="80"/>
                                <w:sz w:val="32"/>
                                <w:szCs w:val="32"/>
                                <w:lang w:bidi="ar-EG"/>
                              </w:rPr>
                            </w:pPr>
                            <w:r w:rsidRPr="00E854C2">
                              <w:rPr>
                                <w:rFonts w:ascii="Simplified Arabic" w:hAnsi="Simplified Arabic" w:cs="Simplified Arabic"/>
                                <w:b/>
                                <w:bCs/>
                                <w:color w:val="222A35" w:themeColor="text2" w:themeShade="80"/>
                                <w:sz w:val="32"/>
                                <w:szCs w:val="32"/>
                                <w:rtl/>
                                <w:lang w:bidi="ar-EG"/>
                              </w:rPr>
                              <w:t>الملاحــق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C97BE7" id="_x0000_s1138" style="position:absolute;left:0;text-align:left;margin-left:0;margin-top:0;width:422.9pt;height:43.85pt;z-index:2517258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" fillcolor="white [3201]" strokecolor="#c9c9c9 [1942]" strokeweight="1pt">
                <v:fill color2="#dbdbdb [1302]" focus="100%" type="gradient"/>
                <v:shadow on="t" color="#525252 [1606]" opacity=".5" offset="1pt"/>
                <v:textbox>
                  <w:txbxContent>
                    <w:p w14:paraId="3C5B7D49" w14:textId="77777777" w:rsidR="00270E6A" w:rsidRPr="00E854C2" w:rsidRDefault="00270E6A" w:rsidP="002959BC">
                      <w:pPr>
                        <w:jc w:val="center"/>
                        <w:rPr>
                          <w:rFonts w:ascii="Simplified Arabic" w:hAnsi="Simplified Arabic" w:cs="Simplified Arabic"/>
                          <w:b/>
                          <w:bCs/>
                          <w:color w:val="222A35" w:themeColor="text2" w:themeShade="80"/>
                          <w:sz w:val="32"/>
                          <w:szCs w:val="32"/>
                          <w:lang w:bidi="ar-EG"/>
                        </w:rPr>
                      </w:pPr>
                      <w:r w:rsidRPr="00E854C2">
                        <w:rPr>
                          <w:rFonts w:ascii="Simplified Arabic" w:hAnsi="Simplified Arabic" w:cs="Simplified Arabic"/>
                          <w:b/>
                          <w:bCs/>
                          <w:color w:val="222A35" w:themeColor="text2" w:themeShade="80"/>
                          <w:sz w:val="32"/>
                          <w:szCs w:val="32"/>
                          <w:rtl/>
                          <w:lang w:bidi="ar-EG"/>
                        </w:rPr>
                        <w:t>الملاحــق</w:t>
                      </w:r>
                    </w:p>
                  </w:txbxContent>
                </v:textbox>
                <w10:wrap anchorx="margin" anchory="margin"/>
              </v:roundrect>
            </w:pict>
          </mc:Fallback>
        </mc:AlternateContent>
      </w:r>
      <w:r w:rsidRPr="00E854C2">
        <w:rPr>
          <w:rFonts w:ascii="Simplified Arabic" w:hAnsi="Simplified Arabic" w:cs="Simplified Arabic"/>
          <w:color w:val="000000" w:themeColor="text1"/>
          <w:sz w:val="28"/>
          <w:szCs w:val="28"/>
          <w:rtl/>
        </w:rPr>
        <w:br w:type="page"/>
      </w:r>
    </w:p>
    <w:p w14:paraId="5C7ACC29" w14:textId="77777777" w:rsidR="002959BC" w:rsidRPr="00E854C2" w:rsidRDefault="002959BC" w:rsidP="002959BC">
      <w:pPr>
        <w:jc w:val="center"/>
        <w:rPr>
          <w:rFonts w:ascii="Simplified Arabic" w:hAnsi="Simplified Arabic" w:cs="Simplified Arabic"/>
          <w:color w:val="000000" w:themeColor="text1"/>
          <w:sz w:val="28"/>
          <w:szCs w:val="28"/>
          <w:rtl/>
        </w:rPr>
        <w:sectPr w:rsidR="002959BC" w:rsidRPr="00E854C2" w:rsidSect="00270E6A">
          <w:footerReference w:type="default" r:id="rId54"/>
          <w:headerReference w:type="first" r:id="rId55"/>
          <w:footerReference w:type="first" r:id="rId56"/>
          <w:footnotePr>
            <w:numRestart w:val="eachPage"/>
          </w:footnotePr>
          <w:pgSz w:w="11907" w:h="16840" w:code="9"/>
          <w:pgMar w:top="1134" w:right="1701" w:bottom="1134" w:left="1134" w:header="851" w:footer="227" w:gutter="0"/>
          <w:pgNumType w:start="110"/>
          <w:cols w:space="720"/>
          <w:titlePg/>
          <w:rtlGutter/>
          <w:docGrid w:linePitch="360"/>
        </w:sectPr>
      </w:pPr>
    </w:p>
    <w:p w14:paraId="6DF72FC9" w14:textId="77777777" w:rsidR="002959BC" w:rsidRPr="00A34ECB" w:rsidRDefault="002959BC" w:rsidP="002959BC">
      <w:pPr>
        <w:tabs>
          <w:tab w:val="left" w:pos="5683"/>
          <w:tab w:val="center" w:pos="7002"/>
        </w:tabs>
        <w:rPr>
          <w:rFonts w:ascii="Simplified Arabic" w:hAnsi="Simplified Arabic" w:cs="Simplified Arabic"/>
          <w:b/>
          <w:bCs/>
          <w:color w:val="000000" w:themeColor="text1"/>
          <w:sz w:val="24"/>
          <w:szCs w:val="24"/>
          <w:rtl/>
        </w:rPr>
      </w:pPr>
      <w:r>
        <w:rPr>
          <w:rFonts w:ascii="Simplified Arabic" w:hAnsi="Simplified Arabic" w:cs="Simplified Arabic"/>
          <w:b/>
          <w:bCs/>
          <w:color w:val="000000" w:themeColor="text1"/>
          <w:sz w:val="24"/>
          <w:szCs w:val="24"/>
          <w:rtl/>
        </w:rPr>
        <w:lastRenderedPageBreak/>
        <w:tab/>
      </w:r>
      <w:r>
        <w:rPr>
          <w:rFonts w:ascii="Simplified Arabic" w:hAnsi="Simplified Arabic" w:cs="Simplified Arabic"/>
          <w:b/>
          <w:bCs/>
          <w:color w:val="000000" w:themeColor="text1"/>
          <w:sz w:val="24"/>
          <w:szCs w:val="24"/>
          <w:rtl/>
        </w:rPr>
        <w:tab/>
      </w:r>
      <w:r w:rsidRPr="00A34ECB">
        <w:rPr>
          <w:rFonts w:ascii="Simplified Arabic" w:hAnsi="Simplified Arabic" w:cs="Simplified Arabic"/>
          <w:b/>
          <w:bCs/>
          <w:color w:val="000000" w:themeColor="text1"/>
          <w:sz w:val="24"/>
          <w:szCs w:val="24"/>
          <w:rtl/>
        </w:rPr>
        <w:t>جدول رقم (4-1)</w:t>
      </w:r>
    </w:p>
    <w:p w14:paraId="3EF12BA1" w14:textId="77777777" w:rsidR="002959BC" w:rsidRPr="00A34ECB" w:rsidRDefault="002959BC" w:rsidP="002959BC">
      <w:pPr>
        <w:jc w:val="center"/>
        <w:rPr>
          <w:rFonts w:ascii="Simplified Arabic" w:hAnsi="Simplified Arabic" w:cs="Simplified Arabic"/>
          <w:b/>
          <w:bCs/>
          <w:color w:val="000000" w:themeColor="text1"/>
          <w:sz w:val="24"/>
          <w:szCs w:val="24"/>
          <w:rtl/>
        </w:rPr>
      </w:pPr>
      <w:r w:rsidRPr="00A34ECB">
        <w:rPr>
          <w:rFonts w:ascii="Simplified Arabic" w:hAnsi="Simplified Arabic" w:cs="Simplified Arabic"/>
          <w:b/>
          <w:bCs/>
          <w:color w:val="000000" w:themeColor="text1"/>
          <w:sz w:val="24"/>
          <w:szCs w:val="24"/>
          <w:rtl/>
        </w:rPr>
        <w:t>تطور عجز الموازنة العامة للدولة</w:t>
      </w:r>
      <w:r w:rsidRPr="00A34ECB">
        <w:rPr>
          <w:rFonts w:ascii="Simplified Arabic" w:hAnsi="Simplified Arabic" w:cs="Simplified Arabic" w:hint="cs"/>
          <w:b/>
          <w:bCs/>
          <w:color w:val="000000" w:themeColor="text1"/>
          <w:sz w:val="24"/>
          <w:szCs w:val="24"/>
          <w:rtl/>
        </w:rPr>
        <w:t xml:space="preserve"> </w:t>
      </w:r>
      <w:r w:rsidRPr="00A34ECB">
        <w:rPr>
          <w:rFonts w:ascii="Simplified Arabic" w:hAnsi="Simplified Arabic" w:cs="Simplified Arabic"/>
          <w:b/>
          <w:bCs/>
          <w:color w:val="000000" w:themeColor="text1"/>
          <w:sz w:val="24"/>
          <w:szCs w:val="24"/>
          <w:rtl/>
        </w:rPr>
        <w:t>خلال الفترة (1991/1992 إلى 2018/2019)</w:t>
      </w:r>
    </w:p>
    <w:p w14:paraId="452391D6" w14:textId="77777777" w:rsidR="002959BC" w:rsidRPr="00A34ECB" w:rsidRDefault="002959BC" w:rsidP="00131C6C">
      <w:pPr>
        <w:bidi w:val="0"/>
        <w:rPr>
          <w:rFonts w:ascii="Simplified Arabic" w:hAnsi="Simplified Arabic" w:cs="Simplified Arabic"/>
          <w:b/>
          <w:bCs/>
          <w:sz w:val="24"/>
          <w:szCs w:val="24"/>
          <w:rtl/>
          <w:lang w:bidi="ar-EG"/>
        </w:rPr>
      </w:pPr>
      <w:r w:rsidRPr="00A34ECB">
        <w:rPr>
          <w:rFonts w:ascii="Simplified Arabic" w:hAnsi="Simplified Arabic" w:cs="Simplified Arabic"/>
          <w:b/>
          <w:bCs/>
          <w:sz w:val="24"/>
          <w:szCs w:val="24"/>
          <w:rtl/>
        </w:rPr>
        <w:t>بالمليون جنيه (بالأسعار الجارية</w:t>
      </w:r>
      <w:r w:rsidRPr="00A34ECB">
        <w:rPr>
          <w:rFonts w:ascii="Simplified Arabic" w:hAnsi="Simplified Arabic" w:cs="Simplified Arabic"/>
          <w:b/>
          <w:bCs/>
          <w:sz w:val="24"/>
          <w:szCs w:val="24"/>
          <w:rtl/>
          <w:lang w:bidi="ar-EG"/>
        </w:rPr>
        <w:t>)</w:t>
      </w:r>
    </w:p>
    <w:tbl>
      <w:tblPr>
        <w:bidiVisual/>
        <w:tblW w:w="1492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52"/>
        <w:gridCol w:w="1250"/>
        <w:gridCol w:w="1257"/>
        <w:gridCol w:w="1449"/>
        <w:gridCol w:w="1416"/>
        <w:gridCol w:w="1672"/>
        <w:gridCol w:w="1693"/>
        <w:gridCol w:w="1290"/>
        <w:gridCol w:w="1664"/>
        <w:gridCol w:w="1684"/>
      </w:tblGrid>
      <w:tr w:rsidR="002959BC" w:rsidRPr="00E854C2" w14:paraId="1FFF2B77" w14:textId="77777777" w:rsidTr="00270E6A">
        <w:trPr>
          <w:trHeight w:val="57"/>
          <w:jc w:val="center"/>
        </w:trPr>
        <w:tc>
          <w:tcPr>
            <w:tcW w:w="1552" w:type="dxa"/>
            <w:shd w:val="clear" w:color="auto" w:fill="F2F2F2" w:themeFill="background1" w:themeFillShade="F2"/>
            <w:vAlign w:val="center"/>
            <w:hideMark/>
          </w:tcPr>
          <w:p w14:paraId="009E8A20" w14:textId="77777777" w:rsidR="002959BC" w:rsidRPr="00E854C2" w:rsidRDefault="002959BC" w:rsidP="00270E6A">
            <w:pPr>
              <w:spacing w:line="216" w:lineRule="auto"/>
              <w:jc w:val="center"/>
              <w:rPr>
                <w:rFonts w:ascii="Simplified Arabic" w:hAnsi="Simplified Arabic" w:cs="Simplified Arabic"/>
                <w:color w:val="000000"/>
                <w:sz w:val="26"/>
                <w:szCs w:val="26"/>
              </w:rPr>
            </w:pPr>
            <w:r w:rsidRPr="00E854C2">
              <w:rPr>
                <w:rFonts w:ascii="Simplified Arabic" w:hAnsi="Simplified Arabic" w:cs="Simplified Arabic"/>
                <w:color w:val="000000"/>
                <w:sz w:val="26"/>
                <w:szCs w:val="26"/>
                <w:rtl/>
              </w:rPr>
              <w:t>السنة</w:t>
            </w:r>
          </w:p>
        </w:tc>
        <w:tc>
          <w:tcPr>
            <w:tcW w:w="1250" w:type="dxa"/>
            <w:shd w:val="clear" w:color="auto" w:fill="F2F2F2" w:themeFill="background1" w:themeFillShade="F2"/>
            <w:vAlign w:val="center"/>
            <w:hideMark/>
          </w:tcPr>
          <w:p w14:paraId="5D2596C2" w14:textId="77777777" w:rsidR="002959BC" w:rsidRPr="00E854C2" w:rsidRDefault="002959BC" w:rsidP="00270E6A">
            <w:pPr>
              <w:spacing w:line="216" w:lineRule="auto"/>
              <w:jc w:val="center"/>
              <w:rPr>
                <w:rFonts w:ascii="Simplified Arabic" w:hAnsi="Simplified Arabic" w:cs="Simplified Arabic"/>
                <w:color w:val="000000"/>
                <w:sz w:val="26"/>
                <w:szCs w:val="26"/>
                <w:rtl/>
              </w:rPr>
            </w:pPr>
            <w:r w:rsidRPr="00E854C2">
              <w:rPr>
                <w:rFonts w:ascii="Simplified Arabic" w:hAnsi="Simplified Arabic" w:cs="Simplified Arabic"/>
                <w:color w:val="000000"/>
                <w:sz w:val="26"/>
                <w:szCs w:val="26"/>
                <w:rtl/>
              </w:rPr>
              <w:t>إجمالي الإيرادات</w:t>
            </w:r>
          </w:p>
        </w:tc>
        <w:tc>
          <w:tcPr>
            <w:tcW w:w="1257" w:type="dxa"/>
            <w:shd w:val="clear" w:color="auto" w:fill="F2F2F2" w:themeFill="background1" w:themeFillShade="F2"/>
            <w:vAlign w:val="center"/>
            <w:hideMark/>
          </w:tcPr>
          <w:p w14:paraId="061585F8" w14:textId="77777777" w:rsidR="002959BC" w:rsidRPr="00E854C2" w:rsidRDefault="002959BC" w:rsidP="00270E6A">
            <w:pPr>
              <w:spacing w:line="216" w:lineRule="auto"/>
              <w:jc w:val="center"/>
              <w:rPr>
                <w:rFonts w:ascii="Simplified Arabic" w:hAnsi="Simplified Arabic" w:cs="Simplified Arabic"/>
                <w:color w:val="000000"/>
                <w:sz w:val="26"/>
                <w:szCs w:val="26"/>
                <w:rtl/>
              </w:rPr>
            </w:pPr>
            <w:r w:rsidRPr="00E854C2">
              <w:rPr>
                <w:rFonts w:ascii="Simplified Arabic" w:hAnsi="Simplified Arabic" w:cs="Simplified Arabic"/>
                <w:color w:val="000000"/>
                <w:sz w:val="26"/>
                <w:szCs w:val="26"/>
                <w:rtl/>
              </w:rPr>
              <w:t>إجمالي المصروفات</w:t>
            </w:r>
          </w:p>
        </w:tc>
        <w:tc>
          <w:tcPr>
            <w:tcW w:w="1449" w:type="dxa"/>
            <w:shd w:val="clear" w:color="auto" w:fill="F2F2F2" w:themeFill="background1" w:themeFillShade="F2"/>
            <w:vAlign w:val="center"/>
            <w:hideMark/>
          </w:tcPr>
          <w:p w14:paraId="02C132D8" w14:textId="77777777" w:rsidR="002959BC" w:rsidRPr="00E854C2" w:rsidRDefault="002959BC" w:rsidP="00270E6A">
            <w:pPr>
              <w:spacing w:line="216" w:lineRule="auto"/>
              <w:jc w:val="center"/>
              <w:rPr>
                <w:rFonts w:ascii="Simplified Arabic" w:hAnsi="Simplified Arabic" w:cs="Simplified Arabic"/>
                <w:color w:val="000000"/>
                <w:sz w:val="26"/>
                <w:szCs w:val="26"/>
                <w:rtl/>
              </w:rPr>
            </w:pPr>
            <w:r w:rsidRPr="00E854C2">
              <w:rPr>
                <w:rFonts w:ascii="Simplified Arabic" w:hAnsi="Simplified Arabic" w:cs="Simplified Arabic"/>
                <w:color w:val="000000"/>
                <w:sz w:val="26"/>
                <w:szCs w:val="26"/>
                <w:rtl/>
              </w:rPr>
              <w:t>العجز الكلي</w:t>
            </w:r>
          </w:p>
        </w:tc>
        <w:tc>
          <w:tcPr>
            <w:tcW w:w="1416" w:type="dxa"/>
            <w:shd w:val="clear" w:color="auto" w:fill="F2F2F2" w:themeFill="background1" w:themeFillShade="F2"/>
            <w:vAlign w:val="center"/>
            <w:hideMark/>
          </w:tcPr>
          <w:p w14:paraId="48C84157" w14:textId="77777777" w:rsidR="002959BC" w:rsidRPr="00E854C2" w:rsidRDefault="002959BC" w:rsidP="00270E6A">
            <w:pPr>
              <w:spacing w:line="216" w:lineRule="auto"/>
              <w:jc w:val="center"/>
              <w:rPr>
                <w:rFonts w:ascii="Simplified Arabic" w:hAnsi="Simplified Arabic" w:cs="Simplified Arabic"/>
                <w:color w:val="000000"/>
                <w:sz w:val="26"/>
                <w:szCs w:val="26"/>
                <w:rtl/>
              </w:rPr>
            </w:pPr>
            <w:r w:rsidRPr="00E854C2">
              <w:rPr>
                <w:rFonts w:ascii="Simplified Arabic" w:hAnsi="Simplified Arabic" w:cs="Simplified Arabic"/>
                <w:color w:val="000000"/>
                <w:sz w:val="26"/>
                <w:szCs w:val="26"/>
                <w:rtl/>
              </w:rPr>
              <w:t>الناتج المحلي الإجمالي</w:t>
            </w:r>
          </w:p>
        </w:tc>
        <w:tc>
          <w:tcPr>
            <w:tcW w:w="1672" w:type="dxa"/>
            <w:shd w:val="clear" w:color="auto" w:fill="F2F2F2" w:themeFill="background1" w:themeFillShade="F2"/>
            <w:vAlign w:val="center"/>
            <w:hideMark/>
          </w:tcPr>
          <w:p w14:paraId="457F7B47" w14:textId="77777777" w:rsidR="002959BC" w:rsidRPr="00E854C2" w:rsidRDefault="002959BC" w:rsidP="00270E6A">
            <w:pPr>
              <w:spacing w:line="216" w:lineRule="auto"/>
              <w:jc w:val="center"/>
              <w:rPr>
                <w:rFonts w:ascii="Simplified Arabic" w:hAnsi="Simplified Arabic" w:cs="Simplified Arabic"/>
                <w:color w:val="000000"/>
                <w:sz w:val="26"/>
                <w:szCs w:val="26"/>
                <w:rtl/>
              </w:rPr>
            </w:pPr>
            <w:r w:rsidRPr="00E854C2">
              <w:rPr>
                <w:rFonts w:ascii="Simplified Arabic" w:hAnsi="Simplified Arabic" w:cs="Simplified Arabic"/>
                <w:color w:val="000000"/>
                <w:sz w:val="26"/>
                <w:szCs w:val="26"/>
                <w:rtl/>
              </w:rPr>
              <w:t>نسبة الإيرادات إلى الناتج</w:t>
            </w:r>
          </w:p>
        </w:tc>
        <w:tc>
          <w:tcPr>
            <w:tcW w:w="1693" w:type="dxa"/>
            <w:shd w:val="clear" w:color="auto" w:fill="F2F2F2" w:themeFill="background1" w:themeFillShade="F2"/>
            <w:vAlign w:val="center"/>
            <w:hideMark/>
          </w:tcPr>
          <w:p w14:paraId="46A92703" w14:textId="77777777" w:rsidR="002959BC" w:rsidRPr="00E854C2" w:rsidRDefault="002959BC" w:rsidP="00270E6A">
            <w:pPr>
              <w:spacing w:line="216" w:lineRule="auto"/>
              <w:jc w:val="center"/>
              <w:rPr>
                <w:rFonts w:ascii="Simplified Arabic" w:hAnsi="Simplified Arabic" w:cs="Simplified Arabic"/>
                <w:color w:val="000000"/>
                <w:sz w:val="26"/>
                <w:szCs w:val="26"/>
                <w:rtl/>
              </w:rPr>
            </w:pPr>
            <w:r w:rsidRPr="00E854C2">
              <w:rPr>
                <w:rFonts w:ascii="Simplified Arabic" w:hAnsi="Simplified Arabic" w:cs="Simplified Arabic"/>
                <w:color w:val="000000"/>
                <w:sz w:val="26"/>
                <w:szCs w:val="26"/>
                <w:rtl/>
              </w:rPr>
              <w:t>نسبة المصروفات إلى الناتج</w:t>
            </w:r>
          </w:p>
        </w:tc>
        <w:tc>
          <w:tcPr>
            <w:tcW w:w="1290" w:type="dxa"/>
            <w:shd w:val="clear" w:color="auto" w:fill="F2F2F2" w:themeFill="background1" w:themeFillShade="F2"/>
            <w:vAlign w:val="center"/>
            <w:hideMark/>
          </w:tcPr>
          <w:p w14:paraId="624A7E39" w14:textId="77777777" w:rsidR="002959BC" w:rsidRPr="00E854C2" w:rsidRDefault="002959BC" w:rsidP="00270E6A">
            <w:pPr>
              <w:spacing w:line="216" w:lineRule="auto"/>
              <w:jc w:val="center"/>
              <w:rPr>
                <w:rFonts w:ascii="Simplified Arabic" w:hAnsi="Simplified Arabic" w:cs="Simplified Arabic"/>
                <w:color w:val="000000"/>
                <w:sz w:val="26"/>
                <w:szCs w:val="26"/>
                <w:rtl/>
              </w:rPr>
            </w:pPr>
            <w:r w:rsidRPr="00E854C2">
              <w:rPr>
                <w:rFonts w:ascii="Simplified Arabic" w:hAnsi="Simplified Arabic" w:cs="Simplified Arabic"/>
                <w:color w:val="000000"/>
                <w:sz w:val="26"/>
                <w:szCs w:val="26"/>
                <w:rtl/>
              </w:rPr>
              <w:t>نسبة العجز</w:t>
            </w:r>
          </w:p>
          <w:p w14:paraId="5ED92C45" w14:textId="77777777" w:rsidR="002959BC" w:rsidRPr="00E854C2" w:rsidRDefault="002959BC" w:rsidP="00270E6A">
            <w:pPr>
              <w:spacing w:line="216" w:lineRule="auto"/>
              <w:jc w:val="center"/>
              <w:rPr>
                <w:rFonts w:ascii="Simplified Arabic" w:hAnsi="Simplified Arabic" w:cs="Simplified Arabic"/>
                <w:color w:val="000000"/>
                <w:sz w:val="26"/>
                <w:szCs w:val="26"/>
                <w:rtl/>
              </w:rPr>
            </w:pPr>
            <w:r w:rsidRPr="00E854C2">
              <w:rPr>
                <w:rFonts w:ascii="Simplified Arabic" w:hAnsi="Simplified Arabic" w:cs="Simplified Arabic"/>
                <w:color w:val="000000"/>
                <w:sz w:val="26"/>
                <w:szCs w:val="26"/>
                <w:rtl/>
              </w:rPr>
              <w:t>إلى الناتج</w:t>
            </w:r>
          </w:p>
        </w:tc>
        <w:tc>
          <w:tcPr>
            <w:tcW w:w="1664" w:type="dxa"/>
            <w:shd w:val="clear" w:color="auto" w:fill="F2F2F2" w:themeFill="background1" w:themeFillShade="F2"/>
            <w:vAlign w:val="center"/>
            <w:hideMark/>
          </w:tcPr>
          <w:p w14:paraId="4C842B8E" w14:textId="77777777" w:rsidR="002959BC" w:rsidRPr="00E854C2" w:rsidRDefault="002959BC" w:rsidP="00270E6A">
            <w:pPr>
              <w:spacing w:line="216" w:lineRule="auto"/>
              <w:jc w:val="center"/>
              <w:rPr>
                <w:rFonts w:ascii="Simplified Arabic" w:hAnsi="Simplified Arabic" w:cs="Simplified Arabic"/>
                <w:color w:val="000000"/>
                <w:sz w:val="26"/>
                <w:szCs w:val="26"/>
                <w:rtl/>
              </w:rPr>
            </w:pPr>
            <w:r w:rsidRPr="00E854C2">
              <w:rPr>
                <w:rFonts w:ascii="Simplified Arabic" w:hAnsi="Simplified Arabic" w:cs="Simplified Arabic"/>
                <w:color w:val="000000"/>
                <w:sz w:val="26"/>
                <w:szCs w:val="26"/>
                <w:rtl/>
              </w:rPr>
              <w:t>التغير النسبي</w:t>
            </w:r>
          </w:p>
          <w:p w14:paraId="0587D449" w14:textId="77777777" w:rsidR="002959BC" w:rsidRPr="00E854C2" w:rsidRDefault="002959BC" w:rsidP="00270E6A">
            <w:pPr>
              <w:spacing w:line="216" w:lineRule="auto"/>
              <w:jc w:val="center"/>
              <w:rPr>
                <w:rFonts w:ascii="Simplified Arabic" w:hAnsi="Simplified Arabic" w:cs="Simplified Arabic"/>
                <w:color w:val="000000"/>
                <w:sz w:val="26"/>
                <w:szCs w:val="26"/>
                <w:rtl/>
              </w:rPr>
            </w:pPr>
            <w:r w:rsidRPr="00E854C2">
              <w:rPr>
                <w:rFonts w:ascii="Simplified Arabic" w:hAnsi="Simplified Arabic" w:cs="Simplified Arabic"/>
                <w:color w:val="000000"/>
                <w:sz w:val="26"/>
                <w:szCs w:val="26"/>
                <w:rtl/>
              </w:rPr>
              <w:t>في الإيرادات</w:t>
            </w:r>
          </w:p>
        </w:tc>
        <w:tc>
          <w:tcPr>
            <w:tcW w:w="1684" w:type="dxa"/>
            <w:shd w:val="clear" w:color="auto" w:fill="F2F2F2" w:themeFill="background1" w:themeFillShade="F2"/>
            <w:vAlign w:val="center"/>
            <w:hideMark/>
          </w:tcPr>
          <w:p w14:paraId="46E7A4FF" w14:textId="77777777" w:rsidR="002959BC" w:rsidRPr="00E854C2" w:rsidRDefault="002959BC" w:rsidP="00270E6A">
            <w:pPr>
              <w:spacing w:line="216" w:lineRule="auto"/>
              <w:jc w:val="center"/>
              <w:rPr>
                <w:rFonts w:ascii="Simplified Arabic" w:hAnsi="Simplified Arabic" w:cs="Simplified Arabic"/>
                <w:color w:val="000000"/>
                <w:sz w:val="26"/>
                <w:szCs w:val="26"/>
                <w:rtl/>
              </w:rPr>
            </w:pPr>
            <w:r w:rsidRPr="00E854C2">
              <w:rPr>
                <w:rFonts w:ascii="Simplified Arabic" w:hAnsi="Simplified Arabic" w:cs="Simplified Arabic"/>
                <w:color w:val="000000"/>
                <w:sz w:val="26"/>
                <w:szCs w:val="26"/>
                <w:rtl/>
              </w:rPr>
              <w:t>التغير النسبي</w:t>
            </w:r>
          </w:p>
          <w:p w14:paraId="3FB1B87B" w14:textId="77777777" w:rsidR="002959BC" w:rsidRPr="00E854C2" w:rsidRDefault="002959BC" w:rsidP="00270E6A">
            <w:pPr>
              <w:spacing w:line="216" w:lineRule="auto"/>
              <w:jc w:val="center"/>
              <w:rPr>
                <w:rFonts w:ascii="Simplified Arabic" w:hAnsi="Simplified Arabic" w:cs="Simplified Arabic"/>
                <w:color w:val="000000"/>
                <w:sz w:val="26"/>
                <w:szCs w:val="26"/>
                <w:rtl/>
              </w:rPr>
            </w:pPr>
            <w:r w:rsidRPr="00E854C2">
              <w:rPr>
                <w:rFonts w:ascii="Simplified Arabic" w:hAnsi="Simplified Arabic" w:cs="Simplified Arabic"/>
                <w:color w:val="000000"/>
                <w:sz w:val="26"/>
                <w:szCs w:val="26"/>
                <w:rtl/>
              </w:rPr>
              <w:t>في المصروفات</w:t>
            </w:r>
          </w:p>
        </w:tc>
      </w:tr>
      <w:tr w:rsidR="002959BC" w:rsidRPr="00E854C2" w14:paraId="1ADD9972" w14:textId="77777777" w:rsidTr="00270E6A">
        <w:trPr>
          <w:trHeight w:val="397"/>
          <w:jc w:val="center"/>
        </w:trPr>
        <w:tc>
          <w:tcPr>
            <w:tcW w:w="1552" w:type="dxa"/>
            <w:shd w:val="clear" w:color="auto" w:fill="F2F2F2" w:themeFill="background1" w:themeFillShade="F2"/>
            <w:vAlign w:val="center"/>
            <w:hideMark/>
          </w:tcPr>
          <w:p w14:paraId="1B333379"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1991/1992</w:t>
            </w:r>
          </w:p>
        </w:tc>
        <w:tc>
          <w:tcPr>
            <w:tcW w:w="1250" w:type="dxa"/>
            <w:shd w:val="clear" w:color="auto" w:fill="auto"/>
            <w:vAlign w:val="center"/>
            <w:hideMark/>
          </w:tcPr>
          <w:p w14:paraId="164A6820"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41406</w:t>
            </w:r>
          </w:p>
        </w:tc>
        <w:tc>
          <w:tcPr>
            <w:tcW w:w="1257" w:type="dxa"/>
            <w:shd w:val="clear" w:color="auto" w:fill="auto"/>
            <w:vAlign w:val="center"/>
            <w:hideMark/>
          </w:tcPr>
          <w:p w14:paraId="3F894BD2"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47563</w:t>
            </w:r>
          </w:p>
        </w:tc>
        <w:tc>
          <w:tcPr>
            <w:tcW w:w="1449" w:type="dxa"/>
            <w:shd w:val="clear" w:color="auto" w:fill="auto"/>
            <w:vAlign w:val="center"/>
            <w:hideMark/>
          </w:tcPr>
          <w:p w14:paraId="112E99F9"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6157</w:t>
            </w:r>
          </w:p>
        </w:tc>
        <w:tc>
          <w:tcPr>
            <w:tcW w:w="1416" w:type="dxa"/>
            <w:shd w:val="clear" w:color="auto" w:fill="auto"/>
            <w:vAlign w:val="center"/>
            <w:hideMark/>
          </w:tcPr>
          <w:p w14:paraId="43D5A166"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131057</w:t>
            </w:r>
          </w:p>
        </w:tc>
        <w:tc>
          <w:tcPr>
            <w:tcW w:w="1672" w:type="dxa"/>
            <w:shd w:val="clear" w:color="auto" w:fill="auto"/>
            <w:vAlign w:val="center"/>
            <w:hideMark/>
          </w:tcPr>
          <w:p w14:paraId="759DABE1"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31.6%</w:t>
            </w:r>
          </w:p>
        </w:tc>
        <w:tc>
          <w:tcPr>
            <w:tcW w:w="1693" w:type="dxa"/>
            <w:shd w:val="clear" w:color="auto" w:fill="auto"/>
            <w:vAlign w:val="center"/>
            <w:hideMark/>
          </w:tcPr>
          <w:p w14:paraId="3CD7D12C"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36.3%</w:t>
            </w:r>
          </w:p>
        </w:tc>
        <w:tc>
          <w:tcPr>
            <w:tcW w:w="1290" w:type="dxa"/>
            <w:shd w:val="clear" w:color="auto" w:fill="auto"/>
            <w:vAlign w:val="center"/>
            <w:hideMark/>
          </w:tcPr>
          <w:p w14:paraId="3E805755"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4.7%</w:t>
            </w:r>
          </w:p>
        </w:tc>
        <w:tc>
          <w:tcPr>
            <w:tcW w:w="1664" w:type="dxa"/>
            <w:shd w:val="clear" w:color="auto" w:fill="auto"/>
            <w:vAlign w:val="center"/>
            <w:hideMark/>
          </w:tcPr>
          <w:p w14:paraId="5CA32341"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28.9%</w:t>
            </w:r>
          </w:p>
        </w:tc>
        <w:tc>
          <w:tcPr>
            <w:tcW w:w="1684" w:type="dxa"/>
            <w:shd w:val="clear" w:color="auto" w:fill="auto"/>
            <w:vAlign w:val="center"/>
            <w:hideMark/>
          </w:tcPr>
          <w:p w14:paraId="798C6A79"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12.8%</w:t>
            </w:r>
          </w:p>
        </w:tc>
      </w:tr>
      <w:tr w:rsidR="002959BC" w:rsidRPr="00E854C2" w14:paraId="5D941ED0" w14:textId="77777777" w:rsidTr="00270E6A">
        <w:trPr>
          <w:trHeight w:val="397"/>
          <w:jc w:val="center"/>
        </w:trPr>
        <w:tc>
          <w:tcPr>
            <w:tcW w:w="1552" w:type="dxa"/>
            <w:shd w:val="clear" w:color="auto" w:fill="F2F2F2" w:themeFill="background1" w:themeFillShade="F2"/>
            <w:vAlign w:val="center"/>
            <w:hideMark/>
          </w:tcPr>
          <w:p w14:paraId="42547D0F"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1992/1993</w:t>
            </w:r>
          </w:p>
        </w:tc>
        <w:tc>
          <w:tcPr>
            <w:tcW w:w="1250" w:type="dxa"/>
            <w:shd w:val="clear" w:color="auto" w:fill="auto"/>
            <w:vAlign w:val="center"/>
            <w:hideMark/>
          </w:tcPr>
          <w:p w14:paraId="3E4E8FB3"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46703</w:t>
            </w:r>
          </w:p>
        </w:tc>
        <w:tc>
          <w:tcPr>
            <w:tcW w:w="1257" w:type="dxa"/>
            <w:shd w:val="clear" w:color="auto" w:fill="auto"/>
            <w:vAlign w:val="center"/>
            <w:hideMark/>
          </w:tcPr>
          <w:p w14:paraId="66EBAB67"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52223</w:t>
            </w:r>
          </w:p>
        </w:tc>
        <w:tc>
          <w:tcPr>
            <w:tcW w:w="1449" w:type="dxa"/>
            <w:shd w:val="clear" w:color="auto" w:fill="auto"/>
            <w:vAlign w:val="center"/>
            <w:hideMark/>
          </w:tcPr>
          <w:p w14:paraId="7A1B8567"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5520</w:t>
            </w:r>
          </w:p>
        </w:tc>
        <w:tc>
          <w:tcPr>
            <w:tcW w:w="1416" w:type="dxa"/>
            <w:shd w:val="clear" w:color="auto" w:fill="auto"/>
            <w:vAlign w:val="center"/>
            <w:hideMark/>
          </w:tcPr>
          <w:p w14:paraId="0CD9AB58"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146160</w:t>
            </w:r>
          </w:p>
        </w:tc>
        <w:tc>
          <w:tcPr>
            <w:tcW w:w="1672" w:type="dxa"/>
            <w:shd w:val="clear" w:color="auto" w:fill="auto"/>
            <w:vAlign w:val="center"/>
            <w:hideMark/>
          </w:tcPr>
          <w:p w14:paraId="158F0A3D"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32.0%</w:t>
            </w:r>
          </w:p>
        </w:tc>
        <w:tc>
          <w:tcPr>
            <w:tcW w:w="1693" w:type="dxa"/>
            <w:shd w:val="clear" w:color="auto" w:fill="auto"/>
            <w:vAlign w:val="center"/>
            <w:hideMark/>
          </w:tcPr>
          <w:p w14:paraId="2B8893A3"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35.7%</w:t>
            </w:r>
          </w:p>
        </w:tc>
        <w:tc>
          <w:tcPr>
            <w:tcW w:w="1290" w:type="dxa"/>
            <w:shd w:val="clear" w:color="auto" w:fill="auto"/>
            <w:vAlign w:val="center"/>
            <w:hideMark/>
          </w:tcPr>
          <w:p w14:paraId="3194A703"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3.8%</w:t>
            </w:r>
          </w:p>
        </w:tc>
        <w:tc>
          <w:tcPr>
            <w:tcW w:w="1664" w:type="dxa"/>
            <w:shd w:val="clear" w:color="auto" w:fill="auto"/>
            <w:vAlign w:val="center"/>
            <w:hideMark/>
          </w:tcPr>
          <w:p w14:paraId="2ED7ECEA"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12.8%</w:t>
            </w:r>
          </w:p>
        </w:tc>
        <w:tc>
          <w:tcPr>
            <w:tcW w:w="1684" w:type="dxa"/>
            <w:shd w:val="clear" w:color="auto" w:fill="auto"/>
            <w:vAlign w:val="center"/>
            <w:hideMark/>
          </w:tcPr>
          <w:p w14:paraId="2CA8AA25"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9.8%</w:t>
            </w:r>
          </w:p>
        </w:tc>
      </w:tr>
      <w:tr w:rsidR="002959BC" w:rsidRPr="00E854C2" w14:paraId="377F7A43" w14:textId="77777777" w:rsidTr="00270E6A">
        <w:trPr>
          <w:trHeight w:val="397"/>
          <w:jc w:val="center"/>
        </w:trPr>
        <w:tc>
          <w:tcPr>
            <w:tcW w:w="1552" w:type="dxa"/>
            <w:shd w:val="clear" w:color="auto" w:fill="F2F2F2" w:themeFill="background1" w:themeFillShade="F2"/>
            <w:vAlign w:val="center"/>
            <w:hideMark/>
          </w:tcPr>
          <w:p w14:paraId="166EF572"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1993/1994</w:t>
            </w:r>
          </w:p>
        </w:tc>
        <w:tc>
          <w:tcPr>
            <w:tcW w:w="1250" w:type="dxa"/>
            <w:shd w:val="clear" w:color="auto" w:fill="auto"/>
            <w:vAlign w:val="center"/>
            <w:hideMark/>
          </w:tcPr>
          <w:p w14:paraId="39CACEC3"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52567</w:t>
            </w:r>
          </w:p>
        </w:tc>
        <w:tc>
          <w:tcPr>
            <w:tcW w:w="1257" w:type="dxa"/>
            <w:shd w:val="clear" w:color="auto" w:fill="auto"/>
            <w:vAlign w:val="center"/>
            <w:hideMark/>
          </w:tcPr>
          <w:p w14:paraId="346AD918"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56254</w:t>
            </w:r>
          </w:p>
        </w:tc>
        <w:tc>
          <w:tcPr>
            <w:tcW w:w="1449" w:type="dxa"/>
            <w:shd w:val="clear" w:color="auto" w:fill="auto"/>
            <w:vAlign w:val="center"/>
            <w:hideMark/>
          </w:tcPr>
          <w:p w14:paraId="021747C9"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3697</w:t>
            </w:r>
          </w:p>
        </w:tc>
        <w:tc>
          <w:tcPr>
            <w:tcW w:w="1416" w:type="dxa"/>
            <w:shd w:val="clear" w:color="auto" w:fill="auto"/>
            <w:vAlign w:val="center"/>
            <w:hideMark/>
          </w:tcPr>
          <w:p w14:paraId="5229AA3B"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175223</w:t>
            </w:r>
          </w:p>
        </w:tc>
        <w:tc>
          <w:tcPr>
            <w:tcW w:w="1672" w:type="dxa"/>
            <w:shd w:val="clear" w:color="auto" w:fill="auto"/>
            <w:vAlign w:val="center"/>
            <w:hideMark/>
          </w:tcPr>
          <w:p w14:paraId="23748CD4"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30.0%</w:t>
            </w:r>
          </w:p>
        </w:tc>
        <w:tc>
          <w:tcPr>
            <w:tcW w:w="1693" w:type="dxa"/>
            <w:shd w:val="clear" w:color="auto" w:fill="auto"/>
            <w:vAlign w:val="center"/>
            <w:hideMark/>
          </w:tcPr>
          <w:p w14:paraId="494B6101"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32.1%</w:t>
            </w:r>
          </w:p>
        </w:tc>
        <w:tc>
          <w:tcPr>
            <w:tcW w:w="1290" w:type="dxa"/>
            <w:shd w:val="clear" w:color="auto" w:fill="auto"/>
            <w:vAlign w:val="center"/>
            <w:hideMark/>
          </w:tcPr>
          <w:p w14:paraId="6BD541D8"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2.1%</w:t>
            </w:r>
          </w:p>
        </w:tc>
        <w:tc>
          <w:tcPr>
            <w:tcW w:w="1664" w:type="dxa"/>
            <w:shd w:val="clear" w:color="auto" w:fill="auto"/>
            <w:vAlign w:val="center"/>
            <w:hideMark/>
          </w:tcPr>
          <w:p w14:paraId="6F4BFD8B"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12.6%</w:t>
            </w:r>
          </w:p>
        </w:tc>
        <w:tc>
          <w:tcPr>
            <w:tcW w:w="1684" w:type="dxa"/>
            <w:shd w:val="clear" w:color="auto" w:fill="auto"/>
            <w:vAlign w:val="center"/>
            <w:hideMark/>
          </w:tcPr>
          <w:p w14:paraId="514AA3EC"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7.7%</w:t>
            </w:r>
          </w:p>
        </w:tc>
      </w:tr>
      <w:tr w:rsidR="002959BC" w:rsidRPr="00E854C2" w14:paraId="150FCC55" w14:textId="77777777" w:rsidTr="00270E6A">
        <w:trPr>
          <w:trHeight w:val="397"/>
          <w:jc w:val="center"/>
        </w:trPr>
        <w:tc>
          <w:tcPr>
            <w:tcW w:w="1552" w:type="dxa"/>
            <w:shd w:val="clear" w:color="auto" w:fill="F2F2F2" w:themeFill="background1" w:themeFillShade="F2"/>
            <w:vAlign w:val="center"/>
            <w:hideMark/>
          </w:tcPr>
          <w:p w14:paraId="30823AE7"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1994/1995</w:t>
            </w:r>
          </w:p>
        </w:tc>
        <w:tc>
          <w:tcPr>
            <w:tcW w:w="1250" w:type="dxa"/>
            <w:shd w:val="clear" w:color="auto" w:fill="auto"/>
            <w:vAlign w:val="center"/>
            <w:hideMark/>
          </w:tcPr>
          <w:p w14:paraId="0F1A6C3D"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55719</w:t>
            </w:r>
          </w:p>
        </w:tc>
        <w:tc>
          <w:tcPr>
            <w:tcW w:w="1257" w:type="dxa"/>
            <w:shd w:val="clear" w:color="auto" w:fill="auto"/>
            <w:vAlign w:val="center"/>
            <w:hideMark/>
          </w:tcPr>
          <w:p w14:paraId="03B71C1B"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58256</w:t>
            </w:r>
          </w:p>
        </w:tc>
        <w:tc>
          <w:tcPr>
            <w:tcW w:w="1449" w:type="dxa"/>
            <w:shd w:val="clear" w:color="auto" w:fill="auto"/>
            <w:vAlign w:val="center"/>
            <w:hideMark/>
          </w:tcPr>
          <w:p w14:paraId="22BDF746"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2537</w:t>
            </w:r>
          </w:p>
        </w:tc>
        <w:tc>
          <w:tcPr>
            <w:tcW w:w="1416" w:type="dxa"/>
            <w:shd w:val="clear" w:color="auto" w:fill="auto"/>
            <w:vAlign w:val="center"/>
            <w:hideMark/>
          </w:tcPr>
          <w:p w14:paraId="6CC40C7F"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204098</w:t>
            </w:r>
          </w:p>
        </w:tc>
        <w:tc>
          <w:tcPr>
            <w:tcW w:w="1672" w:type="dxa"/>
            <w:shd w:val="clear" w:color="auto" w:fill="auto"/>
            <w:vAlign w:val="center"/>
            <w:hideMark/>
          </w:tcPr>
          <w:p w14:paraId="38205CB2"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27.3%</w:t>
            </w:r>
          </w:p>
        </w:tc>
        <w:tc>
          <w:tcPr>
            <w:tcW w:w="1693" w:type="dxa"/>
            <w:shd w:val="clear" w:color="auto" w:fill="auto"/>
            <w:vAlign w:val="center"/>
            <w:hideMark/>
          </w:tcPr>
          <w:p w14:paraId="4C90FC8B"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28.5%</w:t>
            </w:r>
          </w:p>
        </w:tc>
        <w:tc>
          <w:tcPr>
            <w:tcW w:w="1290" w:type="dxa"/>
            <w:shd w:val="clear" w:color="auto" w:fill="auto"/>
            <w:vAlign w:val="center"/>
            <w:hideMark/>
          </w:tcPr>
          <w:p w14:paraId="71353F34"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1.2%</w:t>
            </w:r>
          </w:p>
        </w:tc>
        <w:tc>
          <w:tcPr>
            <w:tcW w:w="1664" w:type="dxa"/>
            <w:shd w:val="clear" w:color="auto" w:fill="auto"/>
            <w:vAlign w:val="center"/>
            <w:hideMark/>
          </w:tcPr>
          <w:p w14:paraId="22C69E83"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6.0%</w:t>
            </w:r>
          </w:p>
        </w:tc>
        <w:tc>
          <w:tcPr>
            <w:tcW w:w="1684" w:type="dxa"/>
            <w:shd w:val="clear" w:color="auto" w:fill="auto"/>
            <w:vAlign w:val="center"/>
            <w:hideMark/>
          </w:tcPr>
          <w:p w14:paraId="38BBBB5E"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3.6%</w:t>
            </w:r>
          </w:p>
        </w:tc>
      </w:tr>
      <w:tr w:rsidR="002959BC" w:rsidRPr="00E854C2" w14:paraId="1D5780B3" w14:textId="77777777" w:rsidTr="00270E6A">
        <w:trPr>
          <w:trHeight w:val="397"/>
          <w:jc w:val="center"/>
        </w:trPr>
        <w:tc>
          <w:tcPr>
            <w:tcW w:w="1552" w:type="dxa"/>
            <w:shd w:val="clear" w:color="auto" w:fill="F2F2F2" w:themeFill="background1" w:themeFillShade="F2"/>
            <w:vAlign w:val="center"/>
            <w:hideMark/>
          </w:tcPr>
          <w:p w14:paraId="1A1EA1C9"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1995/1996</w:t>
            </w:r>
          </w:p>
        </w:tc>
        <w:tc>
          <w:tcPr>
            <w:tcW w:w="1250" w:type="dxa"/>
            <w:shd w:val="clear" w:color="auto" w:fill="auto"/>
            <w:vAlign w:val="center"/>
            <w:hideMark/>
          </w:tcPr>
          <w:p w14:paraId="24316BBF"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60893</w:t>
            </w:r>
          </w:p>
        </w:tc>
        <w:tc>
          <w:tcPr>
            <w:tcW w:w="1257" w:type="dxa"/>
            <w:shd w:val="clear" w:color="auto" w:fill="auto"/>
            <w:vAlign w:val="center"/>
            <w:hideMark/>
          </w:tcPr>
          <w:p w14:paraId="16FF3C0E"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63889</w:t>
            </w:r>
          </w:p>
        </w:tc>
        <w:tc>
          <w:tcPr>
            <w:tcW w:w="1449" w:type="dxa"/>
            <w:shd w:val="clear" w:color="auto" w:fill="auto"/>
            <w:vAlign w:val="center"/>
            <w:hideMark/>
          </w:tcPr>
          <w:p w14:paraId="58AFAB5E"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2996</w:t>
            </w:r>
          </w:p>
        </w:tc>
        <w:tc>
          <w:tcPr>
            <w:tcW w:w="1416" w:type="dxa"/>
            <w:shd w:val="clear" w:color="auto" w:fill="auto"/>
            <w:vAlign w:val="center"/>
            <w:hideMark/>
          </w:tcPr>
          <w:p w14:paraId="664E1D86"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229784</w:t>
            </w:r>
          </w:p>
        </w:tc>
        <w:tc>
          <w:tcPr>
            <w:tcW w:w="1672" w:type="dxa"/>
            <w:shd w:val="clear" w:color="auto" w:fill="auto"/>
            <w:vAlign w:val="center"/>
            <w:hideMark/>
          </w:tcPr>
          <w:p w14:paraId="5DCF787E"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26.5%</w:t>
            </w:r>
          </w:p>
        </w:tc>
        <w:tc>
          <w:tcPr>
            <w:tcW w:w="1693" w:type="dxa"/>
            <w:shd w:val="clear" w:color="auto" w:fill="auto"/>
            <w:vAlign w:val="center"/>
            <w:hideMark/>
          </w:tcPr>
          <w:p w14:paraId="7B4E594E"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27.8%</w:t>
            </w:r>
          </w:p>
        </w:tc>
        <w:tc>
          <w:tcPr>
            <w:tcW w:w="1290" w:type="dxa"/>
            <w:shd w:val="clear" w:color="auto" w:fill="auto"/>
            <w:vAlign w:val="center"/>
            <w:hideMark/>
          </w:tcPr>
          <w:p w14:paraId="07C4F5E2"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1.3%</w:t>
            </w:r>
          </w:p>
        </w:tc>
        <w:tc>
          <w:tcPr>
            <w:tcW w:w="1664" w:type="dxa"/>
            <w:shd w:val="clear" w:color="auto" w:fill="auto"/>
            <w:vAlign w:val="center"/>
            <w:hideMark/>
          </w:tcPr>
          <w:p w14:paraId="2A198BFC"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9.3%</w:t>
            </w:r>
          </w:p>
        </w:tc>
        <w:tc>
          <w:tcPr>
            <w:tcW w:w="1684" w:type="dxa"/>
            <w:shd w:val="clear" w:color="auto" w:fill="auto"/>
            <w:vAlign w:val="center"/>
            <w:hideMark/>
          </w:tcPr>
          <w:p w14:paraId="311C14D2"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9.7%</w:t>
            </w:r>
          </w:p>
        </w:tc>
      </w:tr>
      <w:tr w:rsidR="002959BC" w:rsidRPr="00E854C2" w14:paraId="1E83AA89" w14:textId="77777777" w:rsidTr="00270E6A">
        <w:trPr>
          <w:trHeight w:val="397"/>
          <w:jc w:val="center"/>
        </w:trPr>
        <w:tc>
          <w:tcPr>
            <w:tcW w:w="1552" w:type="dxa"/>
            <w:shd w:val="clear" w:color="auto" w:fill="F2F2F2" w:themeFill="background1" w:themeFillShade="F2"/>
            <w:vAlign w:val="center"/>
            <w:hideMark/>
          </w:tcPr>
          <w:p w14:paraId="40F126A6"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1996/1997</w:t>
            </w:r>
          </w:p>
        </w:tc>
        <w:tc>
          <w:tcPr>
            <w:tcW w:w="1250" w:type="dxa"/>
            <w:shd w:val="clear" w:color="auto" w:fill="auto"/>
            <w:vAlign w:val="center"/>
            <w:hideMark/>
          </w:tcPr>
          <w:p w14:paraId="7E647D0D"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64498</w:t>
            </w:r>
          </w:p>
        </w:tc>
        <w:tc>
          <w:tcPr>
            <w:tcW w:w="1257" w:type="dxa"/>
            <w:shd w:val="clear" w:color="auto" w:fill="auto"/>
            <w:vAlign w:val="center"/>
            <w:hideMark/>
          </w:tcPr>
          <w:p w14:paraId="701E5840"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66826</w:t>
            </w:r>
          </w:p>
        </w:tc>
        <w:tc>
          <w:tcPr>
            <w:tcW w:w="1449" w:type="dxa"/>
            <w:shd w:val="clear" w:color="auto" w:fill="auto"/>
            <w:vAlign w:val="center"/>
            <w:hideMark/>
          </w:tcPr>
          <w:p w14:paraId="572C8B41"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2328</w:t>
            </w:r>
          </w:p>
        </w:tc>
        <w:tc>
          <w:tcPr>
            <w:tcW w:w="1416" w:type="dxa"/>
            <w:shd w:val="clear" w:color="auto" w:fill="auto"/>
            <w:vAlign w:val="center"/>
            <w:hideMark/>
          </w:tcPr>
          <w:p w14:paraId="62E72E21"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265423</w:t>
            </w:r>
          </w:p>
        </w:tc>
        <w:tc>
          <w:tcPr>
            <w:tcW w:w="1672" w:type="dxa"/>
            <w:shd w:val="clear" w:color="auto" w:fill="auto"/>
            <w:vAlign w:val="center"/>
            <w:hideMark/>
          </w:tcPr>
          <w:p w14:paraId="59E188F2"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24.3%</w:t>
            </w:r>
          </w:p>
        </w:tc>
        <w:tc>
          <w:tcPr>
            <w:tcW w:w="1693" w:type="dxa"/>
            <w:shd w:val="clear" w:color="auto" w:fill="auto"/>
            <w:vAlign w:val="center"/>
            <w:hideMark/>
          </w:tcPr>
          <w:p w14:paraId="3C4F8767"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25.2%</w:t>
            </w:r>
          </w:p>
        </w:tc>
        <w:tc>
          <w:tcPr>
            <w:tcW w:w="1290" w:type="dxa"/>
            <w:shd w:val="clear" w:color="auto" w:fill="auto"/>
            <w:vAlign w:val="center"/>
            <w:hideMark/>
          </w:tcPr>
          <w:p w14:paraId="520A4BF0"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0.9%</w:t>
            </w:r>
          </w:p>
        </w:tc>
        <w:tc>
          <w:tcPr>
            <w:tcW w:w="1664" w:type="dxa"/>
            <w:shd w:val="clear" w:color="auto" w:fill="auto"/>
            <w:vAlign w:val="center"/>
            <w:hideMark/>
          </w:tcPr>
          <w:p w14:paraId="70102800"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5.9%</w:t>
            </w:r>
          </w:p>
        </w:tc>
        <w:tc>
          <w:tcPr>
            <w:tcW w:w="1684" w:type="dxa"/>
            <w:shd w:val="clear" w:color="auto" w:fill="auto"/>
            <w:vAlign w:val="center"/>
            <w:hideMark/>
          </w:tcPr>
          <w:p w14:paraId="36DB84D5"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4.6%</w:t>
            </w:r>
          </w:p>
        </w:tc>
      </w:tr>
      <w:tr w:rsidR="002959BC" w:rsidRPr="00E854C2" w14:paraId="03C98414" w14:textId="77777777" w:rsidTr="00270E6A">
        <w:trPr>
          <w:trHeight w:val="397"/>
          <w:jc w:val="center"/>
        </w:trPr>
        <w:tc>
          <w:tcPr>
            <w:tcW w:w="1552" w:type="dxa"/>
            <w:shd w:val="clear" w:color="auto" w:fill="F2F2F2" w:themeFill="background1" w:themeFillShade="F2"/>
            <w:vAlign w:val="center"/>
            <w:hideMark/>
          </w:tcPr>
          <w:p w14:paraId="3C32045D"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1997/1998</w:t>
            </w:r>
          </w:p>
        </w:tc>
        <w:tc>
          <w:tcPr>
            <w:tcW w:w="1250" w:type="dxa"/>
            <w:shd w:val="clear" w:color="auto" w:fill="auto"/>
            <w:vAlign w:val="center"/>
            <w:hideMark/>
          </w:tcPr>
          <w:p w14:paraId="65DE3F45"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67963</w:t>
            </w:r>
          </w:p>
        </w:tc>
        <w:tc>
          <w:tcPr>
            <w:tcW w:w="1257" w:type="dxa"/>
            <w:shd w:val="clear" w:color="auto" w:fill="auto"/>
            <w:vAlign w:val="center"/>
            <w:hideMark/>
          </w:tcPr>
          <w:p w14:paraId="1A2E31F4"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70783</w:t>
            </w:r>
          </w:p>
        </w:tc>
        <w:tc>
          <w:tcPr>
            <w:tcW w:w="1449" w:type="dxa"/>
            <w:shd w:val="clear" w:color="auto" w:fill="auto"/>
            <w:vAlign w:val="center"/>
            <w:hideMark/>
          </w:tcPr>
          <w:p w14:paraId="793F2917"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2820</w:t>
            </w:r>
          </w:p>
        </w:tc>
        <w:tc>
          <w:tcPr>
            <w:tcW w:w="1416" w:type="dxa"/>
            <w:shd w:val="clear" w:color="auto" w:fill="auto"/>
            <w:vAlign w:val="center"/>
            <w:hideMark/>
          </w:tcPr>
          <w:p w14:paraId="07185431"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287978</w:t>
            </w:r>
          </w:p>
        </w:tc>
        <w:tc>
          <w:tcPr>
            <w:tcW w:w="1672" w:type="dxa"/>
            <w:shd w:val="clear" w:color="auto" w:fill="auto"/>
            <w:vAlign w:val="center"/>
            <w:hideMark/>
          </w:tcPr>
          <w:p w14:paraId="4B628097"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23.6%</w:t>
            </w:r>
          </w:p>
        </w:tc>
        <w:tc>
          <w:tcPr>
            <w:tcW w:w="1693" w:type="dxa"/>
            <w:shd w:val="clear" w:color="auto" w:fill="auto"/>
            <w:vAlign w:val="center"/>
            <w:hideMark/>
          </w:tcPr>
          <w:p w14:paraId="1CEC01D1"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24.6%</w:t>
            </w:r>
          </w:p>
        </w:tc>
        <w:tc>
          <w:tcPr>
            <w:tcW w:w="1290" w:type="dxa"/>
            <w:shd w:val="clear" w:color="auto" w:fill="auto"/>
            <w:vAlign w:val="center"/>
            <w:hideMark/>
          </w:tcPr>
          <w:p w14:paraId="250E640D"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1.0%</w:t>
            </w:r>
          </w:p>
        </w:tc>
        <w:tc>
          <w:tcPr>
            <w:tcW w:w="1664" w:type="dxa"/>
            <w:shd w:val="clear" w:color="auto" w:fill="auto"/>
            <w:vAlign w:val="center"/>
            <w:hideMark/>
          </w:tcPr>
          <w:p w14:paraId="3421183F"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5.4%</w:t>
            </w:r>
          </w:p>
        </w:tc>
        <w:tc>
          <w:tcPr>
            <w:tcW w:w="1684" w:type="dxa"/>
            <w:shd w:val="clear" w:color="auto" w:fill="auto"/>
            <w:vAlign w:val="center"/>
            <w:hideMark/>
          </w:tcPr>
          <w:p w14:paraId="74ABF456"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5.9%</w:t>
            </w:r>
          </w:p>
        </w:tc>
      </w:tr>
      <w:tr w:rsidR="002959BC" w:rsidRPr="00E854C2" w14:paraId="7FC48B85" w14:textId="77777777" w:rsidTr="00270E6A">
        <w:trPr>
          <w:trHeight w:val="397"/>
          <w:jc w:val="center"/>
        </w:trPr>
        <w:tc>
          <w:tcPr>
            <w:tcW w:w="1552" w:type="dxa"/>
            <w:shd w:val="clear" w:color="auto" w:fill="F2F2F2" w:themeFill="background1" w:themeFillShade="F2"/>
            <w:vAlign w:val="center"/>
          </w:tcPr>
          <w:p w14:paraId="64DC980E"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1998/1999</w:t>
            </w:r>
          </w:p>
        </w:tc>
        <w:tc>
          <w:tcPr>
            <w:tcW w:w="1250" w:type="dxa"/>
            <w:shd w:val="clear" w:color="auto" w:fill="auto"/>
            <w:vAlign w:val="center"/>
          </w:tcPr>
          <w:p w14:paraId="7DC2320A"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71072</w:t>
            </w:r>
          </w:p>
        </w:tc>
        <w:tc>
          <w:tcPr>
            <w:tcW w:w="1257" w:type="dxa"/>
            <w:shd w:val="clear" w:color="auto" w:fill="auto"/>
            <w:vAlign w:val="center"/>
          </w:tcPr>
          <w:p w14:paraId="1E06AB7C"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79995</w:t>
            </w:r>
          </w:p>
        </w:tc>
        <w:tc>
          <w:tcPr>
            <w:tcW w:w="1449" w:type="dxa"/>
            <w:shd w:val="clear" w:color="auto" w:fill="auto"/>
            <w:vAlign w:val="center"/>
          </w:tcPr>
          <w:p w14:paraId="00ED85A6"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8923</w:t>
            </w:r>
          </w:p>
        </w:tc>
        <w:tc>
          <w:tcPr>
            <w:tcW w:w="1416" w:type="dxa"/>
            <w:shd w:val="clear" w:color="auto" w:fill="auto"/>
            <w:vAlign w:val="center"/>
          </w:tcPr>
          <w:p w14:paraId="332CDD5D"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307600</w:t>
            </w:r>
          </w:p>
        </w:tc>
        <w:tc>
          <w:tcPr>
            <w:tcW w:w="1672" w:type="dxa"/>
            <w:shd w:val="clear" w:color="auto" w:fill="auto"/>
            <w:vAlign w:val="center"/>
          </w:tcPr>
          <w:p w14:paraId="5B350B22"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23.1%</w:t>
            </w:r>
          </w:p>
        </w:tc>
        <w:tc>
          <w:tcPr>
            <w:tcW w:w="1693" w:type="dxa"/>
            <w:shd w:val="clear" w:color="auto" w:fill="auto"/>
            <w:vAlign w:val="center"/>
          </w:tcPr>
          <w:p w14:paraId="1CF8EE3C"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26.0%</w:t>
            </w:r>
          </w:p>
        </w:tc>
        <w:tc>
          <w:tcPr>
            <w:tcW w:w="1290" w:type="dxa"/>
            <w:shd w:val="clear" w:color="auto" w:fill="auto"/>
            <w:vAlign w:val="center"/>
          </w:tcPr>
          <w:p w14:paraId="14D82B8C"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2.9%</w:t>
            </w:r>
          </w:p>
        </w:tc>
        <w:tc>
          <w:tcPr>
            <w:tcW w:w="1664" w:type="dxa"/>
            <w:shd w:val="clear" w:color="auto" w:fill="auto"/>
            <w:vAlign w:val="center"/>
          </w:tcPr>
          <w:p w14:paraId="440B52BB"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4.6%</w:t>
            </w:r>
          </w:p>
        </w:tc>
        <w:tc>
          <w:tcPr>
            <w:tcW w:w="1684" w:type="dxa"/>
            <w:shd w:val="clear" w:color="auto" w:fill="auto"/>
            <w:vAlign w:val="center"/>
          </w:tcPr>
          <w:p w14:paraId="0171A49B"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13.0%</w:t>
            </w:r>
          </w:p>
        </w:tc>
      </w:tr>
      <w:tr w:rsidR="002959BC" w:rsidRPr="00E854C2" w14:paraId="5B3F0B9F" w14:textId="77777777" w:rsidTr="00270E6A">
        <w:trPr>
          <w:trHeight w:val="397"/>
          <w:jc w:val="center"/>
        </w:trPr>
        <w:tc>
          <w:tcPr>
            <w:tcW w:w="1552" w:type="dxa"/>
            <w:shd w:val="clear" w:color="auto" w:fill="F2F2F2" w:themeFill="background1" w:themeFillShade="F2"/>
            <w:vAlign w:val="center"/>
          </w:tcPr>
          <w:p w14:paraId="32297CE2"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1999/2000</w:t>
            </w:r>
          </w:p>
        </w:tc>
        <w:tc>
          <w:tcPr>
            <w:tcW w:w="1250" w:type="dxa"/>
            <w:shd w:val="clear" w:color="auto" w:fill="auto"/>
            <w:vAlign w:val="center"/>
          </w:tcPr>
          <w:p w14:paraId="7CA8AA03"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75399</w:t>
            </w:r>
          </w:p>
        </w:tc>
        <w:tc>
          <w:tcPr>
            <w:tcW w:w="1257" w:type="dxa"/>
            <w:shd w:val="clear" w:color="auto" w:fill="auto"/>
            <w:vAlign w:val="center"/>
          </w:tcPr>
          <w:p w14:paraId="6D8F32F8"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88600</w:t>
            </w:r>
          </w:p>
        </w:tc>
        <w:tc>
          <w:tcPr>
            <w:tcW w:w="1449" w:type="dxa"/>
            <w:shd w:val="clear" w:color="auto" w:fill="auto"/>
            <w:vAlign w:val="center"/>
          </w:tcPr>
          <w:p w14:paraId="29A333EE"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13201</w:t>
            </w:r>
          </w:p>
        </w:tc>
        <w:tc>
          <w:tcPr>
            <w:tcW w:w="1416" w:type="dxa"/>
            <w:shd w:val="clear" w:color="auto" w:fill="auto"/>
            <w:vAlign w:val="center"/>
          </w:tcPr>
          <w:p w14:paraId="750BF139"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340100</w:t>
            </w:r>
          </w:p>
        </w:tc>
        <w:tc>
          <w:tcPr>
            <w:tcW w:w="1672" w:type="dxa"/>
            <w:shd w:val="clear" w:color="auto" w:fill="auto"/>
            <w:vAlign w:val="center"/>
          </w:tcPr>
          <w:p w14:paraId="663207A6"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22.2%</w:t>
            </w:r>
          </w:p>
        </w:tc>
        <w:tc>
          <w:tcPr>
            <w:tcW w:w="1693" w:type="dxa"/>
            <w:shd w:val="clear" w:color="auto" w:fill="auto"/>
            <w:vAlign w:val="center"/>
          </w:tcPr>
          <w:p w14:paraId="285C5388"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26.1%</w:t>
            </w:r>
          </w:p>
        </w:tc>
        <w:tc>
          <w:tcPr>
            <w:tcW w:w="1290" w:type="dxa"/>
            <w:shd w:val="clear" w:color="auto" w:fill="auto"/>
            <w:vAlign w:val="center"/>
          </w:tcPr>
          <w:p w14:paraId="78FD5548"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3.9%</w:t>
            </w:r>
          </w:p>
        </w:tc>
        <w:tc>
          <w:tcPr>
            <w:tcW w:w="1664" w:type="dxa"/>
            <w:shd w:val="clear" w:color="auto" w:fill="auto"/>
            <w:vAlign w:val="center"/>
          </w:tcPr>
          <w:p w14:paraId="29BD92EF"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6.1%</w:t>
            </w:r>
          </w:p>
        </w:tc>
        <w:tc>
          <w:tcPr>
            <w:tcW w:w="1684" w:type="dxa"/>
            <w:shd w:val="clear" w:color="auto" w:fill="auto"/>
            <w:vAlign w:val="center"/>
          </w:tcPr>
          <w:p w14:paraId="68BAA454"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10.8%</w:t>
            </w:r>
          </w:p>
        </w:tc>
      </w:tr>
      <w:tr w:rsidR="002959BC" w:rsidRPr="00E854C2" w14:paraId="65DD956D" w14:textId="77777777" w:rsidTr="00270E6A">
        <w:trPr>
          <w:trHeight w:val="397"/>
          <w:jc w:val="center"/>
        </w:trPr>
        <w:tc>
          <w:tcPr>
            <w:tcW w:w="1552" w:type="dxa"/>
            <w:shd w:val="clear" w:color="auto" w:fill="F2F2F2" w:themeFill="background1" w:themeFillShade="F2"/>
            <w:vAlign w:val="center"/>
          </w:tcPr>
          <w:p w14:paraId="1CADBC30"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2000/2001</w:t>
            </w:r>
          </w:p>
        </w:tc>
        <w:tc>
          <w:tcPr>
            <w:tcW w:w="1250" w:type="dxa"/>
            <w:shd w:val="clear" w:color="auto" w:fill="auto"/>
            <w:vAlign w:val="center"/>
          </w:tcPr>
          <w:p w14:paraId="501946B7"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76139</w:t>
            </w:r>
          </w:p>
        </w:tc>
        <w:tc>
          <w:tcPr>
            <w:tcW w:w="1257" w:type="dxa"/>
            <w:shd w:val="clear" w:color="auto" w:fill="auto"/>
            <w:vAlign w:val="center"/>
          </w:tcPr>
          <w:p w14:paraId="74BACD0B"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96121</w:t>
            </w:r>
          </w:p>
        </w:tc>
        <w:tc>
          <w:tcPr>
            <w:tcW w:w="1449" w:type="dxa"/>
            <w:shd w:val="clear" w:color="auto" w:fill="auto"/>
            <w:vAlign w:val="center"/>
          </w:tcPr>
          <w:p w14:paraId="3D5914C9"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19982</w:t>
            </w:r>
          </w:p>
        </w:tc>
        <w:tc>
          <w:tcPr>
            <w:tcW w:w="1416" w:type="dxa"/>
            <w:shd w:val="clear" w:color="auto" w:fill="auto"/>
            <w:vAlign w:val="center"/>
          </w:tcPr>
          <w:p w14:paraId="1D7F2B2E"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358700</w:t>
            </w:r>
          </w:p>
        </w:tc>
        <w:tc>
          <w:tcPr>
            <w:tcW w:w="1672" w:type="dxa"/>
            <w:shd w:val="clear" w:color="auto" w:fill="auto"/>
            <w:vAlign w:val="center"/>
          </w:tcPr>
          <w:p w14:paraId="32A8341E"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21.2%</w:t>
            </w:r>
          </w:p>
        </w:tc>
        <w:tc>
          <w:tcPr>
            <w:tcW w:w="1693" w:type="dxa"/>
            <w:shd w:val="clear" w:color="auto" w:fill="auto"/>
            <w:vAlign w:val="center"/>
          </w:tcPr>
          <w:p w14:paraId="79E42369"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26.8%</w:t>
            </w:r>
          </w:p>
        </w:tc>
        <w:tc>
          <w:tcPr>
            <w:tcW w:w="1290" w:type="dxa"/>
            <w:shd w:val="clear" w:color="auto" w:fill="auto"/>
            <w:vAlign w:val="center"/>
          </w:tcPr>
          <w:p w14:paraId="402F5C0B"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5.6%</w:t>
            </w:r>
          </w:p>
        </w:tc>
        <w:tc>
          <w:tcPr>
            <w:tcW w:w="1664" w:type="dxa"/>
            <w:shd w:val="clear" w:color="auto" w:fill="auto"/>
            <w:vAlign w:val="center"/>
          </w:tcPr>
          <w:p w14:paraId="73EAF739"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1.0%</w:t>
            </w:r>
          </w:p>
        </w:tc>
        <w:tc>
          <w:tcPr>
            <w:tcW w:w="1684" w:type="dxa"/>
            <w:shd w:val="clear" w:color="auto" w:fill="auto"/>
            <w:vAlign w:val="center"/>
          </w:tcPr>
          <w:p w14:paraId="181B2EC2"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8.5%</w:t>
            </w:r>
          </w:p>
        </w:tc>
      </w:tr>
      <w:tr w:rsidR="002959BC" w:rsidRPr="00E854C2" w14:paraId="0E4F2944" w14:textId="77777777" w:rsidTr="00270E6A">
        <w:trPr>
          <w:trHeight w:val="397"/>
          <w:jc w:val="center"/>
        </w:trPr>
        <w:tc>
          <w:tcPr>
            <w:tcW w:w="1552" w:type="dxa"/>
            <w:shd w:val="clear" w:color="auto" w:fill="F2F2F2" w:themeFill="background1" w:themeFillShade="F2"/>
            <w:vAlign w:val="center"/>
          </w:tcPr>
          <w:p w14:paraId="00BA6559"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2001/2002</w:t>
            </w:r>
          </w:p>
        </w:tc>
        <w:tc>
          <w:tcPr>
            <w:tcW w:w="1250" w:type="dxa"/>
            <w:shd w:val="clear" w:color="auto" w:fill="auto"/>
            <w:vAlign w:val="center"/>
          </w:tcPr>
          <w:p w14:paraId="09CEA648"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78317</w:t>
            </w:r>
          </w:p>
        </w:tc>
        <w:tc>
          <w:tcPr>
            <w:tcW w:w="1257" w:type="dxa"/>
            <w:shd w:val="clear" w:color="auto" w:fill="auto"/>
            <w:vAlign w:val="center"/>
          </w:tcPr>
          <w:p w14:paraId="57CDCC4E"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115542</w:t>
            </w:r>
          </w:p>
        </w:tc>
        <w:tc>
          <w:tcPr>
            <w:tcW w:w="1449" w:type="dxa"/>
            <w:shd w:val="clear" w:color="auto" w:fill="auto"/>
            <w:vAlign w:val="center"/>
          </w:tcPr>
          <w:p w14:paraId="0D23C1DD"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38486</w:t>
            </w:r>
          </w:p>
        </w:tc>
        <w:tc>
          <w:tcPr>
            <w:tcW w:w="1416" w:type="dxa"/>
            <w:shd w:val="clear" w:color="auto" w:fill="auto"/>
            <w:vAlign w:val="center"/>
          </w:tcPr>
          <w:p w14:paraId="2FD0FE46"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378900</w:t>
            </w:r>
          </w:p>
        </w:tc>
        <w:tc>
          <w:tcPr>
            <w:tcW w:w="1672" w:type="dxa"/>
            <w:shd w:val="clear" w:color="auto" w:fill="auto"/>
            <w:vAlign w:val="center"/>
          </w:tcPr>
          <w:p w14:paraId="7FB785BD"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20.7%</w:t>
            </w:r>
          </w:p>
        </w:tc>
        <w:tc>
          <w:tcPr>
            <w:tcW w:w="1693" w:type="dxa"/>
            <w:shd w:val="clear" w:color="auto" w:fill="auto"/>
            <w:vAlign w:val="center"/>
          </w:tcPr>
          <w:p w14:paraId="3E929A59"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30.5%</w:t>
            </w:r>
          </w:p>
        </w:tc>
        <w:tc>
          <w:tcPr>
            <w:tcW w:w="1290" w:type="dxa"/>
            <w:shd w:val="clear" w:color="auto" w:fill="auto"/>
            <w:vAlign w:val="center"/>
          </w:tcPr>
          <w:p w14:paraId="19381762"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10.2%</w:t>
            </w:r>
          </w:p>
        </w:tc>
        <w:tc>
          <w:tcPr>
            <w:tcW w:w="1664" w:type="dxa"/>
            <w:shd w:val="clear" w:color="auto" w:fill="auto"/>
            <w:vAlign w:val="center"/>
          </w:tcPr>
          <w:p w14:paraId="17E5D648"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2.9%</w:t>
            </w:r>
          </w:p>
        </w:tc>
        <w:tc>
          <w:tcPr>
            <w:tcW w:w="1684" w:type="dxa"/>
            <w:shd w:val="clear" w:color="auto" w:fill="auto"/>
            <w:vAlign w:val="center"/>
          </w:tcPr>
          <w:p w14:paraId="675A4D2A"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20.2%</w:t>
            </w:r>
          </w:p>
        </w:tc>
      </w:tr>
      <w:tr w:rsidR="002959BC" w:rsidRPr="00E854C2" w14:paraId="6E9C0C62" w14:textId="77777777" w:rsidTr="00270E6A">
        <w:trPr>
          <w:trHeight w:val="397"/>
          <w:jc w:val="center"/>
        </w:trPr>
        <w:tc>
          <w:tcPr>
            <w:tcW w:w="1552" w:type="dxa"/>
            <w:shd w:val="clear" w:color="auto" w:fill="F2F2F2" w:themeFill="background1" w:themeFillShade="F2"/>
            <w:vAlign w:val="center"/>
          </w:tcPr>
          <w:p w14:paraId="0DEEC37D"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2002/2003</w:t>
            </w:r>
          </w:p>
        </w:tc>
        <w:tc>
          <w:tcPr>
            <w:tcW w:w="1250" w:type="dxa"/>
            <w:shd w:val="clear" w:color="auto" w:fill="auto"/>
            <w:vAlign w:val="center"/>
          </w:tcPr>
          <w:p w14:paraId="1BCE4537"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89347</w:t>
            </w:r>
          </w:p>
        </w:tc>
        <w:tc>
          <w:tcPr>
            <w:tcW w:w="1257" w:type="dxa"/>
            <w:shd w:val="clear" w:color="auto" w:fill="auto"/>
            <w:vAlign w:val="center"/>
          </w:tcPr>
          <w:p w14:paraId="5342084D"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127320</w:t>
            </w:r>
          </w:p>
        </w:tc>
        <w:tc>
          <w:tcPr>
            <w:tcW w:w="1449" w:type="dxa"/>
            <w:shd w:val="clear" w:color="auto" w:fill="auto"/>
            <w:vAlign w:val="center"/>
          </w:tcPr>
          <w:p w14:paraId="27454A17"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43644</w:t>
            </w:r>
          </w:p>
        </w:tc>
        <w:tc>
          <w:tcPr>
            <w:tcW w:w="1416" w:type="dxa"/>
            <w:shd w:val="clear" w:color="auto" w:fill="auto"/>
            <w:vAlign w:val="center"/>
          </w:tcPr>
          <w:p w14:paraId="28381F36"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417500</w:t>
            </w:r>
          </w:p>
        </w:tc>
        <w:tc>
          <w:tcPr>
            <w:tcW w:w="1672" w:type="dxa"/>
            <w:shd w:val="clear" w:color="auto" w:fill="auto"/>
            <w:vAlign w:val="center"/>
          </w:tcPr>
          <w:p w14:paraId="0C121FB4"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21.4%</w:t>
            </w:r>
          </w:p>
        </w:tc>
        <w:tc>
          <w:tcPr>
            <w:tcW w:w="1693" w:type="dxa"/>
            <w:shd w:val="clear" w:color="auto" w:fill="auto"/>
            <w:vAlign w:val="center"/>
          </w:tcPr>
          <w:p w14:paraId="2E570200"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30.5%</w:t>
            </w:r>
          </w:p>
        </w:tc>
        <w:tc>
          <w:tcPr>
            <w:tcW w:w="1290" w:type="dxa"/>
            <w:shd w:val="clear" w:color="auto" w:fill="auto"/>
            <w:vAlign w:val="center"/>
          </w:tcPr>
          <w:p w14:paraId="5AF48A06"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10.5%</w:t>
            </w:r>
          </w:p>
        </w:tc>
        <w:tc>
          <w:tcPr>
            <w:tcW w:w="1664" w:type="dxa"/>
            <w:shd w:val="clear" w:color="auto" w:fill="auto"/>
            <w:vAlign w:val="center"/>
          </w:tcPr>
          <w:p w14:paraId="725FE1B7"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14.1%</w:t>
            </w:r>
          </w:p>
        </w:tc>
        <w:tc>
          <w:tcPr>
            <w:tcW w:w="1684" w:type="dxa"/>
            <w:shd w:val="clear" w:color="auto" w:fill="auto"/>
            <w:vAlign w:val="center"/>
          </w:tcPr>
          <w:p w14:paraId="63632C01"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10.2%</w:t>
            </w:r>
          </w:p>
        </w:tc>
      </w:tr>
      <w:tr w:rsidR="002959BC" w:rsidRPr="00E854C2" w14:paraId="22952D32" w14:textId="77777777" w:rsidTr="00270E6A">
        <w:trPr>
          <w:trHeight w:val="397"/>
          <w:jc w:val="center"/>
        </w:trPr>
        <w:tc>
          <w:tcPr>
            <w:tcW w:w="1552" w:type="dxa"/>
            <w:shd w:val="clear" w:color="auto" w:fill="F2F2F2" w:themeFill="background1" w:themeFillShade="F2"/>
            <w:vAlign w:val="center"/>
          </w:tcPr>
          <w:p w14:paraId="73940CA0"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2003/2004</w:t>
            </w:r>
          </w:p>
        </w:tc>
        <w:tc>
          <w:tcPr>
            <w:tcW w:w="1250" w:type="dxa"/>
            <w:shd w:val="clear" w:color="auto" w:fill="auto"/>
            <w:vAlign w:val="center"/>
          </w:tcPr>
          <w:p w14:paraId="11B54E3D"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101880</w:t>
            </w:r>
          </w:p>
        </w:tc>
        <w:tc>
          <w:tcPr>
            <w:tcW w:w="1257" w:type="dxa"/>
            <w:shd w:val="clear" w:color="auto" w:fill="auto"/>
            <w:vAlign w:val="center"/>
          </w:tcPr>
          <w:p w14:paraId="7387343A"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145988</w:t>
            </w:r>
          </w:p>
        </w:tc>
        <w:tc>
          <w:tcPr>
            <w:tcW w:w="1449" w:type="dxa"/>
            <w:shd w:val="clear" w:color="auto" w:fill="auto"/>
            <w:vAlign w:val="center"/>
          </w:tcPr>
          <w:p w14:paraId="24EB8C82" w14:textId="77777777" w:rsidR="002959BC" w:rsidRPr="00E854C2" w:rsidRDefault="002959BC" w:rsidP="00270E6A">
            <w:pPr>
              <w:spacing w:line="216" w:lineRule="auto"/>
              <w:jc w:val="center"/>
              <w:rPr>
                <w:rFonts w:ascii="Simplified Arabic" w:hAnsi="Simplified Arabic" w:cs="Simplified Arabic"/>
                <w:sz w:val="28"/>
                <w:szCs w:val="28"/>
                <w:rtl/>
                <w:lang w:bidi="ar-EG"/>
              </w:rPr>
            </w:pPr>
            <w:r w:rsidRPr="00E854C2">
              <w:rPr>
                <w:rFonts w:ascii="Simplified Arabic" w:hAnsi="Simplified Arabic" w:cs="Simplified Arabic"/>
                <w:sz w:val="28"/>
                <w:szCs w:val="28"/>
                <w:rtl/>
              </w:rPr>
              <w:t>45878</w:t>
            </w:r>
          </w:p>
        </w:tc>
        <w:tc>
          <w:tcPr>
            <w:tcW w:w="1416" w:type="dxa"/>
            <w:shd w:val="clear" w:color="auto" w:fill="auto"/>
            <w:vAlign w:val="center"/>
          </w:tcPr>
          <w:p w14:paraId="7B7A1F61"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485300</w:t>
            </w:r>
          </w:p>
        </w:tc>
        <w:tc>
          <w:tcPr>
            <w:tcW w:w="1672" w:type="dxa"/>
            <w:shd w:val="clear" w:color="auto" w:fill="auto"/>
            <w:vAlign w:val="center"/>
          </w:tcPr>
          <w:p w14:paraId="1712C95F"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21.0%</w:t>
            </w:r>
          </w:p>
        </w:tc>
        <w:tc>
          <w:tcPr>
            <w:tcW w:w="1693" w:type="dxa"/>
            <w:shd w:val="clear" w:color="auto" w:fill="auto"/>
            <w:vAlign w:val="center"/>
          </w:tcPr>
          <w:p w14:paraId="46C4022D"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30.1%</w:t>
            </w:r>
          </w:p>
        </w:tc>
        <w:tc>
          <w:tcPr>
            <w:tcW w:w="1290" w:type="dxa"/>
            <w:shd w:val="clear" w:color="auto" w:fill="auto"/>
            <w:vAlign w:val="center"/>
          </w:tcPr>
          <w:p w14:paraId="689448D2"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9.5%</w:t>
            </w:r>
          </w:p>
        </w:tc>
        <w:tc>
          <w:tcPr>
            <w:tcW w:w="1664" w:type="dxa"/>
            <w:shd w:val="clear" w:color="auto" w:fill="auto"/>
            <w:vAlign w:val="center"/>
          </w:tcPr>
          <w:p w14:paraId="1BBA7D47"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14.0%</w:t>
            </w:r>
          </w:p>
        </w:tc>
        <w:tc>
          <w:tcPr>
            <w:tcW w:w="1684" w:type="dxa"/>
            <w:shd w:val="clear" w:color="auto" w:fill="auto"/>
            <w:vAlign w:val="center"/>
          </w:tcPr>
          <w:p w14:paraId="5C64D03A"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14.7%</w:t>
            </w:r>
          </w:p>
        </w:tc>
      </w:tr>
      <w:tr w:rsidR="002959BC" w:rsidRPr="00E854C2" w14:paraId="4D88F384" w14:textId="77777777" w:rsidTr="00270E6A">
        <w:trPr>
          <w:trHeight w:val="397"/>
          <w:jc w:val="center"/>
        </w:trPr>
        <w:tc>
          <w:tcPr>
            <w:tcW w:w="1552" w:type="dxa"/>
            <w:shd w:val="clear" w:color="auto" w:fill="F2F2F2" w:themeFill="background1" w:themeFillShade="F2"/>
            <w:vAlign w:val="center"/>
          </w:tcPr>
          <w:p w14:paraId="4FF38EC3"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2004/2005</w:t>
            </w:r>
          </w:p>
        </w:tc>
        <w:tc>
          <w:tcPr>
            <w:tcW w:w="1250" w:type="dxa"/>
            <w:shd w:val="clear" w:color="auto" w:fill="auto"/>
            <w:vAlign w:val="center"/>
          </w:tcPr>
          <w:p w14:paraId="4DB8A023"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110864</w:t>
            </w:r>
          </w:p>
        </w:tc>
        <w:tc>
          <w:tcPr>
            <w:tcW w:w="1257" w:type="dxa"/>
            <w:shd w:val="clear" w:color="auto" w:fill="auto"/>
            <w:vAlign w:val="center"/>
          </w:tcPr>
          <w:p w14:paraId="3EE43BA0"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161611</w:t>
            </w:r>
          </w:p>
        </w:tc>
        <w:tc>
          <w:tcPr>
            <w:tcW w:w="1449" w:type="dxa"/>
            <w:shd w:val="clear" w:color="auto" w:fill="auto"/>
            <w:vAlign w:val="center"/>
          </w:tcPr>
          <w:p w14:paraId="54D04BF4"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51643</w:t>
            </w:r>
          </w:p>
        </w:tc>
        <w:tc>
          <w:tcPr>
            <w:tcW w:w="1416" w:type="dxa"/>
            <w:shd w:val="clear" w:color="auto" w:fill="auto"/>
            <w:vAlign w:val="center"/>
          </w:tcPr>
          <w:p w14:paraId="55FEBFE2"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538500</w:t>
            </w:r>
          </w:p>
        </w:tc>
        <w:tc>
          <w:tcPr>
            <w:tcW w:w="1672" w:type="dxa"/>
            <w:shd w:val="clear" w:color="auto" w:fill="auto"/>
            <w:vAlign w:val="center"/>
          </w:tcPr>
          <w:p w14:paraId="29141EB0"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20.6%</w:t>
            </w:r>
          </w:p>
        </w:tc>
        <w:tc>
          <w:tcPr>
            <w:tcW w:w="1693" w:type="dxa"/>
            <w:shd w:val="clear" w:color="auto" w:fill="auto"/>
            <w:vAlign w:val="center"/>
          </w:tcPr>
          <w:p w14:paraId="03EA1AC3"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30.0%</w:t>
            </w:r>
          </w:p>
        </w:tc>
        <w:tc>
          <w:tcPr>
            <w:tcW w:w="1290" w:type="dxa"/>
            <w:shd w:val="clear" w:color="auto" w:fill="auto"/>
            <w:vAlign w:val="center"/>
          </w:tcPr>
          <w:p w14:paraId="47114FA1"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9.6%</w:t>
            </w:r>
          </w:p>
        </w:tc>
        <w:tc>
          <w:tcPr>
            <w:tcW w:w="1664" w:type="dxa"/>
            <w:shd w:val="clear" w:color="auto" w:fill="auto"/>
            <w:vAlign w:val="center"/>
          </w:tcPr>
          <w:p w14:paraId="7E28B471"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8.8%</w:t>
            </w:r>
          </w:p>
        </w:tc>
        <w:tc>
          <w:tcPr>
            <w:tcW w:w="1684" w:type="dxa"/>
            <w:shd w:val="clear" w:color="auto" w:fill="auto"/>
            <w:vAlign w:val="center"/>
          </w:tcPr>
          <w:p w14:paraId="7A9F54E6"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10.7%</w:t>
            </w:r>
          </w:p>
        </w:tc>
      </w:tr>
      <w:tr w:rsidR="002959BC" w:rsidRPr="00E854C2" w14:paraId="5E46E4F4" w14:textId="77777777" w:rsidTr="00270E6A">
        <w:trPr>
          <w:trHeight w:val="397"/>
          <w:jc w:val="center"/>
        </w:trPr>
        <w:tc>
          <w:tcPr>
            <w:tcW w:w="1552" w:type="dxa"/>
            <w:shd w:val="clear" w:color="auto" w:fill="F2F2F2" w:themeFill="background1" w:themeFillShade="F2"/>
            <w:vAlign w:val="center"/>
          </w:tcPr>
          <w:p w14:paraId="19F2E174"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2005/2006</w:t>
            </w:r>
          </w:p>
        </w:tc>
        <w:tc>
          <w:tcPr>
            <w:tcW w:w="1250" w:type="dxa"/>
            <w:shd w:val="clear" w:color="auto" w:fill="auto"/>
            <w:vAlign w:val="center"/>
          </w:tcPr>
          <w:p w14:paraId="15BFD218"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151266</w:t>
            </w:r>
          </w:p>
        </w:tc>
        <w:tc>
          <w:tcPr>
            <w:tcW w:w="1257" w:type="dxa"/>
            <w:shd w:val="clear" w:color="auto" w:fill="auto"/>
            <w:vAlign w:val="center"/>
          </w:tcPr>
          <w:p w14:paraId="7AEBA9F9"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207810</w:t>
            </w:r>
          </w:p>
        </w:tc>
        <w:tc>
          <w:tcPr>
            <w:tcW w:w="1449" w:type="dxa"/>
            <w:shd w:val="clear" w:color="auto" w:fill="auto"/>
            <w:vAlign w:val="center"/>
          </w:tcPr>
          <w:p w14:paraId="3DE4ABB2"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50385</w:t>
            </w:r>
          </w:p>
        </w:tc>
        <w:tc>
          <w:tcPr>
            <w:tcW w:w="1416" w:type="dxa"/>
            <w:shd w:val="clear" w:color="auto" w:fill="auto"/>
            <w:vAlign w:val="center"/>
          </w:tcPr>
          <w:p w14:paraId="089B976C"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617700</w:t>
            </w:r>
          </w:p>
        </w:tc>
        <w:tc>
          <w:tcPr>
            <w:tcW w:w="1672" w:type="dxa"/>
            <w:shd w:val="clear" w:color="auto" w:fill="auto"/>
            <w:vAlign w:val="center"/>
          </w:tcPr>
          <w:p w14:paraId="540CAFD9"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24.5%</w:t>
            </w:r>
          </w:p>
        </w:tc>
        <w:tc>
          <w:tcPr>
            <w:tcW w:w="1693" w:type="dxa"/>
            <w:shd w:val="clear" w:color="auto" w:fill="auto"/>
            <w:vAlign w:val="center"/>
          </w:tcPr>
          <w:p w14:paraId="05C2F8B8"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33.6%</w:t>
            </w:r>
          </w:p>
        </w:tc>
        <w:tc>
          <w:tcPr>
            <w:tcW w:w="1290" w:type="dxa"/>
            <w:shd w:val="clear" w:color="auto" w:fill="auto"/>
            <w:vAlign w:val="center"/>
          </w:tcPr>
          <w:p w14:paraId="23CC5900"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8.2%</w:t>
            </w:r>
          </w:p>
        </w:tc>
        <w:tc>
          <w:tcPr>
            <w:tcW w:w="1664" w:type="dxa"/>
            <w:shd w:val="clear" w:color="auto" w:fill="auto"/>
            <w:vAlign w:val="center"/>
          </w:tcPr>
          <w:p w14:paraId="717F2AA4"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36.4%</w:t>
            </w:r>
          </w:p>
        </w:tc>
        <w:tc>
          <w:tcPr>
            <w:tcW w:w="1684" w:type="dxa"/>
            <w:shd w:val="clear" w:color="auto" w:fill="auto"/>
            <w:vAlign w:val="center"/>
          </w:tcPr>
          <w:p w14:paraId="3693C705" w14:textId="77777777" w:rsidR="002959BC" w:rsidRPr="00E854C2" w:rsidRDefault="002959BC" w:rsidP="00270E6A">
            <w:pPr>
              <w:spacing w:line="216"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28.6%</w:t>
            </w:r>
          </w:p>
        </w:tc>
      </w:tr>
    </w:tbl>
    <w:p w14:paraId="60CA522F" w14:textId="77777777" w:rsidR="002959BC" w:rsidRPr="00E854C2" w:rsidRDefault="002959BC" w:rsidP="002959BC">
      <w:pPr>
        <w:autoSpaceDE w:val="0"/>
        <w:autoSpaceDN w:val="0"/>
        <w:adjustRightInd w:val="0"/>
        <w:rPr>
          <w:rFonts w:ascii="Simplified Arabic" w:hAnsi="Simplified Arabic" w:cs="Simplified Arabic"/>
          <w:sz w:val="24"/>
          <w:szCs w:val="24"/>
          <w:rtl/>
          <w:lang w:bidi="ar-EG"/>
        </w:rPr>
      </w:pPr>
      <w:r w:rsidRPr="00E854C2">
        <w:rPr>
          <w:rFonts w:ascii="Simplified Arabic" w:hAnsi="Simplified Arabic" w:cs="Simplified Arabic"/>
          <w:sz w:val="24"/>
          <w:szCs w:val="24"/>
          <w:rtl/>
        </w:rPr>
        <w:t>المصدر: وزارة المالية، دراسة</w:t>
      </w:r>
      <w:r w:rsidRPr="00E854C2">
        <w:rPr>
          <w:rFonts w:ascii="Simplified Arabic" w:hAnsi="Simplified Arabic" w:cs="Simplified Arabic"/>
          <w:sz w:val="24"/>
          <w:szCs w:val="24"/>
        </w:rPr>
        <w:t xml:space="preserve"> </w:t>
      </w:r>
      <w:r w:rsidRPr="00E854C2">
        <w:rPr>
          <w:rFonts w:ascii="Simplified Arabic" w:hAnsi="Simplified Arabic" w:cs="Simplified Arabic"/>
          <w:sz w:val="24"/>
          <w:szCs w:val="24"/>
          <w:rtl/>
        </w:rPr>
        <w:t>عن تطور</w:t>
      </w:r>
      <w:r w:rsidRPr="00E854C2">
        <w:rPr>
          <w:rFonts w:ascii="Simplified Arabic" w:hAnsi="Simplified Arabic" w:cs="Simplified Arabic"/>
          <w:sz w:val="24"/>
          <w:szCs w:val="24"/>
        </w:rPr>
        <w:t xml:space="preserve"> </w:t>
      </w:r>
      <w:r w:rsidRPr="00E854C2">
        <w:rPr>
          <w:rFonts w:ascii="Simplified Arabic" w:hAnsi="Simplified Arabic" w:cs="Simplified Arabic"/>
          <w:sz w:val="24"/>
          <w:szCs w:val="24"/>
          <w:rtl/>
        </w:rPr>
        <w:t>عجز</w:t>
      </w:r>
      <w:r w:rsidRPr="00E854C2">
        <w:rPr>
          <w:rFonts w:ascii="Simplified Arabic" w:hAnsi="Simplified Arabic" w:cs="Simplified Arabic"/>
          <w:sz w:val="24"/>
          <w:szCs w:val="24"/>
        </w:rPr>
        <w:t xml:space="preserve"> </w:t>
      </w:r>
      <w:r w:rsidRPr="00E854C2">
        <w:rPr>
          <w:rFonts w:ascii="Simplified Arabic" w:hAnsi="Simplified Arabic" w:cs="Simplified Arabic"/>
          <w:sz w:val="24"/>
          <w:szCs w:val="24"/>
          <w:rtl/>
        </w:rPr>
        <w:t>الموازنة</w:t>
      </w:r>
      <w:r w:rsidRPr="00E854C2">
        <w:rPr>
          <w:rFonts w:ascii="Simplified Arabic" w:hAnsi="Simplified Arabic" w:cs="Simplified Arabic"/>
          <w:sz w:val="24"/>
          <w:szCs w:val="24"/>
        </w:rPr>
        <w:t xml:space="preserve"> </w:t>
      </w:r>
      <w:r w:rsidRPr="00E854C2">
        <w:rPr>
          <w:rFonts w:ascii="Simplified Arabic" w:hAnsi="Simplified Arabic" w:cs="Simplified Arabic"/>
          <w:sz w:val="24"/>
          <w:szCs w:val="24"/>
          <w:rtl/>
        </w:rPr>
        <w:t>العام</w:t>
      </w:r>
      <w:r w:rsidRPr="00E854C2">
        <w:rPr>
          <w:rFonts w:ascii="Simplified Arabic" w:hAnsi="Simplified Arabic" w:cs="Simplified Arabic"/>
          <w:sz w:val="24"/>
          <w:szCs w:val="24"/>
          <w:rtl/>
          <w:lang w:bidi="ar-EG"/>
        </w:rPr>
        <w:t xml:space="preserve">ة: الأسباب –الآثار – الحلول. </w:t>
      </w:r>
      <w:r w:rsidRPr="00E854C2">
        <w:rPr>
          <w:rFonts w:ascii="Simplified Arabic" w:hAnsi="Simplified Arabic" w:cs="Simplified Arabic"/>
          <w:sz w:val="24"/>
          <w:szCs w:val="24"/>
          <w:rtl/>
        </w:rPr>
        <w:t>وزارة المالية البيان المالي الشهري. أعداد مختلفة.</w:t>
      </w:r>
    </w:p>
    <w:p w14:paraId="4CBFC458" w14:textId="77777777" w:rsidR="002959BC" w:rsidRDefault="002959BC" w:rsidP="002959BC">
      <w:pPr>
        <w:jc w:val="center"/>
        <w:rPr>
          <w:rFonts w:ascii="Simplified Arabic" w:hAnsi="Simplified Arabic" w:cs="Simplified Arabic"/>
          <w:b/>
          <w:bCs/>
          <w:color w:val="000000" w:themeColor="text1"/>
          <w:sz w:val="24"/>
          <w:szCs w:val="24"/>
          <w:rtl/>
        </w:rPr>
      </w:pPr>
    </w:p>
    <w:p w14:paraId="73DC33B1" w14:textId="77777777" w:rsidR="002959BC" w:rsidRPr="00A34ECB" w:rsidRDefault="002959BC" w:rsidP="002959BC">
      <w:pPr>
        <w:jc w:val="center"/>
        <w:rPr>
          <w:rFonts w:ascii="Simplified Arabic" w:hAnsi="Simplified Arabic" w:cs="Simplified Arabic"/>
          <w:b/>
          <w:bCs/>
          <w:color w:val="000000" w:themeColor="text1"/>
          <w:sz w:val="24"/>
          <w:szCs w:val="24"/>
          <w:rtl/>
        </w:rPr>
      </w:pPr>
      <w:r w:rsidRPr="00A34ECB">
        <w:rPr>
          <w:rFonts w:ascii="Simplified Arabic" w:hAnsi="Simplified Arabic" w:cs="Simplified Arabic"/>
          <w:b/>
          <w:bCs/>
          <w:color w:val="000000" w:themeColor="text1"/>
          <w:sz w:val="24"/>
          <w:szCs w:val="24"/>
          <w:rtl/>
        </w:rPr>
        <w:lastRenderedPageBreak/>
        <w:t>تابع جدول رقم (4-1)</w:t>
      </w:r>
    </w:p>
    <w:p w14:paraId="61B7F154" w14:textId="77777777" w:rsidR="002959BC" w:rsidRPr="00A34ECB" w:rsidRDefault="002959BC" w:rsidP="002959BC">
      <w:pPr>
        <w:jc w:val="center"/>
        <w:rPr>
          <w:rFonts w:ascii="Simplified Arabic" w:hAnsi="Simplified Arabic" w:cs="Simplified Arabic"/>
          <w:b/>
          <w:bCs/>
          <w:color w:val="000000" w:themeColor="text1"/>
          <w:sz w:val="24"/>
          <w:szCs w:val="24"/>
          <w:rtl/>
        </w:rPr>
      </w:pPr>
      <w:r w:rsidRPr="00A34ECB">
        <w:rPr>
          <w:rFonts w:ascii="Simplified Arabic" w:hAnsi="Simplified Arabic" w:cs="Simplified Arabic"/>
          <w:b/>
          <w:bCs/>
          <w:color w:val="000000" w:themeColor="text1"/>
          <w:sz w:val="24"/>
          <w:szCs w:val="24"/>
          <w:rtl/>
        </w:rPr>
        <w:t>تطور عجز الموازنة العامة للدولة</w:t>
      </w:r>
      <w:r w:rsidRPr="00A34ECB">
        <w:rPr>
          <w:rFonts w:ascii="Simplified Arabic" w:hAnsi="Simplified Arabic" w:cs="Simplified Arabic" w:hint="cs"/>
          <w:b/>
          <w:bCs/>
          <w:color w:val="000000" w:themeColor="text1"/>
          <w:sz w:val="24"/>
          <w:szCs w:val="24"/>
          <w:rtl/>
        </w:rPr>
        <w:t xml:space="preserve"> </w:t>
      </w:r>
      <w:r w:rsidRPr="00A34ECB">
        <w:rPr>
          <w:rFonts w:ascii="Simplified Arabic" w:hAnsi="Simplified Arabic" w:cs="Simplified Arabic"/>
          <w:b/>
          <w:bCs/>
          <w:color w:val="000000" w:themeColor="text1"/>
          <w:sz w:val="24"/>
          <w:szCs w:val="24"/>
          <w:rtl/>
        </w:rPr>
        <w:t>خلال الفترة (1991/1992 إلى 2018/2019)</w:t>
      </w:r>
    </w:p>
    <w:p w14:paraId="68B2103C" w14:textId="77777777" w:rsidR="002959BC" w:rsidRPr="00E854C2" w:rsidRDefault="002959BC" w:rsidP="00131C6C">
      <w:pPr>
        <w:bidi w:val="0"/>
        <w:rPr>
          <w:rFonts w:ascii="Simplified Arabic" w:hAnsi="Simplified Arabic" w:cs="Simplified Arabic"/>
          <w:sz w:val="28"/>
          <w:szCs w:val="28"/>
          <w:u w:val="single"/>
          <w:lang w:bidi="ar-EG"/>
        </w:rPr>
      </w:pPr>
      <w:r w:rsidRPr="00A34ECB">
        <w:rPr>
          <w:rFonts w:ascii="Simplified Arabic" w:hAnsi="Simplified Arabic" w:cs="Simplified Arabic"/>
          <w:b/>
          <w:bCs/>
          <w:color w:val="000000" w:themeColor="text1"/>
          <w:sz w:val="24"/>
          <w:szCs w:val="24"/>
          <w:rtl/>
        </w:rPr>
        <w:t>بالمليون جنيه (بالأسعار الجارية)</w:t>
      </w:r>
    </w:p>
    <w:tbl>
      <w:tblPr>
        <w:bidiVisual/>
        <w:tblW w:w="1450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53"/>
        <w:gridCol w:w="1256"/>
        <w:gridCol w:w="1258"/>
        <w:gridCol w:w="1343"/>
        <w:gridCol w:w="1435"/>
        <w:gridCol w:w="1604"/>
        <w:gridCol w:w="1696"/>
        <w:gridCol w:w="1239"/>
        <w:gridCol w:w="1559"/>
        <w:gridCol w:w="1560"/>
      </w:tblGrid>
      <w:tr w:rsidR="002959BC" w:rsidRPr="00E854C2" w14:paraId="0E46CAB8" w14:textId="77777777" w:rsidTr="00270E6A">
        <w:trPr>
          <w:trHeight w:val="737"/>
          <w:jc w:val="center"/>
        </w:trPr>
        <w:tc>
          <w:tcPr>
            <w:tcW w:w="1553" w:type="dxa"/>
            <w:shd w:val="clear" w:color="auto" w:fill="F2F2F2" w:themeFill="background1" w:themeFillShade="F2"/>
            <w:vAlign w:val="center"/>
            <w:hideMark/>
          </w:tcPr>
          <w:p w14:paraId="1225BD25" w14:textId="77777777" w:rsidR="002959BC" w:rsidRPr="00E854C2" w:rsidRDefault="002959BC" w:rsidP="00270E6A">
            <w:pPr>
              <w:spacing w:line="228"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السنة</w:t>
            </w:r>
          </w:p>
        </w:tc>
        <w:tc>
          <w:tcPr>
            <w:tcW w:w="1256" w:type="dxa"/>
            <w:shd w:val="clear" w:color="auto" w:fill="F2F2F2" w:themeFill="background1" w:themeFillShade="F2"/>
            <w:vAlign w:val="center"/>
            <w:hideMark/>
          </w:tcPr>
          <w:p w14:paraId="4CD5E4C5" w14:textId="77777777" w:rsidR="002959BC" w:rsidRPr="00E854C2" w:rsidRDefault="002959BC" w:rsidP="00270E6A">
            <w:pPr>
              <w:spacing w:line="228" w:lineRule="auto"/>
              <w:jc w:val="center"/>
              <w:rPr>
                <w:rFonts w:ascii="Simplified Arabic" w:hAnsi="Simplified Arabic" w:cs="Simplified Arabic"/>
                <w:color w:val="000000"/>
                <w:sz w:val="28"/>
                <w:szCs w:val="28"/>
                <w:rtl/>
              </w:rPr>
            </w:pPr>
            <w:r w:rsidRPr="00E854C2">
              <w:rPr>
                <w:rFonts w:ascii="Simplified Arabic" w:hAnsi="Simplified Arabic" w:cs="Simplified Arabic"/>
                <w:color w:val="000000"/>
                <w:sz w:val="28"/>
                <w:szCs w:val="28"/>
                <w:rtl/>
              </w:rPr>
              <w:t>إجمالي الإيرادات</w:t>
            </w:r>
          </w:p>
        </w:tc>
        <w:tc>
          <w:tcPr>
            <w:tcW w:w="1258" w:type="dxa"/>
            <w:shd w:val="clear" w:color="auto" w:fill="F2F2F2" w:themeFill="background1" w:themeFillShade="F2"/>
            <w:vAlign w:val="center"/>
            <w:hideMark/>
          </w:tcPr>
          <w:p w14:paraId="44B6397A" w14:textId="77777777" w:rsidR="002959BC" w:rsidRPr="00E854C2" w:rsidRDefault="002959BC" w:rsidP="00270E6A">
            <w:pPr>
              <w:spacing w:line="228" w:lineRule="auto"/>
              <w:jc w:val="center"/>
              <w:rPr>
                <w:rFonts w:ascii="Simplified Arabic" w:hAnsi="Simplified Arabic" w:cs="Simplified Arabic"/>
                <w:color w:val="000000"/>
                <w:sz w:val="28"/>
                <w:szCs w:val="28"/>
                <w:rtl/>
              </w:rPr>
            </w:pPr>
            <w:r w:rsidRPr="00E854C2">
              <w:rPr>
                <w:rFonts w:ascii="Simplified Arabic" w:hAnsi="Simplified Arabic" w:cs="Simplified Arabic"/>
                <w:color w:val="000000"/>
                <w:sz w:val="28"/>
                <w:szCs w:val="28"/>
                <w:rtl/>
              </w:rPr>
              <w:t>إجمالي المصروفات</w:t>
            </w:r>
          </w:p>
        </w:tc>
        <w:tc>
          <w:tcPr>
            <w:tcW w:w="1343" w:type="dxa"/>
            <w:shd w:val="clear" w:color="auto" w:fill="F2F2F2" w:themeFill="background1" w:themeFillShade="F2"/>
            <w:vAlign w:val="center"/>
            <w:hideMark/>
          </w:tcPr>
          <w:p w14:paraId="1DC7C3FB" w14:textId="77777777" w:rsidR="002959BC" w:rsidRPr="00E854C2" w:rsidRDefault="002959BC" w:rsidP="00270E6A">
            <w:pPr>
              <w:spacing w:line="228" w:lineRule="auto"/>
              <w:jc w:val="center"/>
              <w:rPr>
                <w:rFonts w:ascii="Simplified Arabic" w:hAnsi="Simplified Arabic" w:cs="Simplified Arabic"/>
                <w:color w:val="000000"/>
                <w:sz w:val="28"/>
                <w:szCs w:val="28"/>
                <w:rtl/>
              </w:rPr>
            </w:pPr>
            <w:r w:rsidRPr="00E854C2">
              <w:rPr>
                <w:rFonts w:ascii="Simplified Arabic" w:hAnsi="Simplified Arabic" w:cs="Simplified Arabic"/>
                <w:color w:val="000000"/>
                <w:sz w:val="28"/>
                <w:szCs w:val="28"/>
                <w:rtl/>
              </w:rPr>
              <w:t>العجز الكلي</w:t>
            </w:r>
          </w:p>
        </w:tc>
        <w:tc>
          <w:tcPr>
            <w:tcW w:w="1435" w:type="dxa"/>
            <w:shd w:val="clear" w:color="auto" w:fill="F2F2F2" w:themeFill="background1" w:themeFillShade="F2"/>
            <w:vAlign w:val="center"/>
            <w:hideMark/>
          </w:tcPr>
          <w:p w14:paraId="13B632AD" w14:textId="77777777" w:rsidR="002959BC" w:rsidRPr="00E854C2" w:rsidRDefault="002959BC" w:rsidP="00270E6A">
            <w:pPr>
              <w:spacing w:line="228" w:lineRule="auto"/>
              <w:jc w:val="center"/>
              <w:rPr>
                <w:rFonts w:ascii="Simplified Arabic" w:hAnsi="Simplified Arabic" w:cs="Simplified Arabic"/>
                <w:color w:val="000000"/>
                <w:sz w:val="28"/>
                <w:szCs w:val="28"/>
                <w:rtl/>
              </w:rPr>
            </w:pPr>
            <w:r w:rsidRPr="00E854C2">
              <w:rPr>
                <w:rFonts w:ascii="Simplified Arabic" w:hAnsi="Simplified Arabic" w:cs="Simplified Arabic"/>
                <w:color w:val="000000"/>
                <w:sz w:val="28"/>
                <w:szCs w:val="28"/>
                <w:rtl/>
              </w:rPr>
              <w:t>الناتج المحلي الإجمالي</w:t>
            </w:r>
          </w:p>
        </w:tc>
        <w:tc>
          <w:tcPr>
            <w:tcW w:w="1604" w:type="dxa"/>
            <w:shd w:val="clear" w:color="auto" w:fill="F2F2F2" w:themeFill="background1" w:themeFillShade="F2"/>
            <w:vAlign w:val="center"/>
            <w:hideMark/>
          </w:tcPr>
          <w:p w14:paraId="4FC2DD0E" w14:textId="77777777" w:rsidR="002959BC" w:rsidRPr="00E854C2" w:rsidRDefault="002959BC" w:rsidP="00270E6A">
            <w:pPr>
              <w:spacing w:line="228" w:lineRule="auto"/>
              <w:jc w:val="center"/>
              <w:rPr>
                <w:rFonts w:ascii="Simplified Arabic" w:hAnsi="Simplified Arabic" w:cs="Simplified Arabic"/>
                <w:color w:val="000000"/>
                <w:sz w:val="28"/>
                <w:szCs w:val="28"/>
                <w:rtl/>
              </w:rPr>
            </w:pPr>
            <w:r w:rsidRPr="00E854C2">
              <w:rPr>
                <w:rFonts w:ascii="Simplified Arabic" w:hAnsi="Simplified Arabic" w:cs="Simplified Arabic"/>
                <w:color w:val="000000"/>
                <w:sz w:val="28"/>
                <w:szCs w:val="28"/>
                <w:rtl/>
              </w:rPr>
              <w:t>نسبة الإيرادات إلى الناتج</w:t>
            </w:r>
          </w:p>
        </w:tc>
        <w:tc>
          <w:tcPr>
            <w:tcW w:w="1696" w:type="dxa"/>
            <w:shd w:val="clear" w:color="auto" w:fill="F2F2F2" w:themeFill="background1" w:themeFillShade="F2"/>
            <w:vAlign w:val="center"/>
            <w:hideMark/>
          </w:tcPr>
          <w:p w14:paraId="01A7437F" w14:textId="77777777" w:rsidR="002959BC" w:rsidRPr="00E854C2" w:rsidRDefault="002959BC" w:rsidP="00270E6A">
            <w:pPr>
              <w:spacing w:line="228" w:lineRule="auto"/>
              <w:jc w:val="center"/>
              <w:rPr>
                <w:rFonts w:ascii="Simplified Arabic" w:hAnsi="Simplified Arabic" w:cs="Simplified Arabic"/>
                <w:color w:val="000000"/>
                <w:sz w:val="28"/>
                <w:szCs w:val="28"/>
                <w:rtl/>
              </w:rPr>
            </w:pPr>
            <w:r w:rsidRPr="00E854C2">
              <w:rPr>
                <w:rFonts w:ascii="Simplified Arabic" w:hAnsi="Simplified Arabic" w:cs="Simplified Arabic"/>
                <w:color w:val="000000"/>
                <w:sz w:val="28"/>
                <w:szCs w:val="28"/>
                <w:rtl/>
              </w:rPr>
              <w:t>نسبة المصروفات إلى الناتج</w:t>
            </w:r>
          </w:p>
        </w:tc>
        <w:tc>
          <w:tcPr>
            <w:tcW w:w="1239" w:type="dxa"/>
            <w:shd w:val="clear" w:color="auto" w:fill="F2F2F2" w:themeFill="background1" w:themeFillShade="F2"/>
            <w:vAlign w:val="center"/>
            <w:hideMark/>
          </w:tcPr>
          <w:p w14:paraId="08D517B6" w14:textId="77777777" w:rsidR="002959BC" w:rsidRPr="00E854C2" w:rsidRDefault="002959BC" w:rsidP="00270E6A">
            <w:pPr>
              <w:spacing w:line="228" w:lineRule="auto"/>
              <w:jc w:val="center"/>
              <w:rPr>
                <w:rFonts w:ascii="Simplified Arabic" w:hAnsi="Simplified Arabic" w:cs="Simplified Arabic"/>
                <w:color w:val="000000"/>
                <w:sz w:val="28"/>
                <w:szCs w:val="28"/>
                <w:rtl/>
              </w:rPr>
            </w:pPr>
            <w:r w:rsidRPr="00E854C2">
              <w:rPr>
                <w:rFonts w:ascii="Simplified Arabic" w:hAnsi="Simplified Arabic" w:cs="Simplified Arabic"/>
                <w:color w:val="000000"/>
                <w:sz w:val="28"/>
                <w:szCs w:val="28"/>
                <w:rtl/>
              </w:rPr>
              <w:t>نسبة العجز إلى الناتج</w:t>
            </w:r>
          </w:p>
        </w:tc>
        <w:tc>
          <w:tcPr>
            <w:tcW w:w="1559" w:type="dxa"/>
            <w:shd w:val="clear" w:color="auto" w:fill="F2F2F2" w:themeFill="background1" w:themeFillShade="F2"/>
            <w:vAlign w:val="center"/>
            <w:hideMark/>
          </w:tcPr>
          <w:p w14:paraId="71FB59E9" w14:textId="77777777" w:rsidR="002959BC" w:rsidRPr="00E854C2" w:rsidRDefault="002959BC" w:rsidP="00270E6A">
            <w:pPr>
              <w:spacing w:line="228" w:lineRule="auto"/>
              <w:jc w:val="center"/>
              <w:rPr>
                <w:rFonts w:ascii="Simplified Arabic" w:hAnsi="Simplified Arabic" w:cs="Simplified Arabic"/>
                <w:color w:val="000000"/>
                <w:sz w:val="28"/>
                <w:szCs w:val="28"/>
                <w:rtl/>
              </w:rPr>
            </w:pPr>
            <w:r w:rsidRPr="00E854C2">
              <w:rPr>
                <w:rFonts w:ascii="Simplified Arabic" w:hAnsi="Simplified Arabic" w:cs="Simplified Arabic"/>
                <w:color w:val="000000"/>
                <w:sz w:val="28"/>
                <w:szCs w:val="28"/>
                <w:rtl/>
              </w:rPr>
              <w:t>التغير النسبي في الإيرادات</w:t>
            </w:r>
          </w:p>
        </w:tc>
        <w:tc>
          <w:tcPr>
            <w:tcW w:w="1560" w:type="dxa"/>
            <w:shd w:val="clear" w:color="auto" w:fill="F2F2F2" w:themeFill="background1" w:themeFillShade="F2"/>
            <w:vAlign w:val="center"/>
            <w:hideMark/>
          </w:tcPr>
          <w:p w14:paraId="52B53F36" w14:textId="77777777" w:rsidR="002959BC" w:rsidRPr="00E854C2" w:rsidRDefault="002959BC" w:rsidP="00270E6A">
            <w:pPr>
              <w:spacing w:line="228" w:lineRule="auto"/>
              <w:jc w:val="center"/>
              <w:rPr>
                <w:rFonts w:ascii="Simplified Arabic" w:hAnsi="Simplified Arabic" w:cs="Simplified Arabic"/>
                <w:color w:val="000000"/>
                <w:sz w:val="28"/>
                <w:szCs w:val="28"/>
                <w:rtl/>
              </w:rPr>
            </w:pPr>
            <w:r w:rsidRPr="00E854C2">
              <w:rPr>
                <w:rFonts w:ascii="Simplified Arabic" w:hAnsi="Simplified Arabic" w:cs="Simplified Arabic"/>
                <w:color w:val="000000"/>
                <w:sz w:val="28"/>
                <w:szCs w:val="28"/>
                <w:rtl/>
              </w:rPr>
              <w:t>التغير النسبي في المصروفات</w:t>
            </w:r>
          </w:p>
        </w:tc>
      </w:tr>
      <w:tr w:rsidR="002959BC" w:rsidRPr="00E854C2" w14:paraId="19ABF363" w14:textId="77777777" w:rsidTr="00270E6A">
        <w:trPr>
          <w:trHeight w:val="397"/>
          <w:jc w:val="center"/>
        </w:trPr>
        <w:tc>
          <w:tcPr>
            <w:tcW w:w="1553" w:type="dxa"/>
            <w:shd w:val="clear" w:color="auto" w:fill="F2F2F2" w:themeFill="background1" w:themeFillShade="F2"/>
            <w:vAlign w:val="center"/>
          </w:tcPr>
          <w:p w14:paraId="4CDBAEFD"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2006/2007</w:t>
            </w:r>
          </w:p>
        </w:tc>
        <w:tc>
          <w:tcPr>
            <w:tcW w:w="1256" w:type="dxa"/>
            <w:shd w:val="clear" w:color="auto" w:fill="auto"/>
            <w:vAlign w:val="center"/>
          </w:tcPr>
          <w:p w14:paraId="22D4F7F4"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180215</w:t>
            </w:r>
          </w:p>
        </w:tc>
        <w:tc>
          <w:tcPr>
            <w:tcW w:w="1258" w:type="dxa"/>
            <w:shd w:val="clear" w:color="auto" w:fill="auto"/>
            <w:vAlign w:val="center"/>
          </w:tcPr>
          <w:p w14:paraId="5F390F86"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222029</w:t>
            </w:r>
          </w:p>
        </w:tc>
        <w:tc>
          <w:tcPr>
            <w:tcW w:w="1343" w:type="dxa"/>
            <w:shd w:val="clear" w:color="auto" w:fill="auto"/>
            <w:vAlign w:val="center"/>
          </w:tcPr>
          <w:p w14:paraId="2B157740"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54697</w:t>
            </w:r>
          </w:p>
        </w:tc>
        <w:tc>
          <w:tcPr>
            <w:tcW w:w="1435" w:type="dxa"/>
            <w:shd w:val="clear" w:color="auto" w:fill="auto"/>
            <w:vAlign w:val="center"/>
          </w:tcPr>
          <w:p w14:paraId="718C977B"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744800</w:t>
            </w:r>
          </w:p>
        </w:tc>
        <w:tc>
          <w:tcPr>
            <w:tcW w:w="1604" w:type="dxa"/>
            <w:shd w:val="clear" w:color="auto" w:fill="auto"/>
            <w:vAlign w:val="center"/>
          </w:tcPr>
          <w:p w14:paraId="399C4398"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24.2%</w:t>
            </w:r>
          </w:p>
        </w:tc>
        <w:tc>
          <w:tcPr>
            <w:tcW w:w="1696" w:type="dxa"/>
            <w:shd w:val="clear" w:color="auto" w:fill="auto"/>
            <w:vAlign w:val="center"/>
          </w:tcPr>
          <w:p w14:paraId="3AD9E613"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29.8%</w:t>
            </w:r>
          </w:p>
        </w:tc>
        <w:tc>
          <w:tcPr>
            <w:tcW w:w="1239" w:type="dxa"/>
            <w:shd w:val="clear" w:color="auto" w:fill="auto"/>
            <w:vAlign w:val="center"/>
          </w:tcPr>
          <w:p w14:paraId="545C4829"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7.3%</w:t>
            </w:r>
          </w:p>
        </w:tc>
        <w:tc>
          <w:tcPr>
            <w:tcW w:w="1559" w:type="dxa"/>
            <w:shd w:val="clear" w:color="auto" w:fill="auto"/>
            <w:vAlign w:val="center"/>
          </w:tcPr>
          <w:p w14:paraId="73491DE4"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19.1%</w:t>
            </w:r>
          </w:p>
        </w:tc>
        <w:tc>
          <w:tcPr>
            <w:tcW w:w="1560" w:type="dxa"/>
            <w:shd w:val="clear" w:color="auto" w:fill="auto"/>
            <w:vAlign w:val="center"/>
          </w:tcPr>
          <w:p w14:paraId="570C9B3A"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6.8%</w:t>
            </w:r>
          </w:p>
        </w:tc>
      </w:tr>
      <w:tr w:rsidR="002959BC" w:rsidRPr="00E854C2" w14:paraId="5B4D5C98" w14:textId="77777777" w:rsidTr="00270E6A">
        <w:trPr>
          <w:trHeight w:val="397"/>
          <w:jc w:val="center"/>
        </w:trPr>
        <w:tc>
          <w:tcPr>
            <w:tcW w:w="1553" w:type="dxa"/>
            <w:shd w:val="clear" w:color="auto" w:fill="F2F2F2" w:themeFill="background1" w:themeFillShade="F2"/>
            <w:vAlign w:val="center"/>
          </w:tcPr>
          <w:p w14:paraId="74A4E558"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2007/2008</w:t>
            </w:r>
          </w:p>
        </w:tc>
        <w:tc>
          <w:tcPr>
            <w:tcW w:w="1256" w:type="dxa"/>
            <w:shd w:val="clear" w:color="auto" w:fill="auto"/>
            <w:vAlign w:val="center"/>
          </w:tcPr>
          <w:p w14:paraId="74FF4CA3"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221404</w:t>
            </w:r>
          </w:p>
        </w:tc>
        <w:tc>
          <w:tcPr>
            <w:tcW w:w="1258" w:type="dxa"/>
            <w:shd w:val="clear" w:color="auto" w:fill="auto"/>
            <w:vAlign w:val="center"/>
          </w:tcPr>
          <w:p w14:paraId="012C0A2C"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282290</w:t>
            </w:r>
          </w:p>
        </w:tc>
        <w:tc>
          <w:tcPr>
            <w:tcW w:w="1343" w:type="dxa"/>
            <w:shd w:val="clear" w:color="auto" w:fill="auto"/>
            <w:vAlign w:val="center"/>
          </w:tcPr>
          <w:p w14:paraId="118EDE54"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61122</w:t>
            </w:r>
          </w:p>
        </w:tc>
        <w:tc>
          <w:tcPr>
            <w:tcW w:w="1435" w:type="dxa"/>
            <w:shd w:val="clear" w:color="auto" w:fill="auto"/>
            <w:vAlign w:val="center"/>
          </w:tcPr>
          <w:p w14:paraId="30F3F3AA"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895500</w:t>
            </w:r>
          </w:p>
        </w:tc>
        <w:tc>
          <w:tcPr>
            <w:tcW w:w="1604" w:type="dxa"/>
            <w:shd w:val="clear" w:color="auto" w:fill="auto"/>
            <w:vAlign w:val="center"/>
          </w:tcPr>
          <w:p w14:paraId="19D79A1D"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24.7%</w:t>
            </w:r>
          </w:p>
        </w:tc>
        <w:tc>
          <w:tcPr>
            <w:tcW w:w="1696" w:type="dxa"/>
            <w:shd w:val="clear" w:color="auto" w:fill="auto"/>
            <w:vAlign w:val="center"/>
          </w:tcPr>
          <w:p w14:paraId="7F400217"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31.5%</w:t>
            </w:r>
          </w:p>
        </w:tc>
        <w:tc>
          <w:tcPr>
            <w:tcW w:w="1239" w:type="dxa"/>
            <w:shd w:val="clear" w:color="auto" w:fill="auto"/>
            <w:vAlign w:val="center"/>
          </w:tcPr>
          <w:p w14:paraId="559D33B6"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6.8%</w:t>
            </w:r>
          </w:p>
        </w:tc>
        <w:tc>
          <w:tcPr>
            <w:tcW w:w="1559" w:type="dxa"/>
            <w:shd w:val="clear" w:color="auto" w:fill="auto"/>
            <w:vAlign w:val="center"/>
          </w:tcPr>
          <w:p w14:paraId="0AD5BF63"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22.9%</w:t>
            </w:r>
          </w:p>
        </w:tc>
        <w:tc>
          <w:tcPr>
            <w:tcW w:w="1560" w:type="dxa"/>
            <w:shd w:val="clear" w:color="auto" w:fill="auto"/>
            <w:vAlign w:val="center"/>
          </w:tcPr>
          <w:p w14:paraId="451BEC84"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27.1%</w:t>
            </w:r>
          </w:p>
        </w:tc>
      </w:tr>
      <w:tr w:rsidR="002959BC" w:rsidRPr="00E854C2" w14:paraId="6BB08521" w14:textId="77777777" w:rsidTr="00270E6A">
        <w:trPr>
          <w:trHeight w:val="397"/>
          <w:jc w:val="center"/>
        </w:trPr>
        <w:tc>
          <w:tcPr>
            <w:tcW w:w="1553" w:type="dxa"/>
            <w:shd w:val="clear" w:color="auto" w:fill="F2F2F2" w:themeFill="background1" w:themeFillShade="F2"/>
            <w:vAlign w:val="center"/>
          </w:tcPr>
          <w:p w14:paraId="41E6087D"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2008/2009</w:t>
            </w:r>
          </w:p>
        </w:tc>
        <w:tc>
          <w:tcPr>
            <w:tcW w:w="1256" w:type="dxa"/>
            <w:shd w:val="clear" w:color="auto" w:fill="auto"/>
            <w:vAlign w:val="center"/>
          </w:tcPr>
          <w:p w14:paraId="30E07203"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282505</w:t>
            </w:r>
          </w:p>
        </w:tc>
        <w:tc>
          <w:tcPr>
            <w:tcW w:w="1258" w:type="dxa"/>
            <w:shd w:val="clear" w:color="auto" w:fill="auto"/>
            <w:vAlign w:val="center"/>
          </w:tcPr>
          <w:p w14:paraId="2D82A552"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351500</w:t>
            </w:r>
          </w:p>
        </w:tc>
        <w:tc>
          <w:tcPr>
            <w:tcW w:w="1343" w:type="dxa"/>
            <w:shd w:val="clear" w:color="auto" w:fill="auto"/>
            <w:vAlign w:val="center"/>
          </w:tcPr>
          <w:p w14:paraId="080D1887"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71826</w:t>
            </w:r>
          </w:p>
        </w:tc>
        <w:tc>
          <w:tcPr>
            <w:tcW w:w="1435" w:type="dxa"/>
            <w:shd w:val="clear" w:color="auto" w:fill="auto"/>
            <w:vAlign w:val="center"/>
          </w:tcPr>
          <w:p w14:paraId="7972AF6F"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1042200</w:t>
            </w:r>
          </w:p>
        </w:tc>
        <w:tc>
          <w:tcPr>
            <w:tcW w:w="1604" w:type="dxa"/>
            <w:shd w:val="clear" w:color="auto" w:fill="auto"/>
            <w:vAlign w:val="center"/>
          </w:tcPr>
          <w:p w14:paraId="3FC11E99"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27.1%</w:t>
            </w:r>
          </w:p>
        </w:tc>
        <w:tc>
          <w:tcPr>
            <w:tcW w:w="1696" w:type="dxa"/>
            <w:shd w:val="clear" w:color="auto" w:fill="auto"/>
            <w:vAlign w:val="center"/>
          </w:tcPr>
          <w:p w14:paraId="6EBFB55C"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33.7%</w:t>
            </w:r>
          </w:p>
        </w:tc>
        <w:tc>
          <w:tcPr>
            <w:tcW w:w="1239" w:type="dxa"/>
            <w:shd w:val="clear" w:color="auto" w:fill="auto"/>
            <w:vAlign w:val="center"/>
          </w:tcPr>
          <w:p w14:paraId="4B9D8C33"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6.9%</w:t>
            </w:r>
          </w:p>
        </w:tc>
        <w:tc>
          <w:tcPr>
            <w:tcW w:w="1559" w:type="dxa"/>
            <w:shd w:val="clear" w:color="auto" w:fill="auto"/>
            <w:vAlign w:val="center"/>
          </w:tcPr>
          <w:p w14:paraId="76184B14"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27.6%</w:t>
            </w:r>
          </w:p>
        </w:tc>
        <w:tc>
          <w:tcPr>
            <w:tcW w:w="1560" w:type="dxa"/>
            <w:shd w:val="clear" w:color="auto" w:fill="auto"/>
            <w:vAlign w:val="center"/>
          </w:tcPr>
          <w:p w14:paraId="1D053435"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24.5%</w:t>
            </w:r>
          </w:p>
        </w:tc>
      </w:tr>
      <w:tr w:rsidR="002959BC" w:rsidRPr="00E854C2" w14:paraId="67915FEF" w14:textId="77777777" w:rsidTr="00270E6A">
        <w:trPr>
          <w:trHeight w:val="397"/>
          <w:jc w:val="center"/>
        </w:trPr>
        <w:tc>
          <w:tcPr>
            <w:tcW w:w="1553" w:type="dxa"/>
            <w:shd w:val="clear" w:color="auto" w:fill="F2F2F2" w:themeFill="background1" w:themeFillShade="F2"/>
            <w:vAlign w:val="center"/>
          </w:tcPr>
          <w:p w14:paraId="6DF045D0"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2009/2010</w:t>
            </w:r>
          </w:p>
        </w:tc>
        <w:tc>
          <w:tcPr>
            <w:tcW w:w="1256" w:type="dxa"/>
            <w:shd w:val="clear" w:color="auto" w:fill="auto"/>
            <w:vAlign w:val="center"/>
          </w:tcPr>
          <w:p w14:paraId="35B31C19"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268114</w:t>
            </w:r>
          </w:p>
        </w:tc>
        <w:tc>
          <w:tcPr>
            <w:tcW w:w="1258" w:type="dxa"/>
            <w:shd w:val="clear" w:color="auto" w:fill="auto"/>
            <w:vAlign w:val="center"/>
          </w:tcPr>
          <w:p w14:paraId="3349B556" w14:textId="77777777" w:rsidR="002959BC" w:rsidRPr="00E854C2" w:rsidRDefault="002959BC" w:rsidP="00270E6A">
            <w:pPr>
              <w:spacing w:line="228" w:lineRule="auto"/>
              <w:jc w:val="center"/>
              <w:rPr>
                <w:rFonts w:ascii="Simplified Arabic" w:hAnsi="Simplified Arabic" w:cs="Simplified Arabic"/>
                <w:sz w:val="28"/>
                <w:szCs w:val="28"/>
                <w:rtl/>
                <w:lang w:bidi="ar-EG"/>
              </w:rPr>
            </w:pPr>
            <w:r w:rsidRPr="00E854C2">
              <w:rPr>
                <w:rFonts w:ascii="Simplified Arabic" w:hAnsi="Simplified Arabic" w:cs="Simplified Arabic"/>
                <w:sz w:val="28"/>
                <w:szCs w:val="28"/>
                <w:rtl/>
              </w:rPr>
              <w:t>365987</w:t>
            </w:r>
          </w:p>
        </w:tc>
        <w:tc>
          <w:tcPr>
            <w:tcW w:w="1343" w:type="dxa"/>
            <w:shd w:val="clear" w:color="auto" w:fill="auto"/>
            <w:vAlign w:val="center"/>
          </w:tcPr>
          <w:p w14:paraId="2DBE7E4F"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98038</w:t>
            </w:r>
          </w:p>
        </w:tc>
        <w:tc>
          <w:tcPr>
            <w:tcW w:w="1435" w:type="dxa"/>
            <w:shd w:val="clear" w:color="auto" w:fill="auto"/>
            <w:vAlign w:val="center"/>
          </w:tcPr>
          <w:p w14:paraId="00005CEB"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1206700</w:t>
            </w:r>
          </w:p>
        </w:tc>
        <w:tc>
          <w:tcPr>
            <w:tcW w:w="1604" w:type="dxa"/>
            <w:shd w:val="clear" w:color="auto" w:fill="auto"/>
            <w:vAlign w:val="center"/>
          </w:tcPr>
          <w:p w14:paraId="28F94A09"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22.2%</w:t>
            </w:r>
          </w:p>
        </w:tc>
        <w:tc>
          <w:tcPr>
            <w:tcW w:w="1696" w:type="dxa"/>
            <w:shd w:val="clear" w:color="auto" w:fill="auto"/>
            <w:vAlign w:val="center"/>
          </w:tcPr>
          <w:p w14:paraId="7E9A0A9E"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30.3%</w:t>
            </w:r>
          </w:p>
        </w:tc>
        <w:tc>
          <w:tcPr>
            <w:tcW w:w="1239" w:type="dxa"/>
            <w:shd w:val="clear" w:color="auto" w:fill="auto"/>
            <w:vAlign w:val="center"/>
          </w:tcPr>
          <w:p w14:paraId="769644BC"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8.1%</w:t>
            </w:r>
          </w:p>
        </w:tc>
        <w:tc>
          <w:tcPr>
            <w:tcW w:w="1559" w:type="dxa"/>
            <w:shd w:val="clear" w:color="auto" w:fill="auto"/>
            <w:vAlign w:val="center"/>
          </w:tcPr>
          <w:p w14:paraId="7DD7CB84"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-5.1%</w:t>
            </w:r>
          </w:p>
        </w:tc>
        <w:tc>
          <w:tcPr>
            <w:tcW w:w="1560" w:type="dxa"/>
            <w:shd w:val="clear" w:color="auto" w:fill="auto"/>
            <w:vAlign w:val="center"/>
          </w:tcPr>
          <w:p w14:paraId="5AA78475"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4.1%</w:t>
            </w:r>
          </w:p>
        </w:tc>
      </w:tr>
      <w:tr w:rsidR="002959BC" w:rsidRPr="00E854C2" w14:paraId="21BE6893" w14:textId="77777777" w:rsidTr="00270E6A">
        <w:trPr>
          <w:trHeight w:val="397"/>
          <w:jc w:val="center"/>
        </w:trPr>
        <w:tc>
          <w:tcPr>
            <w:tcW w:w="1553" w:type="dxa"/>
            <w:shd w:val="clear" w:color="auto" w:fill="F2F2F2" w:themeFill="background1" w:themeFillShade="F2"/>
            <w:vAlign w:val="center"/>
          </w:tcPr>
          <w:p w14:paraId="4F1A2F16"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2010/2011</w:t>
            </w:r>
          </w:p>
        </w:tc>
        <w:tc>
          <w:tcPr>
            <w:tcW w:w="1256" w:type="dxa"/>
            <w:shd w:val="clear" w:color="auto" w:fill="auto"/>
            <w:vAlign w:val="center"/>
          </w:tcPr>
          <w:p w14:paraId="3A8D41F9"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265286</w:t>
            </w:r>
          </w:p>
        </w:tc>
        <w:tc>
          <w:tcPr>
            <w:tcW w:w="1258" w:type="dxa"/>
            <w:shd w:val="clear" w:color="auto" w:fill="auto"/>
            <w:vAlign w:val="center"/>
          </w:tcPr>
          <w:p w14:paraId="5828C546"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401866</w:t>
            </w:r>
          </w:p>
        </w:tc>
        <w:tc>
          <w:tcPr>
            <w:tcW w:w="1343" w:type="dxa"/>
            <w:shd w:val="clear" w:color="auto" w:fill="auto"/>
            <w:vAlign w:val="center"/>
          </w:tcPr>
          <w:p w14:paraId="2F24E3C6"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134460</w:t>
            </w:r>
          </w:p>
        </w:tc>
        <w:tc>
          <w:tcPr>
            <w:tcW w:w="1435" w:type="dxa"/>
            <w:shd w:val="clear" w:color="auto" w:fill="auto"/>
            <w:vAlign w:val="center"/>
          </w:tcPr>
          <w:p w14:paraId="3542F880"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1371100</w:t>
            </w:r>
          </w:p>
        </w:tc>
        <w:tc>
          <w:tcPr>
            <w:tcW w:w="1604" w:type="dxa"/>
            <w:shd w:val="clear" w:color="auto" w:fill="auto"/>
            <w:vAlign w:val="center"/>
          </w:tcPr>
          <w:p w14:paraId="65440A9C"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19.3%</w:t>
            </w:r>
          </w:p>
        </w:tc>
        <w:tc>
          <w:tcPr>
            <w:tcW w:w="1696" w:type="dxa"/>
            <w:shd w:val="clear" w:color="auto" w:fill="auto"/>
            <w:vAlign w:val="center"/>
          </w:tcPr>
          <w:p w14:paraId="7E57E0C7"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29.3%</w:t>
            </w:r>
          </w:p>
        </w:tc>
        <w:tc>
          <w:tcPr>
            <w:tcW w:w="1239" w:type="dxa"/>
            <w:shd w:val="clear" w:color="auto" w:fill="auto"/>
            <w:vAlign w:val="center"/>
          </w:tcPr>
          <w:p w14:paraId="0C5737E5"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9.8%</w:t>
            </w:r>
          </w:p>
        </w:tc>
        <w:tc>
          <w:tcPr>
            <w:tcW w:w="1559" w:type="dxa"/>
            <w:shd w:val="clear" w:color="auto" w:fill="auto"/>
            <w:vAlign w:val="center"/>
          </w:tcPr>
          <w:p w14:paraId="0907FA93"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-1.1%</w:t>
            </w:r>
          </w:p>
        </w:tc>
        <w:tc>
          <w:tcPr>
            <w:tcW w:w="1560" w:type="dxa"/>
            <w:shd w:val="clear" w:color="auto" w:fill="auto"/>
            <w:vAlign w:val="center"/>
          </w:tcPr>
          <w:p w14:paraId="12249D97"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9.8%</w:t>
            </w:r>
          </w:p>
        </w:tc>
      </w:tr>
      <w:tr w:rsidR="002959BC" w:rsidRPr="00E854C2" w14:paraId="4E9C15A2" w14:textId="77777777" w:rsidTr="00270E6A">
        <w:trPr>
          <w:trHeight w:val="397"/>
          <w:jc w:val="center"/>
        </w:trPr>
        <w:tc>
          <w:tcPr>
            <w:tcW w:w="1553" w:type="dxa"/>
            <w:shd w:val="clear" w:color="auto" w:fill="F2F2F2" w:themeFill="background1" w:themeFillShade="F2"/>
            <w:vAlign w:val="center"/>
          </w:tcPr>
          <w:p w14:paraId="20BE8427"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2011/2012</w:t>
            </w:r>
          </w:p>
        </w:tc>
        <w:tc>
          <w:tcPr>
            <w:tcW w:w="1256" w:type="dxa"/>
            <w:shd w:val="clear" w:color="auto" w:fill="auto"/>
            <w:vAlign w:val="center"/>
          </w:tcPr>
          <w:p w14:paraId="47E0A136"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303622</w:t>
            </w:r>
          </w:p>
        </w:tc>
        <w:tc>
          <w:tcPr>
            <w:tcW w:w="1258" w:type="dxa"/>
            <w:shd w:val="clear" w:color="auto" w:fill="auto"/>
            <w:vAlign w:val="center"/>
          </w:tcPr>
          <w:p w14:paraId="0F9574AE"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470992</w:t>
            </w:r>
          </w:p>
        </w:tc>
        <w:tc>
          <w:tcPr>
            <w:tcW w:w="1343" w:type="dxa"/>
            <w:shd w:val="clear" w:color="auto" w:fill="auto"/>
            <w:vAlign w:val="center"/>
          </w:tcPr>
          <w:p w14:paraId="73A9E570"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166705</w:t>
            </w:r>
          </w:p>
        </w:tc>
        <w:tc>
          <w:tcPr>
            <w:tcW w:w="1435" w:type="dxa"/>
            <w:shd w:val="clear" w:color="auto" w:fill="auto"/>
            <w:vAlign w:val="center"/>
          </w:tcPr>
          <w:p w14:paraId="57D3FCA9"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1656600</w:t>
            </w:r>
          </w:p>
        </w:tc>
        <w:tc>
          <w:tcPr>
            <w:tcW w:w="1604" w:type="dxa"/>
            <w:shd w:val="clear" w:color="auto" w:fill="auto"/>
            <w:vAlign w:val="center"/>
          </w:tcPr>
          <w:p w14:paraId="7A90CCB6"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18.3%</w:t>
            </w:r>
          </w:p>
        </w:tc>
        <w:tc>
          <w:tcPr>
            <w:tcW w:w="1696" w:type="dxa"/>
            <w:shd w:val="clear" w:color="auto" w:fill="auto"/>
            <w:vAlign w:val="center"/>
          </w:tcPr>
          <w:p w14:paraId="200A62D9"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28.4%</w:t>
            </w:r>
          </w:p>
        </w:tc>
        <w:tc>
          <w:tcPr>
            <w:tcW w:w="1239" w:type="dxa"/>
            <w:shd w:val="clear" w:color="auto" w:fill="auto"/>
            <w:vAlign w:val="center"/>
          </w:tcPr>
          <w:p w14:paraId="497ED4B5"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10.1%</w:t>
            </w:r>
          </w:p>
        </w:tc>
        <w:tc>
          <w:tcPr>
            <w:tcW w:w="1559" w:type="dxa"/>
            <w:shd w:val="clear" w:color="auto" w:fill="auto"/>
            <w:vAlign w:val="center"/>
          </w:tcPr>
          <w:p w14:paraId="21B2EE3C"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14.5%</w:t>
            </w:r>
          </w:p>
        </w:tc>
        <w:tc>
          <w:tcPr>
            <w:tcW w:w="1560" w:type="dxa"/>
            <w:shd w:val="clear" w:color="auto" w:fill="auto"/>
            <w:vAlign w:val="center"/>
          </w:tcPr>
          <w:p w14:paraId="686A3C66"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17.2%</w:t>
            </w:r>
          </w:p>
        </w:tc>
      </w:tr>
      <w:tr w:rsidR="002959BC" w:rsidRPr="00E854C2" w14:paraId="1484626D" w14:textId="77777777" w:rsidTr="00270E6A">
        <w:trPr>
          <w:trHeight w:val="397"/>
          <w:jc w:val="center"/>
        </w:trPr>
        <w:tc>
          <w:tcPr>
            <w:tcW w:w="1553" w:type="dxa"/>
            <w:shd w:val="clear" w:color="auto" w:fill="F2F2F2" w:themeFill="background1" w:themeFillShade="F2"/>
            <w:vAlign w:val="center"/>
          </w:tcPr>
          <w:p w14:paraId="54F6B600"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2012/2013</w:t>
            </w:r>
          </w:p>
        </w:tc>
        <w:tc>
          <w:tcPr>
            <w:tcW w:w="1256" w:type="dxa"/>
            <w:shd w:val="clear" w:color="auto" w:fill="auto"/>
            <w:vAlign w:val="center"/>
          </w:tcPr>
          <w:p w14:paraId="17B10926"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350322</w:t>
            </w:r>
          </w:p>
        </w:tc>
        <w:tc>
          <w:tcPr>
            <w:tcW w:w="1258" w:type="dxa"/>
            <w:shd w:val="clear" w:color="auto" w:fill="auto"/>
            <w:vAlign w:val="center"/>
          </w:tcPr>
          <w:p w14:paraId="7DB8C6E6"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588188</w:t>
            </w:r>
          </w:p>
        </w:tc>
        <w:tc>
          <w:tcPr>
            <w:tcW w:w="1343" w:type="dxa"/>
            <w:shd w:val="clear" w:color="auto" w:fill="auto"/>
            <w:vAlign w:val="center"/>
          </w:tcPr>
          <w:p w14:paraId="34B36C6D"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239719</w:t>
            </w:r>
          </w:p>
        </w:tc>
        <w:tc>
          <w:tcPr>
            <w:tcW w:w="1435" w:type="dxa"/>
            <w:shd w:val="clear" w:color="auto" w:fill="auto"/>
            <w:vAlign w:val="center"/>
          </w:tcPr>
          <w:p w14:paraId="625369A3"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1843800</w:t>
            </w:r>
          </w:p>
        </w:tc>
        <w:tc>
          <w:tcPr>
            <w:tcW w:w="1604" w:type="dxa"/>
            <w:shd w:val="clear" w:color="auto" w:fill="auto"/>
            <w:vAlign w:val="center"/>
          </w:tcPr>
          <w:p w14:paraId="35087C77"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19.0%</w:t>
            </w:r>
          </w:p>
        </w:tc>
        <w:tc>
          <w:tcPr>
            <w:tcW w:w="1696" w:type="dxa"/>
            <w:shd w:val="clear" w:color="auto" w:fill="auto"/>
            <w:vAlign w:val="center"/>
          </w:tcPr>
          <w:p w14:paraId="219BAA70"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31.9%</w:t>
            </w:r>
          </w:p>
        </w:tc>
        <w:tc>
          <w:tcPr>
            <w:tcW w:w="1239" w:type="dxa"/>
            <w:shd w:val="clear" w:color="auto" w:fill="auto"/>
            <w:vAlign w:val="center"/>
          </w:tcPr>
          <w:p w14:paraId="6BE64FEB"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13.0%</w:t>
            </w:r>
          </w:p>
        </w:tc>
        <w:tc>
          <w:tcPr>
            <w:tcW w:w="1559" w:type="dxa"/>
            <w:shd w:val="clear" w:color="auto" w:fill="auto"/>
            <w:vAlign w:val="center"/>
          </w:tcPr>
          <w:p w14:paraId="7D94E447"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15.4%</w:t>
            </w:r>
          </w:p>
        </w:tc>
        <w:tc>
          <w:tcPr>
            <w:tcW w:w="1560" w:type="dxa"/>
            <w:shd w:val="clear" w:color="auto" w:fill="auto"/>
            <w:vAlign w:val="center"/>
          </w:tcPr>
          <w:p w14:paraId="54066603"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24.9%</w:t>
            </w:r>
          </w:p>
        </w:tc>
      </w:tr>
      <w:tr w:rsidR="002959BC" w:rsidRPr="00E854C2" w14:paraId="57BB4537" w14:textId="77777777" w:rsidTr="00270E6A">
        <w:trPr>
          <w:trHeight w:val="397"/>
          <w:jc w:val="center"/>
        </w:trPr>
        <w:tc>
          <w:tcPr>
            <w:tcW w:w="1553" w:type="dxa"/>
            <w:shd w:val="clear" w:color="auto" w:fill="F2F2F2" w:themeFill="background1" w:themeFillShade="F2"/>
            <w:vAlign w:val="center"/>
          </w:tcPr>
          <w:p w14:paraId="35C0A133"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2013/2014</w:t>
            </w:r>
          </w:p>
        </w:tc>
        <w:tc>
          <w:tcPr>
            <w:tcW w:w="1256" w:type="dxa"/>
            <w:shd w:val="clear" w:color="auto" w:fill="auto"/>
            <w:vAlign w:val="center"/>
          </w:tcPr>
          <w:p w14:paraId="39F504CF"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456788</w:t>
            </w:r>
          </w:p>
        </w:tc>
        <w:tc>
          <w:tcPr>
            <w:tcW w:w="1258" w:type="dxa"/>
            <w:shd w:val="clear" w:color="auto" w:fill="auto"/>
            <w:vAlign w:val="center"/>
          </w:tcPr>
          <w:p w14:paraId="07C64687"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701514</w:t>
            </w:r>
          </w:p>
        </w:tc>
        <w:tc>
          <w:tcPr>
            <w:tcW w:w="1343" w:type="dxa"/>
            <w:shd w:val="clear" w:color="auto" w:fill="auto"/>
            <w:vAlign w:val="center"/>
          </w:tcPr>
          <w:p w14:paraId="5C8C6DE7"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255439</w:t>
            </w:r>
          </w:p>
        </w:tc>
        <w:tc>
          <w:tcPr>
            <w:tcW w:w="1435" w:type="dxa"/>
            <w:shd w:val="clear" w:color="auto" w:fill="auto"/>
            <w:vAlign w:val="center"/>
          </w:tcPr>
          <w:p w14:paraId="12610DFD"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2130000</w:t>
            </w:r>
          </w:p>
        </w:tc>
        <w:tc>
          <w:tcPr>
            <w:tcW w:w="1604" w:type="dxa"/>
            <w:shd w:val="clear" w:color="auto" w:fill="auto"/>
            <w:vAlign w:val="center"/>
          </w:tcPr>
          <w:p w14:paraId="306258EF"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21.4%</w:t>
            </w:r>
          </w:p>
        </w:tc>
        <w:tc>
          <w:tcPr>
            <w:tcW w:w="1696" w:type="dxa"/>
            <w:shd w:val="clear" w:color="auto" w:fill="auto"/>
            <w:vAlign w:val="center"/>
          </w:tcPr>
          <w:p w14:paraId="47FAA13D"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32.9%</w:t>
            </w:r>
          </w:p>
        </w:tc>
        <w:tc>
          <w:tcPr>
            <w:tcW w:w="1239" w:type="dxa"/>
            <w:shd w:val="clear" w:color="auto" w:fill="auto"/>
            <w:vAlign w:val="center"/>
          </w:tcPr>
          <w:p w14:paraId="750887E2"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12.0%</w:t>
            </w:r>
          </w:p>
        </w:tc>
        <w:tc>
          <w:tcPr>
            <w:tcW w:w="1559" w:type="dxa"/>
            <w:shd w:val="clear" w:color="auto" w:fill="auto"/>
            <w:vAlign w:val="center"/>
          </w:tcPr>
          <w:p w14:paraId="6351EA6D"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30.4%</w:t>
            </w:r>
          </w:p>
        </w:tc>
        <w:tc>
          <w:tcPr>
            <w:tcW w:w="1560" w:type="dxa"/>
            <w:shd w:val="clear" w:color="auto" w:fill="auto"/>
            <w:vAlign w:val="center"/>
          </w:tcPr>
          <w:p w14:paraId="589B4537"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19.3%</w:t>
            </w:r>
          </w:p>
        </w:tc>
      </w:tr>
      <w:tr w:rsidR="002959BC" w:rsidRPr="00E854C2" w14:paraId="459926BA" w14:textId="77777777" w:rsidTr="00270E6A">
        <w:trPr>
          <w:trHeight w:val="397"/>
          <w:jc w:val="center"/>
        </w:trPr>
        <w:tc>
          <w:tcPr>
            <w:tcW w:w="1553" w:type="dxa"/>
            <w:shd w:val="clear" w:color="auto" w:fill="F2F2F2" w:themeFill="background1" w:themeFillShade="F2"/>
            <w:vAlign w:val="center"/>
          </w:tcPr>
          <w:p w14:paraId="465B40F2"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2014/2015</w:t>
            </w:r>
          </w:p>
        </w:tc>
        <w:tc>
          <w:tcPr>
            <w:tcW w:w="1256" w:type="dxa"/>
            <w:shd w:val="clear" w:color="auto" w:fill="auto"/>
            <w:vAlign w:val="center"/>
          </w:tcPr>
          <w:p w14:paraId="35D76852"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465241</w:t>
            </w:r>
          </w:p>
        </w:tc>
        <w:tc>
          <w:tcPr>
            <w:tcW w:w="1258" w:type="dxa"/>
            <w:shd w:val="clear" w:color="auto" w:fill="auto"/>
            <w:vAlign w:val="center"/>
          </w:tcPr>
          <w:p w14:paraId="23C9D48D"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733350</w:t>
            </w:r>
          </w:p>
        </w:tc>
        <w:tc>
          <w:tcPr>
            <w:tcW w:w="1343" w:type="dxa"/>
            <w:shd w:val="clear" w:color="auto" w:fill="auto"/>
            <w:vAlign w:val="center"/>
          </w:tcPr>
          <w:p w14:paraId="10EBF8FF"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279430</w:t>
            </w:r>
          </w:p>
        </w:tc>
        <w:tc>
          <w:tcPr>
            <w:tcW w:w="1435" w:type="dxa"/>
            <w:shd w:val="clear" w:color="auto" w:fill="auto"/>
            <w:vAlign w:val="center"/>
          </w:tcPr>
          <w:p w14:paraId="47BC04F6"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2443900</w:t>
            </w:r>
          </w:p>
        </w:tc>
        <w:tc>
          <w:tcPr>
            <w:tcW w:w="1604" w:type="dxa"/>
            <w:shd w:val="clear" w:color="auto" w:fill="auto"/>
            <w:vAlign w:val="center"/>
          </w:tcPr>
          <w:p w14:paraId="13171F4C"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19.0%</w:t>
            </w:r>
          </w:p>
        </w:tc>
        <w:tc>
          <w:tcPr>
            <w:tcW w:w="1696" w:type="dxa"/>
            <w:shd w:val="clear" w:color="auto" w:fill="auto"/>
            <w:vAlign w:val="center"/>
          </w:tcPr>
          <w:p w14:paraId="7918567C"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30.0%</w:t>
            </w:r>
          </w:p>
        </w:tc>
        <w:tc>
          <w:tcPr>
            <w:tcW w:w="1239" w:type="dxa"/>
            <w:shd w:val="clear" w:color="auto" w:fill="auto"/>
            <w:vAlign w:val="center"/>
          </w:tcPr>
          <w:p w14:paraId="35BAD5DF"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11.4%</w:t>
            </w:r>
          </w:p>
        </w:tc>
        <w:tc>
          <w:tcPr>
            <w:tcW w:w="1559" w:type="dxa"/>
            <w:shd w:val="clear" w:color="auto" w:fill="auto"/>
            <w:vAlign w:val="center"/>
          </w:tcPr>
          <w:p w14:paraId="5BABAB8B"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1.9%</w:t>
            </w:r>
          </w:p>
        </w:tc>
        <w:tc>
          <w:tcPr>
            <w:tcW w:w="1560" w:type="dxa"/>
            <w:shd w:val="clear" w:color="auto" w:fill="auto"/>
            <w:vAlign w:val="center"/>
          </w:tcPr>
          <w:p w14:paraId="63E0E409"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4.5%</w:t>
            </w:r>
          </w:p>
        </w:tc>
      </w:tr>
      <w:tr w:rsidR="002959BC" w:rsidRPr="00E854C2" w14:paraId="7B460090" w14:textId="77777777" w:rsidTr="00270E6A">
        <w:trPr>
          <w:trHeight w:val="397"/>
          <w:jc w:val="center"/>
        </w:trPr>
        <w:tc>
          <w:tcPr>
            <w:tcW w:w="1553" w:type="dxa"/>
            <w:shd w:val="clear" w:color="auto" w:fill="F2F2F2" w:themeFill="background1" w:themeFillShade="F2"/>
            <w:vAlign w:val="center"/>
          </w:tcPr>
          <w:p w14:paraId="1F6F9845"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2015/2016</w:t>
            </w:r>
          </w:p>
        </w:tc>
        <w:tc>
          <w:tcPr>
            <w:tcW w:w="1256" w:type="dxa"/>
            <w:shd w:val="clear" w:color="auto" w:fill="auto"/>
            <w:vAlign w:val="center"/>
          </w:tcPr>
          <w:p w14:paraId="17315BB9"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491488</w:t>
            </w:r>
          </w:p>
        </w:tc>
        <w:tc>
          <w:tcPr>
            <w:tcW w:w="1258" w:type="dxa"/>
            <w:shd w:val="clear" w:color="auto" w:fill="auto"/>
            <w:vAlign w:val="center"/>
          </w:tcPr>
          <w:p w14:paraId="5B9874B7"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817844</w:t>
            </w:r>
          </w:p>
        </w:tc>
        <w:tc>
          <w:tcPr>
            <w:tcW w:w="1343" w:type="dxa"/>
            <w:shd w:val="clear" w:color="auto" w:fill="auto"/>
            <w:vAlign w:val="center"/>
          </w:tcPr>
          <w:p w14:paraId="02C26647"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339495</w:t>
            </w:r>
          </w:p>
        </w:tc>
        <w:tc>
          <w:tcPr>
            <w:tcW w:w="1435" w:type="dxa"/>
            <w:shd w:val="clear" w:color="auto" w:fill="auto"/>
            <w:vAlign w:val="center"/>
          </w:tcPr>
          <w:p w14:paraId="76DA6471"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2709400</w:t>
            </w:r>
          </w:p>
        </w:tc>
        <w:tc>
          <w:tcPr>
            <w:tcW w:w="1604" w:type="dxa"/>
            <w:shd w:val="clear" w:color="auto" w:fill="auto"/>
            <w:vAlign w:val="center"/>
          </w:tcPr>
          <w:p w14:paraId="334C3B2A"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18.1%</w:t>
            </w:r>
          </w:p>
        </w:tc>
        <w:tc>
          <w:tcPr>
            <w:tcW w:w="1696" w:type="dxa"/>
            <w:shd w:val="clear" w:color="auto" w:fill="auto"/>
            <w:vAlign w:val="center"/>
          </w:tcPr>
          <w:p w14:paraId="0E868B42"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30.2%</w:t>
            </w:r>
          </w:p>
        </w:tc>
        <w:tc>
          <w:tcPr>
            <w:tcW w:w="1239" w:type="dxa"/>
            <w:shd w:val="clear" w:color="auto" w:fill="auto"/>
            <w:vAlign w:val="center"/>
          </w:tcPr>
          <w:p w14:paraId="5A992403"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12.5%</w:t>
            </w:r>
          </w:p>
        </w:tc>
        <w:tc>
          <w:tcPr>
            <w:tcW w:w="1559" w:type="dxa"/>
            <w:shd w:val="clear" w:color="auto" w:fill="auto"/>
            <w:vAlign w:val="center"/>
          </w:tcPr>
          <w:p w14:paraId="40077A68"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5.6%</w:t>
            </w:r>
          </w:p>
        </w:tc>
        <w:tc>
          <w:tcPr>
            <w:tcW w:w="1560" w:type="dxa"/>
            <w:shd w:val="clear" w:color="auto" w:fill="auto"/>
            <w:vAlign w:val="center"/>
          </w:tcPr>
          <w:p w14:paraId="79EFB029"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11.5%</w:t>
            </w:r>
          </w:p>
        </w:tc>
      </w:tr>
      <w:tr w:rsidR="002959BC" w:rsidRPr="00E854C2" w14:paraId="253B87AC" w14:textId="77777777" w:rsidTr="00270E6A">
        <w:trPr>
          <w:trHeight w:val="397"/>
          <w:jc w:val="center"/>
        </w:trPr>
        <w:tc>
          <w:tcPr>
            <w:tcW w:w="1553" w:type="dxa"/>
            <w:shd w:val="clear" w:color="auto" w:fill="F2F2F2" w:themeFill="background1" w:themeFillShade="F2"/>
            <w:vAlign w:val="center"/>
          </w:tcPr>
          <w:p w14:paraId="47909544"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2016/2017</w:t>
            </w:r>
          </w:p>
        </w:tc>
        <w:tc>
          <w:tcPr>
            <w:tcW w:w="1256" w:type="dxa"/>
            <w:shd w:val="clear" w:color="auto" w:fill="auto"/>
            <w:vAlign w:val="center"/>
          </w:tcPr>
          <w:p w14:paraId="10BB1C69"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659184</w:t>
            </w:r>
          </w:p>
        </w:tc>
        <w:tc>
          <w:tcPr>
            <w:tcW w:w="1258" w:type="dxa"/>
            <w:shd w:val="clear" w:color="auto" w:fill="auto"/>
            <w:vAlign w:val="center"/>
          </w:tcPr>
          <w:p w14:paraId="753D9F4A"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1031941</w:t>
            </w:r>
          </w:p>
        </w:tc>
        <w:tc>
          <w:tcPr>
            <w:tcW w:w="1343" w:type="dxa"/>
            <w:shd w:val="clear" w:color="auto" w:fill="auto"/>
            <w:vAlign w:val="center"/>
          </w:tcPr>
          <w:p w14:paraId="5814CE18"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379590</w:t>
            </w:r>
          </w:p>
        </w:tc>
        <w:tc>
          <w:tcPr>
            <w:tcW w:w="1435" w:type="dxa"/>
            <w:shd w:val="clear" w:color="auto" w:fill="auto"/>
            <w:vAlign w:val="center"/>
          </w:tcPr>
          <w:p w14:paraId="3133646F"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3470000</w:t>
            </w:r>
          </w:p>
        </w:tc>
        <w:tc>
          <w:tcPr>
            <w:tcW w:w="1604" w:type="dxa"/>
            <w:shd w:val="clear" w:color="auto" w:fill="auto"/>
            <w:vAlign w:val="center"/>
          </w:tcPr>
          <w:p w14:paraId="1BA0B784"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19.0%</w:t>
            </w:r>
          </w:p>
        </w:tc>
        <w:tc>
          <w:tcPr>
            <w:tcW w:w="1696" w:type="dxa"/>
            <w:shd w:val="clear" w:color="auto" w:fill="auto"/>
            <w:vAlign w:val="center"/>
          </w:tcPr>
          <w:p w14:paraId="7FACF779"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29.7%</w:t>
            </w:r>
          </w:p>
        </w:tc>
        <w:tc>
          <w:tcPr>
            <w:tcW w:w="1239" w:type="dxa"/>
            <w:shd w:val="clear" w:color="auto" w:fill="auto"/>
            <w:vAlign w:val="center"/>
          </w:tcPr>
          <w:p w14:paraId="299EE9D3"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10.9%</w:t>
            </w:r>
          </w:p>
        </w:tc>
        <w:tc>
          <w:tcPr>
            <w:tcW w:w="1559" w:type="dxa"/>
            <w:shd w:val="clear" w:color="auto" w:fill="auto"/>
            <w:vAlign w:val="center"/>
          </w:tcPr>
          <w:p w14:paraId="507D09B6"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34.1%</w:t>
            </w:r>
          </w:p>
        </w:tc>
        <w:tc>
          <w:tcPr>
            <w:tcW w:w="1560" w:type="dxa"/>
            <w:shd w:val="clear" w:color="auto" w:fill="auto"/>
            <w:vAlign w:val="center"/>
          </w:tcPr>
          <w:p w14:paraId="67EA5E96"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26.2%</w:t>
            </w:r>
          </w:p>
        </w:tc>
      </w:tr>
      <w:tr w:rsidR="002959BC" w:rsidRPr="00E854C2" w14:paraId="736EBF50" w14:textId="77777777" w:rsidTr="00270E6A">
        <w:trPr>
          <w:trHeight w:val="397"/>
          <w:jc w:val="center"/>
        </w:trPr>
        <w:tc>
          <w:tcPr>
            <w:tcW w:w="1553" w:type="dxa"/>
            <w:shd w:val="clear" w:color="auto" w:fill="F2F2F2" w:themeFill="background1" w:themeFillShade="F2"/>
            <w:vAlign w:val="center"/>
          </w:tcPr>
          <w:p w14:paraId="77D08987"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2017/2018</w:t>
            </w:r>
          </w:p>
        </w:tc>
        <w:tc>
          <w:tcPr>
            <w:tcW w:w="1256" w:type="dxa"/>
            <w:shd w:val="clear" w:color="auto" w:fill="auto"/>
            <w:vAlign w:val="center"/>
          </w:tcPr>
          <w:p w14:paraId="1638FB27"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821134</w:t>
            </w:r>
          </w:p>
        </w:tc>
        <w:tc>
          <w:tcPr>
            <w:tcW w:w="1258" w:type="dxa"/>
            <w:shd w:val="clear" w:color="auto" w:fill="auto"/>
            <w:vAlign w:val="center"/>
          </w:tcPr>
          <w:p w14:paraId="2307CB6E"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1244408</w:t>
            </w:r>
          </w:p>
        </w:tc>
        <w:tc>
          <w:tcPr>
            <w:tcW w:w="1343" w:type="dxa"/>
            <w:shd w:val="clear" w:color="auto" w:fill="auto"/>
            <w:vAlign w:val="center"/>
          </w:tcPr>
          <w:p w14:paraId="7D1400A4"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432580</w:t>
            </w:r>
          </w:p>
        </w:tc>
        <w:tc>
          <w:tcPr>
            <w:tcW w:w="1435" w:type="dxa"/>
            <w:shd w:val="clear" w:color="auto" w:fill="auto"/>
            <w:vAlign w:val="center"/>
          </w:tcPr>
          <w:p w14:paraId="036990F0" w14:textId="77777777" w:rsidR="002959BC" w:rsidRPr="00E854C2" w:rsidRDefault="002959BC" w:rsidP="00270E6A">
            <w:pPr>
              <w:spacing w:line="228"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4437400</w:t>
            </w:r>
          </w:p>
        </w:tc>
        <w:tc>
          <w:tcPr>
            <w:tcW w:w="1604" w:type="dxa"/>
            <w:shd w:val="clear" w:color="auto" w:fill="auto"/>
            <w:vAlign w:val="center"/>
          </w:tcPr>
          <w:p w14:paraId="03E9F652" w14:textId="77777777" w:rsidR="002959BC" w:rsidRPr="00E854C2" w:rsidRDefault="002959BC" w:rsidP="00270E6A">
            <w:pPr>
              <w:spacing w:line="228"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18.5%</w:t>
            </w:r>
          </w:p>
        </w:tc>
        <w:tc>
          <w:tcPr>
            <w:tcW w:w="1696" w:type="dxa"/>
            <w:shd w:val="clear" w:color="auto" w:fill="auto"/>
            <w:vAlign w:val="center"/>
          </w:tcPr>
          <w:p w14:paraId="419B64EE" w14:textId="77777777" w:rsidR="002959BC" w:rsidRPr="00E854C2" w:rsidRDefault="002959BC" w:rsidP="00270E6A">
            <w:pPr>
              <w:spacing w:line="228"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28.0%</w:t>
            </w:r>
          </w:p>
        </w:tc>
        <w:tc>
          <w:tcPr>
            <w:tcW w:w="1239" w:type="dxa"/>
            <w:shd w:val="clear" w:color="auto" w:fill="auto"/>
            <w:vAlign w:val="center"/>
          </w:tcPr>
          <w:p w14:paraId="017BE0B2" w14:textId="77777777" w:rsidR="002959BC" w:rsidRPr="00E854C2" w:rsidRDefault="002959BC" w:rsidP="00270E6A">
            <w:pPr>
              <w:spacing w:line="228"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9.7%</w:t>
            </w:r>
          </w:p>
        </w:tc>
        <w:tc>
          <w:tcPr>
            <w:tcW w:w="1559" w:type="dxa"/>
            <w:shd w:val="clear" w:color="auto" w:fill="auto"/>
            <w:vAlign w:val="center"/>
          </w:tcPr>
          <w:p w14:paraId="0867C52A" w14:textId="77777777" w:rsidR="002959BC" w:rsidRPr="00E854C2" w:rsidRDefault="002959BC" w:rsidP="00270E6A">
            <w:pPr>
              <w:spacing w:line="228"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24.6%</w:t>
            </w:r>
          </w:p>
        </w:tc>
        <w:tc>
          <w:tcPr>
            <w:tcW w:w="1560" w:type="dxa"/>
            <w:shd w:val="clear" w:color="auto" w:fill="auto"/>
            <w:vAlign w:val="center"/>
          </w:tcPr>
          <w:p w14:paraId="10038E17" w14:textId="77777777" w:rsidR="002959BC" w:rsidRPr="00E854C2" w:rsidRDefault="002959BC" w:rsidP="00270E6A">
            <w:pPr>
              <w:spacing w:line="228"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20.6%</w:t>
            </w:r>
          </w:p>
        </w:tc>
      </w:tr>
      <w:tr w:rsidR="002959BC" w:rsidRPr="00E854C2" w14:paraId="1F31D5C6" w14:textId="77777777" w:rsidTr="00270E6A">
        <w:trPr>
          <w:trHeight w:val="397"/>
          <w:jc w:val="center"/>
        </w:trPr>
        <w:tc>
          <w:tcPr>
            <w:tcW w:w="1553" w:type="dxa"/>
            <w:shd w:val="clear" w:color="auto" w:fill="F2F2F2" w:themeFill="background1" w:themeFillShade="F2"/>
            <w:vAlign w:val="center"/>
          </w:tcPr>
          <w:p w14:paraId="7AAE5609"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2018/2019</w:t>
            </w:r>
          </w:p>
        </w:tc>
        <w:tc>
          <w:tcPr>
            <w:tcW w:w="1256" w:type="dxa"/>
            <w:shd w:val="clear" w:color="auto" w:fill="auto"/>
            <w:vAlign w:val="center"/>
          </w:tcPr>
          <w:p w14:paraId="0D278425"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941910</w:t>
            </w:r>
          </w:p>
        </w:tc>
        <w:tc>
          <w:tcPr>
            <w:tcW w:w="1258" w:type="dxa"/>
            <w:shd w:val="clear" w:color="auto" w:fill="auto"/>
            <w:vAlign w:val="center"/>
          </w:tcPr>
          <w:p w14:paraId="40053012"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1369870</w:t>
            </w:r>
          </w:p>
        </w:tc>
        <w:tc>
          <w:tcPr>
            <w:tcW w:w="1343" w:type="dxa"/>
            <w:shd w:val="clear" w:color="auto" w:fill="auto"/>
            <w:vAlign w:val="center"/>
          </w:tcPr>
          <w:p w14:paraId="2211F7F6" w14:textId="77777777" w:rsidR="002959BC" w:rsidRPr="00E854C2" w:rsidRDefault="002959BC" w:rsidP="00270E6A">
            <w:pPr>
              <w:spacing w:line="228"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429951</w:t>
            </w:r>
          </w:p>
        </w:tc>
        <w:tc>
          <w:tcPr>
            <w:tcW w:w="1435" w:type="dxa"/>
            <w:shd w:val="clear" w:color="auto" w:fill="auto"/>
            <w:vAlign w:val="center"/>
          </w:tcPr>
          <w:p w14:paraId="26624E8B" w14:textId="77777777" w:rsidR="002959BC" w:rsidRPr="00E854C2" w:rsidRDefault="002959BC" w:rsidP="00270E6A">
            <w:pPr>
              <w:spacing w:line="228"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5322300</w:t>
            </w:r>
          </w:p>
        </w:tc>
        <w:tc>
          <w:tcPr>
            <w:tcW w:w="1604" w:type="dxa"/>
            <w:shd w:val="clear" w:color="auto" w:fill="auto"/>
            <w:vAlign w:val="center"/>
          </w:tcPr>
          <w:p w14:paraId="246BEA7D" w14:textId="77777777" w:rsidR="002959BC" w:rsidRPr="00E854C2" w:rsidRDefault="002959BC" w:rsidP="00270E6A">
            <w:pPr>
              <w:spacing w:line="228"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17.7%</w:t>
            </w:r>
          </w:p>
        </w:tc>
        <w:tc>
          <w:tcPr>
            <w:tcW w:w="1696" w:type="dxa"/>
            <w:shd w:val="clear" w:color="auto" w:fill="auto"/>
            <w:vAlign w:val="center"/>
          </w:tcPr>
          <w:p w14:paraId="5B0F7588" w14:textId="77777777" w:rsidR="002959BC" w:rsidRPr="00E854C2" w:rsidRDefault="002959BC" w:rsidP="00270E6A">
            <w:pPr>
              <w:spacing w:line="228"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25.7%</w:t>
            </w:r>
          </w:p>
        </w:tc>
        <w:tc>
          <w:tcPr>
            <w:tcW w:w="1239" w:type="dxa"/>
            <w:shd w:val="clear" w:color="auto" w:fill="auto"/>
            <w:vAlign w:val="center"/>
          </w:tcPr>
          <w:p w14:paraId="7B1CBE1D" w14:textId="77777777" w:rsidR="002959BC" w:rsidRPr="00E854C2" w:rsidRDefault="002959BC" w:rsidP="00270E6A">
            <w:pPr>
              <w:spacing w:line="228"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8.1%</w:t>
            </w:r>
          </w:p>
        </w:tc>
        <w:tc>
          <w:tcPr>
            <w:tcW w:w="1559" w:type="dxa"/>
            <w:shd w:val="clear" w:color="auto" w:fill="auto"/>
            <w:vAlign w:val="center"/>
          </w:tcPr>
          <w:p w14:paraId="18B66B54" w14:textId="77777777" w:rsidR="002959BC" w:rsidRPr="00E854C2" w:rsidRDefault="002959BC" w:rsidP="00270E6A">
            <w:pPr>
              <w:spacing w:line="228"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14.7%</w:t>
            </w:r>
          </w:p>
        </w:tc>
        <w:tc>
          <w:tcPr>
            <w:tcW w:w="1560" w:type="dxa"/>
            <w:shd w:val="clear" w:color="auto" w:fill="auto"/>
            <w:vAlign w:val="center"/>
          </w:tcPr>
          <w:p w14:paraId="294034AF" w14:textId="77777777" w:rsidR="002959BC" w:rsidRPr="00E854C2" w:rsidRDefault="002959BC" w:rsidP="00270E6A">
            <w:pPr>
              <w:spacing w:line="228"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10.1%</w:t>
            </w:r>
          </w:p>
        </w:tc>
      </w:tr>
    </w:tbl>
    <w:p w14:paraId="55E2C93F" w14:textId="77777777" w:rsidR="002959BC" w:rsidRPr="00E854C2" w:rsidRDefault="002959BC" w:rsidP="002959BC">
      <w:pPr>
        <w:rPr>
          <w:rFonts w:ascii="Simplified Arabic" w:hAnsi="Simplified Arabic" w:cs="Simplified Arabic"/>
          <w:color w:val="000000" w:themeColor="text1"/>
          <w:sz w:val="28"/>
          <w:szCs w:val="28"/>
          <w:rtl/>
        </w:rPr>
      </w:pPr>
      <w:r w:rsidRPr="00E854C2">
        <w:rPr>
          <w:rFonts w:ascii="Simplified Arabic" w:hAnsi="Simplified Arabic" w:cs="Simplified Arabic"/>
          <w:sz w:val="24"/>
          <w:szCs w:val="24"/>
          <w:rtl/>
        </w:rPr>
        <w:t>المصدر: وزارة المالية البيان المالي الشهري. أعداد مختلفة.</w:t>
      </w:r>
    </w:p>
    <w:p w14:paraId="784F5831" w14:textId="77777777" w:rsidR="002959BC" w:rsidRPr="00E854C2" w:rsidRDefault="002959BC" w:rsidP="002959BC">
      <w:pPr>
        <w:jc w:val="center"/>
        <w:rPr>
          <w:rFonts w:ascii="Simplified Arabic" w:hAnsi="Simplified Arabic" w:cs="Simplified Arabic"/>
          <w:color w:val="000000" w:themeColor="text1"/>
          <w:sz w:val="28"/>
          <w:szCs w:val="28"/>
          <w:rtl/>
        </w:rPr>
        <w:sectPr w:rsidR="002959BC" w:rsidRPr="00E854C2" w:rsidSect="00270E6A">
          <w:footnotePr>
            <w:numRestart w:val="eachPage"/>
          </w:footnotePr>
          <w:pgSz w:w="16840" w:h="11907" w:orient="landscape" w:code="9"/>
          <w:pgMar w:top="1134" w:right="1701" w:bottom="1134" w:left="1134" w:header="709" w:footer="664" w:gutter="0"/>
          <w:cols w:space="720"/>
          <w:rtlGutter/>
          <w:docGrid w:linePitch="360"/>
        </w:sectPr>
      </w:pPr>
    </w:p>
    <w:p w14:paraId="16F735A2" w14:textId="77777777" w:rsidR="002959BC" w:rsidRPr="00A34ECB" w:rsidRDefault="002959BC" w:rsidP="002959BC">
      <w:pPr>
        <w:jc w:val="center"/>
        <w:rPr>
          <w:rFonts w:ascii="Simplified Arabic" w:hAnsi="Simplified Arabic" w:cs="Simplified Arabic"/>
          <w:b/>
          <w:bCs/>
          <w:color w:val="000000" w:themeColor="text1"/>
          <w:sz w:val="24"/>
          <w:szCs w:val="24"/>
          <w:rtl/>
        </w:rPr>
      </w:pPr>
      <w:r w:rsidRPr="00A34ECB">
        <w:rPr>
          <w:rFonts w:ascii="Simplified Arabic" w:hAnsi="Simplified Arabic" w:cs="Simplified Arabic"/>
          <w:b/>
          <w:bCs/>
          <w:color w:val="000000" w:themeColor="text1"/>
          <w:sz w:val="24"/>
          <w:szCs w:val="24"/>
          <w:rtl/>
        </w:rPr>
        <w:lastRenderedPageBreak/>
        <w:t>جدول رقم (4-2)</w:t>
      </w:r>
    </w:p>
    <w:p w14:paraId="24D135A2" w14:textId="77777777" w:rsidR="002959BC" w:rsidRPr="00A34ECB" w:rsidRDefault="002959BC" w:rsidP="002959BC">
      <w:pPr>
        <w:jc w:val="center"/>
        <w:rPr>
          <w:rFonts w:ascii="Simplified Arabic" w:hAnsi="Simplified Arabic" w:cs="Simplified Arabic"/>
          <w:b/>
          <w:bCs/>
          <w:color w:val="000000" w:themeColor="text1"/>
          <w:sz w:val="24"/>
          <w:szCs w:val="24"/>
          <w:rtl/>
        </w:rPr>
      </w:pPr>
      <w:r w:rsidRPr="00A34ECB">
        <w:rPr>
          <w:rFonts w:ascii="Simplified Arabic" w:hAnsi="Simplified Arabic" w:cs="Simplified Arabic"/>
          <w:b/>
          <w:bCs/>
          <w:color w:val="000000" w:themeColor="text1"/>
          <w:sz w:val="24"/>
          <w:szCs w:val="24"/>
          <w:rtl/>
        </w:rPr>
        <w:t>التمويل الخارجي لعجز الموازنة العامة للدولة</w:t>
      </w:r>
      <w:r w:rsidRPr="00A34ECB">
        <w:rPr>
          <w:rFonts w:ascii="Simplified Arabic" w:hAnsi="Simplified Arabic" w:cs="Simplified Arabic" w:hint="cs"/>
          <w:b/>
          <w:bCs/>
          <w:color w:val="000000" w:themeColor="text1"/>
          <w:sz w:val="24"/>
          <w:szCs w:val="24"/>
          <w:rtl/>
        </w:rPr>
        <w:t xml:space="preserve"> </w:t>
      </w:r>
      <w:r w:rsidRPr="00A34ECB">
        <w:rPr>
          <w:rFonts w:ascii="Simplified Arabic" w:hAnsi="Simplified Arabic" w:cs="Simplified Arabic"/>
          <w:b/>
          <w:bCs/>
          <w:color w:val="000000" w:themeColor="text1"/>
          <w:sz w:val="24"/>
          <w:szCs w:val="24"/>
          <w:rtl/>
        </w:rPr>
        <w:t>خلال الفترة (1991/1992 إلى 2018/2019)</w:t>
      </w:r>
    </w:p>
    <w:p w14:paraId="09036105" w14:textId="77777777" w:rsidR="002959BC" w:rsidRPr="00A34ECB" w:rsidRDefault="002959BC" w:rsidP="00131C6C">
      <w:pPr>
        <w:bidi w:val="0"/>
        <w:rPr>
          <w:rFonts w:ascii="Simplified Arabic" w:hAnsi="Simplified Arabic" w:cs="Simplified Arabic"/>
          <w:b/>
          <w:bCs/>
          <w:color w:val="000000" w:themeColor="text1"/>
          <w:sz w:val="24"/>
          <w:szCs w:val="24"/>
          <w:rtl/>
        </w:rPr>
      </w:pPr>
      <w:r w:rsidRPr="00A34ECB">
        <w:rPr>
          <w:rFonts w:ascii="Simplified Arabic" w:hAnsi="Simplified Arabic" w:cs="Simplified Arabic"/>
          <w:b/>
          <w:bCs/>
          <w:color w:val="000000" w:themeColor="text1"/>
          <w:sz w:val="24"/>
          <w:szCs w:val="24"/>
          <w:rtl/>
        </w:rPr>
        <w:t>بالمليون جنيه (بالأسعار الجارية)</w:t>
      </w:r>
    </w:p>
    <w:tbl>
      <w:tblPr>
        <w:tblStyle w:val="TableGrid"/>
        <w:bidiVisual/>
        <w:tblW w:w="0" w:type="auto"/>
        <w:tblInd w:w="-1" w:type="dxa"/>
        <w:tblLook w:val="04A0" w:firstRow="1" w:lastRow="0" w:firstColumn="1" w:lastColumn="0" w:noHBand="0" w:noVBand="1"/>
      </w:tblPr>
      <w:tblGrid>
        <w:gridCol w:w="3095"/>
        <w:gridCol w:w="3096"/>
        <w:gridCol w:w="3096"/>
      </w:tblGrid>
      <w:tr w:rsidR="002959BC" w:rsidRPr="00E854C2" w14:paraId="7CF107B5" w14:textId="77777777" w:rsidTr="00270E6A">
        <w:trPr>
          <w:trHeight w:val="20"/>
        </w:trPr>
        <w:tc>
          <w:tcPr>
            <w:tcW w:w="3095" w:type="dxa"/>
            <w:vAlign w:val="center"/>
          </w:tcPr>
          <w:p w14:paraId="61ADB623" w14:textId="77777777" w:rsidR="002959BC" w:rsidRPr="00E854C2" w:rsidRDefault="002959BC" w:rsidP="00270E6A">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العام المالي</w:t>
            </w:r>
          </w:p>
        </w:tc>
        <w:tc>
          <w:tcPr>
            <w:tcW w:w="3096" w:type="dxa"/>
            <w:vAlign w:val="center"/>
          </w:tcPr>
          <w:p w14:paraId="603134D4" w14:textId="77777777" w:rsidR="002959BC" w:rsidRPr="00E854C2" w:rsidRDefault="002959BC" w:rsidP="00270E6A">
            <w:pPr>
              <w:spacing w:line="192" w:lineRule="auto"/>
              <w:jc w:val="center"/>
              <w:rPr>
                <w:rFonts w:ascii="Simplified Arabic" w:hAnsi="Simplified Arabic" w:cs="Simplified Arabic"/>
                <w:color w:val="000000"/>
                <w:sz w:val="28"/>
                <w:szCs w:val="28"/>
                <w:rtl/>
              </w:rPr>
            </w:pPr>
            <w:r w:rsidRPr="00E854C2">
              <w:rPr>
                <w:rFonts w:ascii="Simplified Arabic" w:hAnsi="Simplified Arabic" w:cs="Simplified Arabic"/>
                <w:color w:val="000000"/>
                <w:sz w:val="28"/>
                <w:szCs w:val="28"/>
                <w:rtl/>
              </w:rPr>
              <w:t xml:space="preserve">التمويل الخارجي </w:t>
            </w:r>
            <w:r w:rsidRPr="00E854C2">
              <w:rPr>
                <w:rFonts w:ascii="Simplified Arabic" w:hAnsi="Simplified Arabic" w:cs="Simplified Arabic"/>
                <w:sz w:val="28"/>
                <w:szCs w:val="28"/>
                <w:vertAlign w:val="superscript"/>
                <w:rtl/>
                <w:lang w:bidi="ar-EG"/>
              </w:rPr>
              <w:t>(</w:t>
            </w:r>
            <w:r w:rsidRPr="00E854C2">
              <w:rPr>
                <w:rFonts w:ascii="Simplified Arabic" w:hAnsi="Simplified Arabic" w:cs="Simplified Arabic"/>
                <w:sz w:val="28"/>
                <w:szCs w:val="28"/>
                <w:vertAlign w:val="superscript"/>
                <w:rtl/>
                <w:lang w:bidi="ar-EG"/>
              </w:rPr>
              <w:footnoteReference w:id="122"/>
            </w:r>
            <w:r w:rsidRPr="00E854C2">
              <w:rPr>
                <w:rFonts w:ascii="Simplified Arabic" w:hAnsi="Simplified Arabic" w:cs="Simplified Arabic"/>
                <w:sz w:val="28"/>
                <w:szCs w:val="28"/>
                <w:vertAlign w:val="superscript"/>
                <w:rtl/>
                <w:lang w:bidi="ar-EG"/>
              </w:rPr>
              <w:t>)</w:t>
            </w:r>
          </w:p>
        </w:tc>
        <w:tc>
          <w:tcPr>
            <w:tcW w:w="3096" w:type="dxa"/>
            <w:vAlign w:val="center"/>
          </w:tcPr>
          <w:p w14:paraId="5AC49A3B" w14:textId="77777777" w:rsidR="002959BC" w:rsidRPr="00E854C2" w:rsidRDefault="002959BC" w:rsidP="00270E6A">
            <w:pPr>
              <w:spacing w:line="192" w:lineRule="auto"/>
              <w:jc w:val="center"/>
              <w:rPr>
                <w:rFonts w:ascii="Simplified Arabic" w:hAnsi="Simplified Arabic" w:cs="Simplified Arabic"/>
                <w:color w:val="000000"/>
                <w:sz w:val="28"/>
                <w:szCs w:val="28"/>
                <w:rtl/>
              </w:rPr>
            </w:pPr>
            <w:r w:rsidRPr="00E854C2">
              <w:rPr>
                <w:rFonts w:ascii="Simplified Arabic" w:hAnsi="Simplified Arabic" w:cs="Simplified Arabic"/>
                <w:color w:val="000000"/>
                <w:sz w:val="28"/>
                <w:szCs w:val="28"/>
                <w:rtl/>
              </w:rPr>
              <w:t>نسبة التمويل الخارجي</w:t>
            </w:r>
          </w:p>
          <w:p w14:paraId="435DB4E2" w14:textId="77777777" w:rsidR="002959BC" w:rsidRPr="00E854C2" w:rsidRDefault="002959BC" w:rsidP="00270E6A">
            <w:pPr>
              <w:spacing w:line="192" w:lineRule="auto"/>
              <w:jc w:val="center"/>
              <w:rPr>
                <w:rFonts w:ascii="Simplified Arabic" w:hAnsi="Simplified Arabic" w:cs="Simplified Arabic"/>
                <w:color w:val="000000"/>
                <w:sz w:val="28"/>
                <w:szCs w:val="28"/>
                <w:rtl/>
              </w:rPr>
            </w:pPr>
            <w:r w:rsidRPr="00E854C2">
              <w:rPr>
                <w:rFonts w:ascii="Simplified Arabic" w:hAnsi="Simplified Arabic" w:cs="Simplified Arabic"/>
                <w:color w:val="000000"/>
                <w:sz w:val="28"/>
                <w:szCs w:val="28"/>
                <w:rtl/>
              </w:rPr>
              <w:t>إلى إجمالي التمويل</w:t>
            </w:r>
          </w:p>
        </w:tc>
      </w:tr>
      <w:tr w:rsidR="002959BC" w:rsidRPr="00E854C2" w14:paraId="3466EFD3" w14:textId="77777777" w:rsidTr="00270E6A">
        <w:trPr>
          <w:trHeight w:val="20"/>
        </w:trPr>
        <w:tc>
          <w:tcPr>
            <w:tcW w:w="3095" w:type="dxa"/>
            <w:vAlign w:val="center"/>
          </w:tcPr>
          <w:p w14:paraId="45C1A124"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1991/1992</w:t>
            </w:r>
          </w:p>
        </w:tc>
        <w:tc>
          <w:tcPr>
            <w:tcW w:w="3096" w:type="dxa"/>
            <w:vAlign w:val="center"/>
          </w:tcPr>
          <w:p w14:paraId="304FBB9E"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1783</w:t>
            </w:r>
          </w:p>
        </w:tc>
        <w:tc>
          <w:tcPr>
            <w:tcW w:w="3096" w:type="dxa"/>
            <w:vAlign w:val="center"/>
          </w:tcPr>
          <w:p w14:paraId="7DDD788F"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30%</w:t>
            </w:r>
          </w:p>
        </w:tc>
      </w:tr>
      <w:tr w:rsidR="002959BC" w:rsidRPr="00E854C2" w14:paraId="285BA1C8" w14:textId="77777777" w:rsidTr="00270E6A">
        <w:trPr>
          <w:trHeight w:val="20"/>
        </w:trPr>
        <w:tc>
          <w:tcPr>
            <w:tcW w:w="3095" w:type="dxa"/>
            <w:vAlign w:val="center"/>
          </w:tcPr>
          <w:p w14:paraId="6C0B3E74"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1992/1993</w:t>
            </w:r>
          </w:p>
        </w:tc>
        <w:tc>
          <w:tcPr>
            <w:tcW w:w="3096" w:type="dxa"/>
            <w:vAlign w:val="center"/>
          </w:tcPr>
          <w:p w14:paraId="0667C8F4"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298</w:t>
            </w:r>
          </w:p>
        </w:tc>
        <w:tc>
          <w:tcPr>
            <w:tcW w:w="3096" w:type="dxa"/>
            <w:vAlign w:val="center"/>
          </w:tcPr>
          <w:p w14:paraId="5694DFD4"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5%</w:t>
            </w:r>
          </w:p>
        </w:tc>
      </w:tr>
      <w:tr w:rsidR="002959BC" w:rsidRPr="00E854C2" w14:paraId="1B81B820" w14:textId="77777777" w:rsidTr="00270E6A">
        <w:trPr>
          <w:trHeight w:val="20"/>
        </w:trPr>
        <w:tc>
          <w:tcPr>
            <w:tcW w:w="3095" w:type="dxa"/>
            <w:vAlign w:val="center"/>
          </w:tcPr>
          <w:p w14:paraId="5E5A405C"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1993/1994</w:t>
            </w:r>
          </w:p>
        </w:tc>
        <w:tc>
          <w:tcPr>
            <w:tcW w:w="3096" w:type="dxa"/>
            <w:vAlign w:val="center"/>
          </w:tcPr>
          <w:p w14:paraId="4763E6EF"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464</w:t>
            </w:r>
          </w:p>
        </w:tc>
        <w:tc>
          <w:tcPr>
            <w:tcW w:w="3096" w:type="dxa"/>
            <w:vAlign w:val="center"/>
          </w:tcPr>
          <w:p w14:paraId="5E9F2CAC"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13%</w:t>
            </w:r>
          </w:p>
        </w:tc>
      </w:tr>
      <w:tr w:rsidR="002959BC" w:rsidRPr="00E854C2" w14:paraId="5202715B" w14:textId="77777777" w:rsidTr="00270E6A">
        <w:trPr>
          <w:trHeight w:val="20"/>
        </w:trPr>
        <w:tc>
          <w:tcPr>
            <w:tcW w:w="3095" w:type="dxa"/>
            <w:vAlign w:val="center"/>
          </w:tcPr>
          <w:p w14:paraId="5A815DD8"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1994/1995</w:t>
            </w:r>
          </w:p>
        </w:tc>
        <w:tc>
          <w:tcPr>
            <w:tcW w:w="3096" w:type="dxa"/>
            <w:vAlign w:val="center"/>
          </w:tcPr>
          <w:p w14:paraId="2FFA067B"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-278</w:t>
            </w:r>
          </w:p>
        </w:tc>
        <w:tc>
          <w:tcPr>
            <w:tcW w:w="3096" w:type="dxa"/>
            <w:vAlign w:val="center"/>
          </w:tcPr>
          <w:p w14:paraId="25D75C73"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-11%</w:t>
            </w:r>
          </w:p>
        </w:tc>
      </w:tr>
      <w:tr w:rsidR="002959BC" w:rsidRPr="00E854C2" w14:paraId="4AF0239E" w14:textId="77777777" w:rsidTr="00270E6A">
        <w:trPr>
          <w:trHeight w:val="20"/>
        </w:trPr>
        <w:tc>
          <w:tcPr>
            <w:tcW w:w="3095" w:type="dxa"/>
            <w:vAlign w:val="center"/>
          </w:tcPr>
          <w:p w14:paraId="42C39822"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1995/1996</w:t>
            </w:r>
          </w:p>
        </w:tc>
        <w:tc>
          <w:tcPr>
            <w:tcW w:w="3096" w:type="dxa"/>
            <w:vAlign w:val="center"/>
          </w:tcPr>
          <w:p w14:paraId="64B035A7"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-1340</w:t>
            </w:r>
          </w:p>
        </w:tc>
        <w:tc>
          <w:tcPr>
            <w:tcW w:w="3096" w:type="dxa"/>
            <w:vAlign w:val="center"/>
          </w:tcPr>
          <w:p w14:paraId="570737AF"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-45%</w:t>
            </w:r>
          </w:p>
        </w:tc>
      </w:tr>
      <w:tr w:rsidR="002959BC" w:rsidRPr="00E854C2" w14:paraId="2A2ACEAA" w14:textId="77777777" w:rsidTr="00270E6A">
        <w:trPr>
          <w:trHeight w:val="20"/>
        </w:trPr>
        <w:tc>
          <w:tcPr>
            <w:tcW w:w="3095" w:type="dxa"/>
            <w:vAlign w:val="center"/>
          </w:tcPr>
          <w:p w14:paraId="79934594"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1996/1997</w:t>
            </w:r>
          </w:p>
        </w:tc>
        <w:tc>
          <w:tcPr>
            <w:tcW w:w="3096" w:type="dxa"/>
            <w:vAlign w:val="center"/>
          </w:tcPr>
          <w:p w14:paraId="21E12F29"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-1575</w:t>
            </w:r>
          </w:p>
        </w:tc>
        <w:tc>
          <w:tcPr>
            <w:tcW w:w="3096" w:type="dxa"/>
            <w:vAlign w:val="center"/>
          </w:tcPr>
          <w:p w14:paraId="56DAFD0D"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-68%</w:t>
            </w:r>
          </w:p>
        </w:tc>
      </w:tr>
      <w:tr w:rsidR="002959BC" w:rsidRPr="00E854C2" w14:paraId="62B94DDF" w14:textId="77777777" w:rsidTr="00270E6A">
        <w:trPr>
          <w:trHeight w:val="20"/>
        </w:trPr>
        <w:tc>
          <w:tcPr>
            <w:tcW w:w="3095" w:type="dxa"/>
            <w:vAlign w:val="center"/>
          </w:tcPr>
          <w:p w14:paraId="47471BA9"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1997/1998</w:t>
            </w:r>
          </w:p>
        </w:tc>
        <w:tc>
          <w:tcPr>
            <w:tcW w:w="3096" w:type="dxa"/>
            <w:vAlign w:val="center"/>
          </w:tcPr>
          <w:p w14:paraId="0DFCFC50"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-1328</w:t>
            </w:r>
          </w:p>
        </w:tc>
        <w:tc>
          <w:tcPr>
            <w:tcW w:w="3096" w:type="dxa"/>
            <w:vAlign w:val="center"/>
          </w:tcPr>
          <w:p w14:paraId="3D683B57"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-47%</w:t>
            </w:r>
          </w:p>
        </w:tc>
      </w:tr>
      <w:tr w:rsidR="002959BC" w:rsidRPr="00E854C2" w14:paraId="6CB92A42" w14:textId="77777777" w:rsidTr="00270E6A">
        <w:trPr>
          <w:trHeight w:val="20"/>
        </w:trPr>
        <w:tc>
          <w:tcPr>
            <w:tcW w:w="3095" w:type="dxa"/>
            <w:vAlign w:val="center"/>
          </w:tcPr>
          <w:p w14:paraId="79ED58F9" w14:textId="77777777" w:rsidR="002959BC" w:rsidRPr="00E854C2" w:rsidRDefault="002959BC" w:rsidP="00131C6C">
            <w:pPr>
              <w:spacing w:line="180"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1998/1999</w:t>
            </w:r>
          </w:p>
        </w:tc>
        <w:tc>
          <w:tcPr>
            <w:tcW w:w="3096" w:type="dxa"/>
            <w:vAlign w:val="center"/>
          </w:tcPr>
          <w:p w14:paraId="217B370E" w14:textId="77777777" w:rsidR="002959BC" w:rsidRPr="00E854C2" w:rsidRDefault="002959BC" w:rsidP="00131C6C">
            <w:pPr>
              <w:spacing w:line="180"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-2001</w:t>
            </w:r>
          </w:p>
        </w:tc>
        <w:tc>
          <w:tcPr>
            <w:tcW w:w="3096" w:type="dxa"/>
            <w:vAlign w:val="center"/>
          </w:tcPr>
          <w:p w14:paraId="0EFBCB76" w14:textId="77777777" w:rsidR="002959BC" w:rsidRPr="00E854C2" w:rsidRDefault="002959BC" w:rsidP="00131C6C">
            <w:pPr>
              <w:spacing w:line="180"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-24%</w:t>
            </w:r>
          </w:p>
        </w:tc>
      </w:tr>
      <w:tr w:rsidR="002959BC" w:rsidRPr="00E854C2" w14:paraId="79ED7657" w14:textId="77777777" w:rsidTr="00270E6A">
        <w:trPr>
          <w:trHeight w:val="20"/>
        </w:trPr>
        <w:tc>
          <w:tcPr>
            <w:tcW w:w="3095" w:type="dxa"/>
            <w:vAlign w:val="center"/>
          </w:tcPr>
          <w:p w14:paraId="16970F41"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1999/2000</w:t>
            </w:r>
          </w:p>
        </w:tc>
        <w:tc>
          <w:tcPr>
            <w:tcW w:w="3096" w:type="dxa"/>
            <w:vAlign w:val="center"/>
          </w:tcPr>
          <w:p w14:paraId="3C30EC08"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-1487</w:t>
            </w:r>
          </w:p>
        </w:tc>
        <w:tc>
          <w:tcPr>
            <w:tcW w:w="3096" w:type="dxa"/>
            <w:vAlign w:val="center"/>
          </w:tcPr>
          <w:p w14:paraId="3BDBCA52"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-10%</w:t>
            </w:r>
          </w:p>
        </w:tc>
      </w:tr>
      <w:tr w:rsidR="002959BC" w:rsidRPr="00E854C2" w14:paraId="6D0362A5" w14:textId="77777777" w:rsidTr="00270E6A">
        <w:trPr>
          <w:trHeight w:val="20"/>
        </w:trPr>
        <w:tc>
          <w:tcPr>
            <w:tcW w:w="3095" w:type="dxa"/>
            <w:vAlign w:val="center"/>
          </w:tcPr>
          <w:p w14:paraId="25E1DD8B"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2000/2001</w:t>
            </w:r>
          </w:p>
        </w:tc>
        <w:tc>
          <w:tcPr>
            <w:tcW w:w="3096" w:type="dxa"/>
            <w:vAlign w:val="center"/>
          </w:tcPr>
          <w:p w14:paraId="64FCF3BD"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-1946</w:t>
            </w:r>
          </w:p>
        </w:tc>
        <w:tc>
          <w:tcPr>
            <w:tcW w:w="3096" w:type="dxa"/>
            <w:vAlign w:val="center"/>
          </w:tcPr>
          <w:p w14:paraId="571F761F"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-7%</w:t>
            </w:r>
          </w:p>
        </w:tc>
      </w:tr>
      <w:tr w:rsidR="002959BC" w:rsidRPr="00E854C2" w14:paraId="0547083C" w14:textId="77777777" w:rsidTr="00270E6A">
        <w:trPr>
          <w:trHeight w:val="20"/>
        </w:trPr>
        <w:tc>
          <w:tcPr>
            <w:tcW w:w="3095" w:type="dxa"/>
            <w:vAlign w:val="center"/>
          </w:tcPr>
          <w:p w14:paraId="35EC368C"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2001/2002</w:t>
            </w:r>
          </w:p>
        </w:tc>
        <w:tc>
          <w:tcPr>
            <w:tcW w:w="3096" w:type="dxa"/>
            <w:vAlign w:val="center"/>
          </w:tcPr>
          <w:p w14:paraId="41F57432" w14:textId="77777777" w:rsidR="002959BC" w:rsidRPr="00E854C2" w:rsidRDefault="002959BC" w:rsidP="00131C6C">
            <w:pPr>
              <w:spacing w:line="180"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6527</w:t>
            </w:r>
          </w:p>
        </w:tc>
        <w:tc>
          <w:tcPr>
            <w:tcW w:w="3096" w:type="dxa"/>
            <w:vAlign w:val="center"/>
          </w:tcPr>
          <w:p w14:paraId="00778C1E"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18%</w:t>
            </w:r>
          </w:p>
        </w:tc>
      </w:tr>
      <w:tr w:rsidR="002959BC" w:rsidRPr="00E854C2" w14:paraId="7AEEF46C" w14:textId="77777777" w:rsidTr="00270E6A">
        <w:trPr>
          <w:trHeight w:val="20"/>
        </w:trPr>
        <w:tc>
          <w:tcPr>
            <w:tcW w:w="3095" w:type="dxa"/>
            <w:vAlign w:val="center"/>
          </w:tcPr>
          <w:p w14:paraId="11139528"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2002/2003</w:t>
            </w:r>
          </w:p>
        </w:tc>
        <w:tc>
          <w:tcPr>
            <w:tcW w:w="3096" w:type="dxa"/>
            <w:vAlign w:val="center"/>
          </w:tcPr>
          <w:p w14:paraId="374DD6B6" w14:textId="77777777" w:rsidR="002959BC" w:rsidRPr="00E854C2" w:rsidRDefault="002959BC" w:rsidP="00131C6C">
            <w:pPr>
              <w:spacing w:line="180"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5580</w:t>
            </w:r>
          </w:p>
        </w:tc>
        <w:tc>
          <w:tcPr>
            <w:tcW w:w="3096" w:type="dxa"/>
            <w:vAlign w:val="center"/>
          </w:tcPr>
          <w:p w14:paraId="4032E103"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13%</w:t>
            </w:r>
          </w:p>
        </w:tc>
      </w:tr>
      <w:tr w:rsidR="002959BC" w:rsidRPr="00E854C2" w14:paraId="2F2F22FE" w14:textId="77777777" w:rsidTr="00270E6A">
        <w:trPr>
          <w:trHeight w:val="20"/>
        </w:trPr>
        <w:tc>
          <w:tcPr>
            <w:tcW w:w="3095" w:type="dxa"/>
            <w:vAlign w:val="center"/>
          </w:tcPr>
          <w:p w14:paraId="3C23C640"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2003/2004</w:t>
            </w:r>
          </w:p>
        </w:tc>
        <w:tc>
          <w:tcPr>
            <w:tcW w:w="3096" w:type="dxa"/>
            <w:vAlign w:val="center"/>
          </w:tcPr>
          <w:p w14:paraId="43795832"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504</w:t>
            </w:r>
          </w:p>
        </w:tc>
        <w:tc>
          <w:tcPr>
            <w:tcW w:w="3096" w:type="dxa"/>
            <w:vAlign w:val="center"/>
          </w:tcPr>
          <w:p w14:paraId="213952ED"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w:t>
            </w:r>
          </w:p>
        </w:tc>
      </w:tr>
      <w:tr w:rsidR="002959BC" w:rsidRPr="00E854C2" w14:paraId="5F6DF348" w14:textId="77777777" w:rsidTr="00270E6A">
        <w:trPr>
          <w:trHeight w:val="20"/>
        </w:trPr>
        <w:tc>
          <w:tcPr>
            <w:tcW w:w="3095" w:type="dxa"/>
            <w:vAlign w:val="center"/>
          </w:tcPr>
          <w:p w14:paraId="3E5E3C65"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2004/2005</w:t>
            </w:r>
          </w:p>
        </w:tc>
        <w:tc>
          <w:tcPr>
            <w:tcW w:w="3096" w:type="dxa"/>
            <w:vAlign w:val="center"/>
          </w:tcPr>
          <w:p w14:paraId="403FCB87"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-4243</w:t>
            </w:r>
          </w:p>
        </w:tc>
        <w:tc>
          <w:tcPr>
            <w:tcW w:w="3096" w:type="dxa"/>
            <w:vAlign w:val="center"/>
          </w:tcPr>
          <w:p w14:paraId="6A6FD5E7"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-7%</w:t>
            </w:r>
          </w:p>
        </w:tc>
      </w:tr>
      <w:tr w:rsidR="002959BC" w:rsidRPr="00E854C2" w14:paraId="0EE223B5" w14:textId="77777777" w:rsidTr="00270E6A">
        <w:trPr>
          <w:trHeight w:val="20"/>
        </w:trPr>
        <w:tc>
          <w:tcPr>
            <w:tcW w:w="3095" w:type="dxa"/>
            <w:vAlign w:val="center"/>
          </w:tcPr>
          <w:p w14:paraId="181AEE5F"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2005/2006</w:t>
            </w:r>
          </w:p>
        </w:tc>
        <w:tc>
          <w:tcPr>
            <w:tcW w:w="3096" w:type="dxa"/>
            <w:vAlign w:val="center"/>
          </w:tcPr>
          <w:p w14:paraId="5C37647D"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3641</w:t>
            </w:r>
          </w:p>
        </w:tc>
        <w:tc>
          <w:tcPr>
            <w:tcW w:w="3096" w:type="dxa"/>
            <w:vAlign w:val="center"/>
          </w:tcPr>
          <w:p w14:paraId="5416EF2B"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6%</w:t>
            </w:r>
          </w:p>
        </w:tc>
      </w:tr>
      <w:tr w:rsidR="002959BC" w:rsidRPr="00E854C2" w14:paraId="2AEB8ADD" w14:textId="77777777" w:rsidTr="00270E6A">
        <w:trPr>
          <w:trHeight w:val="20"/>
        </w:trPr>
        <w:tc>
          <w:tcPr>
            <w:tcW w:w="3095" w:type="dxa"/>
            <w:vAlign w:val="center"/>
          </w:tcPr>
          <w:p w14:paraId="14809D7D"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2006/2007</w:t>
            </w:r>
          </w:p>
        </w:tc>
        <w:tc>
          <w:tcPr>
            <w:tcW w:w="3096" w:type="dxa"/>
            <w:vAlign w:val="center"/>
          </w:tcPr>
          <w:p w14:paraId="252689DF"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3581</w:t>
            </w:r>
          </w:p>
        </w:tc>
        <w:tc>
          <w:tcPr>
            <w:tcW w:w="3096" w:type="dxa"/>
            <w:vAlign w:val="center"/>
          </w:tcPr>
          <w:p w14:paraId="5283F219"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10%</w:t>
            </w:r>
          </w:p>
        </w:tc>
      </w:tr>
      <w:tr w:rsidR="002959BC" w:rsidRPr="00E854C2" w14:paraId="1E60527C" w14:textId="77777777" w:rsidTr="00270E6A">
        <w:trPr>
          <w:trHeight w:val="20"/>
        </w:trPr>
        <w:tc>
          <w:tcPr>
            <w:tcW w:w="3095" w:type="dxa"/>
            <w:vAlign w:val="center"/>
          </w:tcPr>
          <w:p w14:paraId="293B1BB3"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2007/2008</w:t>
            </w:r>
          </w:p>
        </w:tc>
        <w:tc>
          <w:tcPr>
            <w:tcW w:w="3096" w:type="dxa"/>
            <w:vAlign w:val="center"/>
          </w:tcPr>
          <w:p w14:paraId="5BA26C94"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11439</w:t>
            </w:r>
          </w:p>
        </w:tc>
        <w:tc>
          <w:tcPr>
            <w:tcW w:w="3096" w:type="dxa"/>
            <w:vAlign w:val="center"/>
          </w:tcPr>
          <w:p w14:paraId="012C5FB5"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96%</w:t>
            </w:r>
          </w:p>
        </w:tc>
      </w:tr>
      <w:tr w:rsidR="002959BC" w:rsidRPr="00E854C2" w14:paraId="705F2F70" w14:textId="77777777" w:rsidTr="00270E6A">
        <w:trPr>
          <w:trHeight w:val="20"/>
        </w:trPr>
        <w:tc>
          <w:tcPr>
            <w:tcW w:w="3095" w:type="dxa"/>
            <w:vAlign w:val="center"/>
          </w:tcPr>
          <w:p w14:paraId="70492D92"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2008/2009</w:t>
            </w:r>
          </w:p>
        </w:tc>
        <w:tc>
          <w:tcPr>
            <w:tcW w:w="3096" w:type="dxa"/>
            <w:vAlign w:val="center"/>
          </w:tcPr>
          <w:p w14:paraId="42662D2B"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-1812</w:t>
            </w:r>
          </w:p>
        </w:tc>
        <w:tc>
          <w:tcPr>
            <w:tcW w:w="3096" w:type="dxa"/>
            <w:vAlign w:val="center"/>
          </w:tcPr>
          <w:p w14:paraId="64DF94E0"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w:t>
            </w:r>
          </w:p>
        </w:tc>
      </w:tr>
      <w:tr w:rsidR="002959BC" w:rsidRPr="00E854C2" w14:paraId="5691EB99" w14:textId="77777777" w:rsidTr="00270E6A">
        <w:trPr>
          <w:trHeight w:val="20"/>
        </w:trPr>
        <w:tc>
          <w:tcPr>
            <w:tcW w:w="3095" w:type="dxa"/>
            <w:vAlign w:val="center"/>
          </w:tcPr>
          <w:p w14:paraId="0EABC245"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2009/2010</w:t>
            </w:r>
          </w:p>
        </w:tc>
        <w:tc>
          <w:tcPr>
            <w:tcW w:w="3096" w:type="dxa"/>
            <w:vAlign w:val="center"/>
          </w:tcPr>
          <w:p w14:paraId="6E4877CD"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2458</w:t>
            </w:r>
          </w:p>
        </w:tc>
        <w:tc>
          <w:tcPr>
            <w:tcW w:w="3096" w:type="dxa"/>
            <w:vAlign w:val="center"/>
          </w:tcPr>
          <w:p w14:paraId="6D28F027"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w:t>
            </w:r>
          </w:p>
        </w:tc>
      </w:tr>
      <w:tr w:rsidR="002959BC" w:rsidRPr="00E854C2" w14:paraId="44549FC4" w14:textId="77777777" w:rsidTr="00270E6A">
        <w:trPr>
          <w:trHeight w:val="20"/>
        </w:trPr>
        <w:tc>
          <w:tcPr>
            <w:tcW w:w="3095" w:type="dxa"/>
            <w:vAlign w:val="center"/>
          </w:tcPr>
          <w:p w14:paraId="370827EC"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2010/2011</w:t>
            </w:r>
          </w:p>
        </w:tc>
        <w:tc>
          <w:tcPr>
            <w:tcW w:w="3096" w:type="dxa"/>
            <w:vAlign w:val="center"/>
          </w:tcPr>
          <w:p w14:paraId="4EF04C52"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5022</w:t>
            </w:r>
          </w:p>
        </w:tc>
        <w:tc>
          <w:tcPr>
            <w:tcW w:w="3096" w:type="dxa"/>
            <w:vAlign w:val="center"/>
          </w:tcPr>
          <w:p w14:paraId="73ACB97B"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w:t>
            </w:r>
          </w:p>
        </w:tc>
      </w:tr>
      <w:tr w:rsidR="002959BC" w:rsidRPr="00E854C2" w14:paraId="40B5EA8B" w14:textId="77777777" w:rsidTr="00270E6A">
        <w:trPr>
          <w:trHeight w:val="20"/>
        </w:trPr>
        <w:tc>
          <w:tcPr>
            <w:tcW w:w="3095" w:type="dxa"/>
            <w:vAlign w:val="center"/>
          </w:tcPr>
          <w:p w14:paraId="7D81F43F" w14:textId="77777777" w:rsidR="002959BC" w:rsidRPr="00E854C2" w:rsidRDefault="002959BC" w:rsidP="00131C6C">
            <w:pPr>
              <w:spacing w:line="180"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2011/2012</w:t>
            </w:r>
          </w:p>
        </w:tc>
        <w:tc>
          <w:tcPr>
            <w:tcW w:w="3096" w:type="dxa"/>
            <w:vAlign w:val="center"/>
          </w:tcPr>
          <w:p w14:paraId="7D84111D" w14:textId="77777777" w:rsidR="002959BC" w:rsidRPr="00E854C2" w:rsidRDefault="002959BC" w:rsidP="00131C6C">
            <w:pPr>
              <w:spacing w:line="180"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-9062</w:t>
            </w:r>
          </w:p>
        </w:tc>
        <w:tc>
          <w:tcPr>
            <w:tcW w:w="3096" w:type="dxa"/>
            <w:vAlign w:val="center"/>
          </w:tcPr>
          <w:p w14:paraId="4E918C08" w14:textId="77777777" w:rsidR="002959BC" w:rsidRPr="00E854C2" w:rsidRDefault="002959BC" w:rsidP="00131C6C">
            <w:pPr>
              <w:spacing w:line="180"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-5%</w:t>
            </w:r>
          </w:p>
        </w:tc>
      </w:tr>
      <w:tr w:rsidR="002959BC" w:rsidRPr="00E854C2" w14:paraId="23F05C7D" w14:textId="77777777" w:rsidTr="00270E6A">
        <w:trPr>
          <w:trHeight w:val="20"/>
        </w:trPr>
        <w:tc>
          <w:tcPr>
            <w:tcW w:w="3095" w:type="dxa"/>
            <w:vAlign w:val="center"/>
          </w:tcPr>
          <w:p w14:paraId="1DF3B5F5"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2012/2013</w:t>
            </w:r>
          </w:p>
        </w:tc>
        <w:tc>
          <w:tcPr>
            <w:tcW w:w="3096" w:type="dxa"/>
            <w:vAlign w:val="center"/>
          </w:tcPr>
          <w:p w14:paraId="29983B37"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20270</w:t>
            </w:r>
          </w:p>
        </w:tc>
        <w:tc>
          <w:tcPr>
            <w:tcW w:w="3096" w:type="dxa"/>
            <w:vAlign w:val="center"/>
          </w:tcPr>
          <w:p w14:paraId="50248432"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7%</w:t>
            </w:r>
          </w:p>
        </w:tc>
      </w:tr>
      <w:tr w:rsidR="002959BC" w:rsidRPr="00E854C2" w14:paraId="70EFD7B1" w14:textId="77777777" w:rsidTr="00270E6A">
        <w:trPr>
          <w:trHeight w:val="20"/>
        </w:trPr>
        <w:tc>
          <w:tcPr>
            <w:tcW w:w="3095" w:type="dxa"/>
            <w:vAlign w:val="center"/>
          </w:tcPr>
          <w:p w14:paraId="5718F795"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2013/2014</w:t>
            </w:r>
          </w:p>
        </w:tc>
        <w:tc>
          <w:tcPr>
            <w:tcW w:w="3096" w:type="dxa"/>
            <w:vAlign w:val="center"/>
          </w:tcPr>
          <w:p w14:paraId="73DEF69A"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4022</w:t>
            </w:r>
          </w:p>
        </w:tc>
        <w:tc>
          <w:tcPr>
            <w:tcW w:w="3096" w:type="dxa"/>
            <w:vAlign w:val="center"/>
          </w:tcPr>
          <w:p w14:paraId="4BA76C3A"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w:t>
            </w:r>
          </w:p>
        </w:tc>
      </w:tr>
      <w:tr w:rsidR="002959BC" w:rsidRPr="00E854C2" w14:paraId="2006B882" w14:textId="77777777" w:rsidTr="00270E6A">
        <w:trPr>
          <w:trHeight w:val="20"/>
        </w:trPr>
        <w:tc>
          <w:tcPr>
            <w:tcW w:w="3095" w:type="dxa"/>
            <w:vAlign w:val="center"/>
          </w:tcPr>
          <w:p w14:paraId="3C328D59"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2014/2015</w:t>
            </w:r>
          </w:p>
        </w:tc>
        <w:tc>
          <w:tcPr>
            <w:tcW w:w="3096" w:type="dxa"/>
            <w:vAlign w:val="center"/>
          </w:tcPr>
          <w:p w14:paraId="7A656678"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-25119</w:t>
            </w:r>
          </w:p>
        </w:tc>
        <w:tc>
          <w:tcPr>
            <w:tcW w:w="3096" w:type="dxa"/>
            <w:vAlign w:val="center"/>
          </w:tcPr>
          <w:p w14:paraId="1F191350"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-8%</w:t>
            </w:r>
          </w:p>
        </w:tc>
      </w:tr>
      <w:tr w:rsidR="002959BC" w:rsidRPr="00E854C2" w14:paraId="7760B6B8" w14:textId="77777777" w:rsidTr="00270E6A">
        <w:trPr>
          <w:trHeight w:val="20"/>
        </w:trPr>
        <w:tc>
          <w:tcPr>
            <w:tcW w:w="3095" w:type="dxa"/>
            <w:vAlign w:val="center"/>
          </w:tcPr>
          <w:p w14:paraId="3CE121E7"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2015/2016</w:t>
            </w:r>
          </w:p>
        </w:tc>
        <w:tc>
          <w:tcPr>
            <w:tcW w:w="3096" w:type="dxa"/>
            <w:vAlign w:val="center"/>
          </w:tcPr>
          <w:p w14:paraId="23DE6A1F" w14:textId="77777777" w:rsidR="002959BC" w:rsidRPr="00E854C2" w:rsidRDefault="002959BC" w:rsidP="00131C6C">
            <w:pPr>
              <w:spacing w:line="180" w:lineRule="auto"/>
              <w:jc w:val="center"/>
              <w:rPr>
                <w:rFonts w:ascii="Simplified Arabic" w:hAnsi="Simplified Arabic" w:cs="Simplified Arabic"/>
                <w:color w:val="FF0000"/>
                <w:sz w:val="28"/>
                <w:szCs w:val="28"/>
              </w:rPr>
            </w:pPr>
            <w:r w:rsidRPr="00E854C2">
              <w:rPr>
                <w:rFonts w:ascii="Simplified Arabic" w:hAnsi="Simplified Arabic" w:cs="Simplified Arabic"/>
                <w:color w:val="FF0000"/>
                <w:sz w:val="28"/>
                <w:szCs w:val="28"/>
                <w:rtl/>
              </w:rPr>
              <w:t xml:space="preserve">ــــ </w:t>
            </w:r>
            <w:r w:rsidRPr="00E854C2">
              <w:rPr>
                <w:rFonts w:ascii="Simplified Arabic" w:hAnsi="Simplified Arabic" w:cs="Simplified Arabic"/>
                <w:sz w:val="28"/>
                <w:szCs w:val="28"/>
                <w:vertAlign w:val="superscript"/>
                <w:rtl/>
                <w:lang w:bidi="ar-EG"/>
              </w:rPr>
              <w:t>(</w:t>
            </w:r>
            <w:r w:rsidRPr="00E854C2">
              <w:rPr>
                <w:rFonts w:ascii="Simplified Arabic" w:hAnsi="Simplified Arabic" w:cs="Simplified Arabic"/>
                <w:sz w:val="28"/>
                <w:szCs w:val="28"/>
                <w:vertAlign w:val="superscript"/>
                <w:rtl/>
                <w:lang w:bidi="ar-EG"/>
              </w:rPr>
              <w:footnoteReference w:id="123"/>
            </w:r>
            <w:r w:rsidRPr="00E854C2">
              <w:rPr>
                <w:rFonts w:ascii="Simplified Arabic" w:hAnsi="Simplified Arabic" w:cs="Simplified Arabic"/>
                <w:sz w:val="28"/>
                <w:szCs w:val="28"/>
                <w:vertAlign w:val="superscript"/>
                <w:rtl/>
                <w:lang w:bidi="ar-EG"/>
              </w:rPr>
              <w:t>)</w:t>
            </w:r>
          </w:p>
        </w:tc>
        <w:tc>
          <w:tcPr>
            <w:tcW w:w="3096" w:type="dxa"/>
            <w:vAlign w:val="center"/>
          </w:tcPr>
          <w:p w14:paraId="2699DA84" w14:textId="77777777" w:rsidR="002959BC" w:rsidRPr="00E854C2" w:rsidRDefault="002959BC" w:rsidP="00131C6C">
            <w:pPr>
              <w:spacing w:line="180" w:lineRule="auto"/>
              <w:jc w:val="center"/>
              <w:rPr>
                <w:rFonts w:ascii="Simplified Arabic" w:hAnsi="Simplified Arabic" w:cs="Simplified Arabic"/>
                <w:color w:val="FF0000"/>
                <w:sz w:val="28"/>
                <w:szCs w:val="28"/>
              </w:rPr>
            </w:pPr>
            <w:r w:rsidRPr="00E854C2">
              <w:rPr>
                <w:rFonts w:ascii="Simplified Arabic" w:hAnsi="Simplified Arabic" w:cs="Simplified Arabic"/>
                <w:color w:val="FF0000"/>
                <w:sz w:val="28"/>
                <w:szCs w:val="28"/>
                <w:rtl/>
              </w:rPr>
              <w:t>ــــ</w:t>
            </w:r>
          </w:p>
        </w:tc>
      </w:tr>
      <w:tr w:rsidR="002959BC" w:rsidRPr="00E854C2" w14:paraId="433E4D0A" w14:textId="77777777" w:rsidTr="00270E6A">
        <w:trPr>
          <w:trHeight w:val="20"/>
        </w:trPr>
        <w:tc>
          <w:tcPr>
            <w:tcW w:w="3095" w:type="dxa"/>
            <w:vAlign w:val="center"/>
          </w:tcPr>
          <w:p w14:paraId="544E9698" w14:textId="77777777" w:rsidR="002959BC" w:rsidRPr="00E854C2" w:rsidRDefault="002959BC" w:rsidP="00131C6C">
            <w:pPr>
              <w:spacing w:line="180"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2016/2017</w:t>
            </w:r>
          </w:p>
        </w:tc>
        <w:tc>
          <w:tcPr>
            <w:tcW w:w="3096" w:type="dxa"/>
            <w:vAlign w:val="center"/>
          </w:tcPr>
          <w:p w14:paraId="65F438D5" w14:textId="77777777" w:rsidR="002959BC" w:rsidRPr="00E854C2" w:rsidRDefault="002959BC" w:rsidP="00131C6C">
            <w:pPr>
              <w:spacing w:line="180"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188211</w:t>
            </w:r>
          </w:p>
        </w:tc>
        <w:tc>
          <w:tcPr>
            <w:tcW w:w="3096" w:type="dxa"/>
            <w:vAlign w:val="center"/>
          </w:tcPr>
          <w:p w14:paraId="653527A2" w14:textId="77777777" w:rsidR="002959BC" w:rsidRPr="00E854C2" w:rsidRDefault="002959BC" w:rsidP="00131C6C">
            <w:pPr>
              <w:spacing w:line="180"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32%</w:t>
            </w:r>
          </w:p>
        </w:tc>
      </w:tr>
      <w:tr w:rsidR="002959BC" w:rsidRPr="00E854C2" w14:paraId="749375D7" w14:textId="77777777" w:rsidTr="00270E6A">
        <w:trPr>
          <w:trHeight w:val="20"/>
        </w:trPr>
        <w:tc>
          <w:tcPr>
            <w:tcW w:w="3095" w:type="dxa"/>
            <w:vAlign w:val="center"/>
          </w:tcPr>
          <w:p w14:paraId="481E54A5" w14:textId="77777777" w:rsidR="002959BC" w:rsidRPr="00E854C2" w:rsidRDefault="002959BC" w:rsidP="00131C6C">
            <w:pPr>
              <w:spacing w:line="180"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2017/2018</w:t>
            </w:r>
          </w:p>
        </w:tc>
        <w:tc>
          <w:tcPr>
            <w:tcW w:w="3096" w:type="dxa"/>
            <w:vAlign w:val="center"/>
          </w:tcPr>
          <w:p w14:paraId="4EA219E1" w14:textId="77777777" w:rsidR="002959BC" w:rsidRPr="00E854C2" w:rsidRDefault="002959BC" w:rsidP="00131C6C">
            <w:pPr>
              <w:spacing w:line="180"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230332</w:t>
            </w:r>
          </w:p>
        </w:tc>
        <w:tc>
          <w:tcPr>
            <w:tcW w:w="3096" w:type="dxa"/>
            <w:vAlign w:val="center"/>
          </w:tcPr>
          <w:p w14:paraId="3BC7A1B5" w14:textId="77777777" w:rsidR="002959BC" w:rsidRPr="00E854C2" w:rsidRDefault="002959BC" w:rsidP="00131C6C">
            <w:pPr>
              <w:spacing w:line="180"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35%</w:t>
            </w:r>
          </w:p>
        </w:tc>
      </w:tr>
      <w:tr w:rsidR="002959BC" w:rsidRPr="00E854C2" w14:paraId="3E26DF1A" w14:textId="77777777" w:rsidTr="00270E6A">
        <w:trPr>
          <w:trHeight w:val="20"/>
        </w:trPr>
        <w:tc>
          <w:tcPr>
            <w:tcW w:w="3095" w:type="dxa"/>
            <w:vAlign w:val="center"/>
          </w:tcPr>
          <w:p w14:paraId="581CB82F" w14:textId="77777777" w:rsidR="002959BC" w:rsidRPr="00E854C2" w:rsidRDefault="002959BC" w:rsidP="00131C6C">
            <w:pPr>
              <w:spacing w:line="180"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2018/2019</w:t>
            </w:r>
          </w:p>
        </w:tc>
        <w:tc>
          <w:tcPr>
            <w:tcW w:w="3096" w:type="dxa"/>
            <w:vAlign w:val="center"/>
          </w:tcPr>
          <w:p w14:paraId="60D2BF4F" w14:textId="77777777" w:rsidR="002959BC" w:rsidRPr="00E854C2" w:rsidRDefault="002959BC" w:rsidP="00131C6C">
            <w:pPr>
              <w:spacing w:line="180"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178652</w:t>
            </w:r>
          </w:p>
        </w:tc>
        <w:tc>
          <w:tcPr>
            <w:tcW w:w="3096" w:type="dxa"/>
            <w:vAlign w:val="center"/>
          </w:tcPr>
          <w:p w14:paraId="10022A8B" w14:textId="77777777" w:rsidR="002959BC" w:rsidRPr="00E854C2" w:rsidRDefault="002959BC" w:rsidP="00131C6C">
            <w:pPr>
              <w:spacing w:line="180"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28%</w:t>
            </w:r>
          </w:p>
        </w:tc>
      </w:tr>
    </w:tbl>
    <w:p w14:paraId="7449C2A8" w14:textId="77777777" w:rsidR="002959BC" w:rsidRPr="00E854C2" w:rsidRDefault="002959BC" w:rsidP="002959BC">
      <w:pPr>
        <w:autoSpaceDE w:val="0"/>
        <w:autoSpaceDN w:val="0"/>
        <w:adjustRightInd w:val="0"/>
        <w:spacing w:line="216" w:lineRule="auto"/>
        <w:ind w:left="-1"/>
        <w:jc w:val="center"/>
        <w:rPr>
          <w:rFonts w:ascii="Simplified Arabic" w:hAnsi="Simplified Arabic" w:cs="Simplified Arabic"/>
          <w:sz w:val="24"/>
          <w:szCs w:val="24"/>
          <w:rtl/>
          <w:lang w:bidi="ar-EG"/>
        </w:rPr>
      </w:pPr>
      <w:r w:rsidRPr="00E854C2">
        <w:rPr>
          <w:rFonts w:ascii="Simplified Arabic" w:hAnsi="Simplified Arabic" w:cs="Simplified Arabic"/>
          <w:sz w:val="24"/>
          <w:szCs w:val="24"/>
          <w:rtl/>
        </w:rPr>
        <w:t>المصدر: البنك المركزي، النشرة الاقتصادية. أعداد مختلفة، ووزارة المالية البيان المالي الشهري. أعداد مختلفة.</w:t>
      </w:r>
    </w:p>
    <w:p w14:paraId="4CBD9B8B" w14:textId="77777777" w:rsidR="002959BC" w:rsidRPr="00A34ECB" w:rsidRDefault="002959BC" w:rsidP="002959BC">
      <w:pPr>
        <w:jc w:val="center"/>
        <w:rPr>
          <w:rFonts w:ascii="Simplified Arabic" w:hAnsi="Simplified Arabic" w:cs="Simplified Arabic"/>
          <w:b/>
          <w:bCs/>
          <w:color w:val="000000" w:themeColor="text1"/>
          <w:sz w:val="24"/>
          <w:szCs w:val="24"/>
          <w:rtl/>
        </w:rPr>
      </w:pPr>
      <w:r w:rsidRPr="00A34ECB">
        <w:rPr>
          <w:rFonts w:ascii="Simplified Arabic" w:hAnsi="Simplified Arabic" w:cs="Simplified Arabic"/>
          <w:b/>
          <w:bCs/>
          <w:color w:val="000000" w:themeColor="text1"/>
          <w:sz w:val="24"/>
          <w:szCs w:val="24"/>
          <w:rtl/>
        </w:rPr>
        <w:lastRenderedPageBreak/>
        <w:t>جدول رقم (4-3)</w:t>
      </w:r>
    </w:p>
    <w:p w14:paraId="21050EB8" w14:textId="77777777" w:rsidR="002959BC" w:rsidRPr="00A34ECB" w:rsidRDefault="002959BC" w:rsidP="002959BC">
      <w:pPr>
        <w:jc w:val="center"/>
        <w:rPr>
          <w:rFonts w:ascii="Simplified Arabic" w:hAnsi="Simplified Arabic" w:cs="Simplified Arabic"/>
          <w:b/>
          <w:bCs/>
          <w:color w:val="000000" w:themeColor="text1"/>
          <w:sz w:val="24"/>
          <w:szCs w:val="24"/>
          <w:rtl/>
        </w:rPr>
      </w:pPr>
      <w:r w:rsidRPr="00A34ECB">
        <w:rPr>
          <w:rFonts w:ascii="Simplified Arabic" w:hAnsi="Simplified Arabic" w:cs="Simplified Arabic"/>
          <w:b/>
          <w:bCs/>
          <w:color w:val="000000" w:themeColor="text1"/>
          <w:sz w:val="24"/>
          <w:szCs w:val="24"/>
          <w:rtl/>
        </w:rPr>
        <w:t>التمويل المحلي لعجز الموازنة العامة للدولة</w:t>
      </w:r>
      <w:r w:rsidRPr="00A34ECB">
        <w:rPr>
          <w:rFonts w:ascii="Simplified Arabic" w:hAnsi="Simplified Arabic" w:cs="Simplified Arabic" w:hint="cs"/>
          <w:b/>
          <w:bCs/>
          <w:color w:val="000000" w:themeColor="text1"/>
          <w:sz w:val="24"/>
          <w:szCs w:val="24"/>
          <w:rtl/>
        </w:rPr>
        <w:t xml:space="preserve"> </w:t>
      </w:r>
      <w:r w:rsidRPr="00A34ECB">
        <w:rPr>
          <w:rFonts w:ascii="Simplified Arabic" w:hAnsi="Simplified Arabic" w:cs="Simplified Arabic"/>
          <w:b/>
          <w:bCs/>
          <w:color w:val="000000" w:themeColor="text1"/>
          <w:sz w:val="24"/>
          <w:szCs w:val="24"/>
          <w:rtl/>
        </w:rPr>
        <w:t>خلال الفترة (1991/1992 إلى 2018/2019)</w:t>
      </w:r>
    </w:p>
    <w:p w14:paraId="5A127FE9" w14:textId="77777777" w:rsidR="002959BC" w:rsidRPr="00A34ECB" w:rsidRDefault="002959BC" w:rsidP="00131C6C">
      <w:pPr>
        <w:bidi w:val="0"/>
        <w:rPr>
          <w:rFonts w:ascii="Simplified Arabic" w:hAnsi="Simplified Arabic" w:cs="Simplified Arabic"/>
          <w:b/>
          <w:bCs/>
          <w:color w:val="000000" w:themeColor="text1"/>
          <w:sz w:val="24"/>
          <w:szCs w:val="24"/>
          <w:rtl/>
        </w:rPr>
      </w:pPr>
      <w:r w:rsidRPr="00A34ECB">
        <w:rPr>
          <w:rFonts w:ascii="Simplified Arabic" w:hAnsi="Simplified Arabic" w:cs="Simplified Arabic"/>
          <w:b/>
          <w:bCs/>
          <w:color w:val="000000" w:themeColor="text1"/>
          <w:sz w:val="24"/>
          <w:szCs w:val="24"/>
          <w:rtl/>
        </w:rPr>
        <w:t>بالمليون جنيه (بالأسعار الجارية)</w:t>
      </w:r>
    </w:p>
    <w:tbl>
      <w:tblPr>
        <w:tblStyle w:val="TableGrid"/>
        <w:bidiVisual/>
        <w:tblW w:w="9463" w:type="dxa"/>
        <w:tblLook w:val="04A0" w:firstRow="1" w:lastRow="0" w:firstColumn="1" w:lastColumn="0" w:noHBand="0" w:noVBand="1"/>
      </w:tblPr>
      <w:tblGrid>
        <w:gridCol w:w="1552"/>
        <w:gridCol w:w="1107"/>
        <w:gridCol w:w="1476"/>
        <w:gridCol w:w="1076"/>
        <w:gridCol w:w="1508"/>
        <w:gridCol w:w="1284"/>
        <w:gridCol w:w="1460"/>
      </w:tblGrid>
      <w:tr w:rsidR="002959BC" w:rsidRPr="00E854C2" w14:paraId="10C0F55D" w14:textId="77777777" w:rsidTr="00270E6A">
        <w:tc>
          <w:tcPr>
            <w:tcW w:w="1552" w:type="dxa"/>
            <w:vMerge w:val="restart"/>
            <w:shd w:val="clear" w:color="auto" w:fill="F2F2F2" w:themeFill="background1" w:themeFillShade="F2"/>
            <w:vAlign w:val="center"/>
          </w:tcPr>
          <w:p w14:paraId="12C1EA09" w14:textId="77777777" w:rsidR="002959BC" w:rsidRPr="00E854C2" w:rsidRDefault="002959BC" w:rsidP="00131C6C">
            <w:pPr>
              <w:spacing w:line="192" w:lineRule="auto"/>
              <w:jc w:val="center"/>
              <w:rPr>
                <w:rFonts w:ascii="Simplified Arabic" w:hAnsi="Simplified Arabic" w:cs="Simplified Arabic"/>
                <w:color w:val="000000" w:themeColor="text1"/>
                <w:sz w:val="26"/>
                <w:szCs w:val="26"/>
                <w:rtl/>
              </w:rPr>
            </w:pPr>
            <w:r w:rsidRPr="00E854C2">
              <w:rPr>
                <w:rFonts w:ascii="Simplified Arabic" w:hAnsi="Simplified Arabic" w:cs="Simplified Arabic"/>
                <w:color w:val="000000" w:themeColor="text1"/>
                <w:sz w:val="26"/>
                <w:szCs w:val="26"/>
                <w:rtl/>
              </w:rPr>
              <w:t>العام المالي</w:t>
            </w:r>
          </w:p>
        </w:tc>
        <w:tc>
          <w:tcPr>
            <w:tcW w:w="2583" w:type="dxa"/>
            <w:gridSpan w:val="2"/>
            <w:shd w:val="clear" w:color="auto" w:fill="F2F2F2" w:themeFill="background1" w:themeFillShade="F2"/>
            <w:vAlign w:val="center"/>
          </w:tcPr>
          <w:p w14:paraId="343C0D53"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color w:val="000000"/>
                <w:sz w:val="24"/>
                <w:szCs w:val="24"/>
                <w:rtl/>
              </w:rPr>
              <w:t>التمويل المحلي غير المصرفي</w:t>
            </w:r>
          </w:p>
        </w:tc>
        <w:tc>
          <w:tcPr>
            <w:tcW w:w="2584" w:type="dxa"/>
            <w:gridSpan w:val="2"/>
            <w:shd w:val="clear" w:color="auto" w:fill="F2F2F2" w:themeFill="background1" w:themeFillShade="F2"/>
            <w:vAlign w:val="center"/>
          </w:tcPr>
          <w:p w14:paraId="7ED7E983"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color w:val="000000"/>
                <w:sz w:val="26"/>
                <w:szCs w:val="26"/>
                <w:rtl/>
              </w:rPr>
              <w:t>التمويل المحلي المصرفي</w:t>
            </w:r>
          </w:p>
        </w:tc>
        <w:tc>
          <w:tcPr>
            <w:tcW w:w="1284" w:type="dxa"/>
            <w:vMerge w:val="restart"/>
            <w:shd w:val="clear" w:color="auto" w:fill="F2F2F2" w:themeFill="background1" w:themeFillShade="F2"/>
            <w:vAlign w:val="center"/>
          </w:tcPr>
          <w:p w14:paraId="3C2647EB" w14:textId="77777777" w:rsidR="002959BC" w:rsidRPr="00E854C2" w:rsidRDefault="002959BC" w:rsidP="00131C6C">
            <w:pPr>
              <w:spacing w:line="192" w:lineRule="auto"/>
              <w:jc w:val="center"/>
              <w:rPr>
                <w:rFonts w:ascii="Simplified Arabic" w:hAnsi="Simplified Arabic" w:cs="Simplified Arabic"/>
                <w:color w:val="000000" w:themeColor="text1"/>
                <w:sz w:val="26"/>
                <w:szCs w:val="26"/>
                <w:rtl/>
              </w:rPr>
            </w:pPr>
            <w:r w:rsidRPr="00E854C2">
              <w:rPr>
                <w:rFonts w:ascii="Simplified Arabic" w:hAnsi="Simplified Arabic" w:cs="Simplified Arabic"/>
                <w:color w:val="000000" w:themeColor="text1"/>
                <w:sz w:val="26"/>
                <w:szCs w:val="26"/>
                <w:rtl/>
              </w:rPr>
              <w:t xml:space="preserve">إجمالي التمويل المحلي </w:t>
            </w:r>
            <w:r w:rsidRPr="00E854C2">
              <w:rPr>
                <w:rFonts w:ascii="Simplified Arabic" w:hAnsi="Simplified Arabic" w:cs="Simplified Arabic"/>
                <w:sz w:val="26"/>
                <w:szCs w:val="26"/>
                <w:vertAlign w:val="superscript"/>
                <w:rtl/>
                <w:lang w:bidi="ar-EG"/>
              </w:rPr>
              <w:t>(</w:t>
            </w:r>
            <w:r w:rsidRPr="00E854C2">
              <w:rPr>
                <w:rFonts w:ascii="Simplified Arabic" w:hAnsi="Simplified Arabic" w:cs="Simplified Arabic"/>
                <w:sz w:val="26"/>
                <w:szCs w:val="26"/>
                <w:vertAlign w:val="superscript"/>
                <w:rtl/>
                <w:lang w:bidi="ar-EG"/>
              </w:rPr>
              <w:footnoteReference w:id="124"/>
            </w:r>
            <w:r w:rsidRPr="00E854C2">
              <w:rPr>
                <w:rFonts w:ascii="Simplified Arabic" w:hAnsi="Simplified Arabic" w:cs="Simplified Arabic"/>
                <w:sz w:val="26"/>
                <w:szCs w:val="26"/>
                <w:vertAlign w:val="superscript"/>
                <w:rtl/>
                <w:lang w:bidi="ar-EG"/>
              </w:rPr>
              <w:t>)</w:t>
            </w:r>
          </w:p>
        </w:tc>
        <w:tc>
          <w:tcPr>
            <w:tcW w:w="1460" w:type="dxa"/>
            <w:vMerge w:val="restart"/>
            <w:shd w:val="clear" w:color="auto" w:fill="F2F2F2" w:themeFill="background1" w:themeFillShade="F2"/>
            <w:vAlign w:val="center"/>
          </w:tcPr>
          <w:p w14:paraId="23A1C9A1" w14:textId="77777777" w:rsidR="002959BC" w:rsidRPr="00E854C2" w:rsidRDefault="002959BC" w:rsidP="00131C6C">
            <w:pPr>
              <w:spacing w:line="192" w:lineRule="auto"/>
              <w:jc w:val="center"/>
              <w:rPr>
                <w:rFonts w:ascii="Simplified Arabic" w:hAnsi="Simplified Arabic" w:cs="Simplified Arabic"/>
                <w:color w:val="000000"/>
                <w:sz w:val="26"/>
                <w:szCs w:val="26"/>
                <w:rtl/>
              </w:rPr>
            </w:pPr>
            <w:r w:rsidRPr="00E854C2">
              <w:rPr>
                <w:rFonts w:ascii="Simplified Arabic" w:hAnsi="Simplified Arabic" w:cs="Simplified Arabic"/>
                <w:color w:val="000000"/>
                <w:sz w:val="26"/>
                <w:szCs w:val="26"/>
                <w:rtl/>
              </w:rPr>
              <w:t>نسبة التمويل المحلي إلى إجمالي التمويل</w:t>
            </w:r>
          </w:p>
        </w:tc>
      </w:tr>
      <w:tr w:rsidR="002959BC" w:rsidRPr="00E854C2" w14:paraId="05113F09" w14:textId="77777777" w:rsidTr="00270E6A">
        <w:tc>
          <w:tcPr>
            <w:tcW w:w="1552" w:type="dxa"/>
            <w:vMerge/>
          </w:tcPr>
          <w:p w14:paraId="5591BC63" w14:textId="77777777" w:rsidR="002959BC" w:rsidRPr="00E854C2" w:rsidRDefault="002959BC" w:rsidP="00131C6C">
            <w:pPr>
              <w:spacing w:line="192" w:lineRule="auto"/>
              <w:jc w:val="center"/>
              <w:rPr>
                <w:rFonts w:ascii="Simplified Arabic" w:hAnsi="Simplified Arabic" w:cs="Simplified Arabic"/>
                <w:color w:val="000000" w:themeColor="text1"/>
                <w:sz w:val="26"/>
                <w:szCs w:val="26"/>
                <w:rtl/>
              </w:rPr>
            </w:pPr>
          </w:p>
        </w:tc>
        <w:tc>
          <w:tcPr>
            <w:tcW w:w="1107" w:type="dxa"/>
            <w:shd w:val="clear" w:color="auto" w:fill="F2F2F2" w:themeFill="background1" w:themeFillShade="F2"/>
            <w:vAlign w:val="center"/>
          </w:tcPr>
          <w:p w14:paraId="52F5065E" w14:textId="77777777" w:rsidR="002959BC" w:rsidRPr="00E854C2" w:rsidRDefault="002959BC" w:rsidP="00131C6C">
            <w:pPr>
              <w:spacing w:line="192" w:lineRule="auto"/>
              <w:jc w:val="center"/>
              <w:rPr>
                <w:rFonts w:ascii="Simplified Arabic" w:hAnsi="Simplified Arabic" w:cs="Simplified Arabic"/>
                <w:color w:val="000000" w:themeColor="text1"/>
                <w:sz w:val="26"/>
                <w:szCs w:val="26"/>
                <w:rtl/>
              </w:rPr>
            </w:pPr>
            <w:r w:rsidRPr="00E854C2">
              <w:rPr>
                <w:rFonts w:ascii="Simplified Arabic" w:hAnsi="Simplified Arabic" w:cs="Simplified Arabic"/>
                <w:color w:val="000000" w:themeColor="text1"/>
                <w:sz w:val="26"/>
                <w:szCs w:val="26"/>
                <w:rtl/>
              </w:rPr>
              <w:t>مبلغ</w:t>
            </w:r>
          </w:p>
        </w:tc>
        <w:tc>
          <w:tcPr>
            <w:tcW w:w="1476" w:type="dxa"/>
            <w:shd w:val="clear" w:color="auto" w:fill="F2F2F2" w:themeFill="background1" w:themeFillShade="F2"/>
            <w:vAlign w:val="center"/>
          </w:tcPr>
          <w:p w14:paraId="1D022D46" w14:textId="77777777" w:rsidR="002959BC" w:rsidRPr="00E854C2" w:rsidRDefault="002959BC" w:rsidP="00131C6C">
            <w:pPr>
              <w:spacing w:line="192" w:lineRule="auto"/>
              <w:jc w:val="center"/>
              <w:rPr>
                <w:rFonts w:ascii="Simplified Arabic" w:hAnsi="Simplified Arabic" w:cs="Simplified Arabic"/>
                <w:color w:val="000000" w:themeColor="text1"/>
                <w:sz w:val="26"/>
                <w:szCs w:val="26"/>
                <w:rtl/>
              </w:rPr>
            </w:pPr>
            <w:r w:rsidRPr="00E854C2">
              <w:rPr>
                <w:rFonts w:ascii="Simplified Arabic" w:hAnsi="Simplified Arabic" w:cs="Simplified Arabic"/>
                <w:color w:val="000000" w:themeColor="text1"/>
                <w:sz w:val="26"/>
                <w:szCs w:val="26"/>
                <w:rtl/>
              </w:rPr>
              <w:t>نسبته إلى التمويل المحلي</w:t>
            </w:r>
          </w:p>
        </w:tc>
        <w:tc>
          <w:tcPr>
            <w:tcW w:w="1076" w:type="dxa"/>
            <w:shd w:val="clear" w:color="auto" w:fill="F2F2F2" w:themeFill="background1" w:themeFillShade="F2"/>
            <w:vAlign w:val="center"/>
          </w:tcPr>
          <w:p w14:paraId="778FAA32" w14:textId="77777777" w:rsidR="002959BC" w:rsidRPr="00E854C2" w:rsidRDefault="002959BC" w:rsidP="00131C6C">
            <w:pPr>
              <w:spacing w:line="192" w:lineRule="auto"/>
              <w:jc w:val="center"/>
              <w:rPr>
                <w:rFonts w:ascii="Simplified Arabic" w:hAnsi="Simplified Arabic" w:cs="Simplified Arabic"/>
                <w:color w:val="000000" w:themeColor="text1"/>
                <w:sz w:val="26"/>
                <w:szCs w:val="26"/>
                <w:rtl/>
              </w:rPr>
            </w:pPr>
            <w:r w:rsidRPr="00E854C2">
              <w:rPr>
                <w:rFonts w:ascii="Simplified Arabic" w:hAnsi="Simplified Arabic" w:cs="Simplified Arabic"/>
                <w:color w:val="000000" w:themeColor="text1"/>
                <w:sz w:val="26"/>
                <w:szCs w:val="26"/>
                <w:rtl/>
              </w:rPr>
              <w:t>مبلغ</w:t>
            </w:r>
          </w:p>
        </w:tc>
        <w:tc>
          <w:tcPr>
            <w:tcW w:w="1508" w:type="dxa"/>
            <w:shd w:val="clear" w:color="auto" w:fill="F2F2F2" w:themeFill="background1" w:themeFillShade="F2"/>
            <w:vAlign w:val="center"/>
          </w:tcPr>
          <w:p w14:paraId="5D814336" w14:textId="77777777" w:rsidR="002959BC" w:rsidRPr="00E854C2" w:rsidRDefault="002959BC" w:rsidP="00131C6C">
            <w:pPr>
              <w:spacing w:line="192" w:lineRule="auto"/>
              <w:jc w:val="center"/>
              <w:rPr>
                <w:rFonts w:ascii="Simplified Arabic" w:hAnsi="Simplified Arabic" w:cs="Simplified Arabic"/>
                <w:color w:val="000000" w:themeColor="text1"/>
                <w:sz w:val="26"/>
                <w:szCs w:val="26"/>
                <w:rtl/>
              </w:rPr>
            </w:pPr>
            <w:r w:rsidRPr="00E854C2">
              <w:rPr>
                <w:rFonts w:ascii="Simplified Arabic" w:hAnsi="Simplified Arabic" w:cs="Simplified Arabic"/>
                <w:color w:val="000000" w:themeColor="text1"/>
                <w:sz w:val="26"/>
                <w:szCs w:val="26"/>
                <w:rtl/>
              </w:rPr>
              <w:t>نسبته إلى التمويل المحلي</w:t>
            </w:r>
          </w:p>
        </w:tc>
        <w:tc>
          <w:tcPr>
            <w:tcW w:w="1284" w:type="dxa"/>
            <w:vMerge/>
          </w:tcPr>
          <w:p w14:paraId="42FC62FB" w14:textId="77777777" w:rsidR="002959BC" w:rsidRPr="00E854C2" w:rsidRDefault="002959BC" w:rsidP="00131C6C">
            <w:pPr>
              <w:spacing w:line="192" w:lineRule="auto"/>
              <w:jc w:val="center"/>
              <w:rPr>
                <w:rFonts w:ascii="Simplified Arabic" w:hAnsi="Simplified Arabic" w:cs="Simplified Arabic"/>
                <w:color w:val="000000" w:themeColor="text1"/>
                <w:sz w:val="26"/>
                <w:szCs w:val="26"/>
                <w:rtl/>
              </w:rPr>
            </w:pPr>
          </w:p>
        </w:tc>
        <w:tc>
          <w:tcPr>
            <w:tcW w:w="1460" w:type="dxa"/>
            <w:vMerge/>
          </w:tcPr>
          <w:p w14:paraId="676E1464" w14:textId="77777777" w:rsidR="002959BC" w:rsidRPr="00E854C2" w:rsidRDefault="002959BC" w:rsidP="00131C6C">
            <w:pPr>
              <w:spacing w:line="192" w:lineRule="auto"/>
              <w:jc w:val="center"/>
              <w:rPr>
                <w:rFonts w:ascii="Simplified Arabic" w:hAnsi="Simplified Arabic" w:cs="Simplified Arabic"/>
                <w:color w:val="000000" w:themeColor="text1"/>
                <w:sz w:val="26"/>
                <w:szCs w:val="26"/>
                <w:rtl/>
              </w:rPr>
            </w:pPr>
          </w:p>
        </w:tc>
      </w:tr>
      <w:tr w:rsidR="002959BC" w:rsidRPr="00E854C2" w14:paraId="1F3F6C48" w14:textId="77777777" w:rsidTr="00270E6A">
        <w:tc>
          <w:tcPr>
            <w:tcW w:w="1552" w:type="dxa"/>
            <w:vAlign w:val="center"/>
          </w:tcPr>
          <w:p w14:paraId="01ABF5AB"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1991/1992</w:t>
            </w:r>
          </w:p>
        </w:tc>
        <w:tc>
          <w:tcPr>
            <w:tcW w:w="1107" w:type="dxa"/>
            <w:vAlign w:val="center"/>
          </w:tcPr>
          <w:p w14:paraId="3CFC59D8"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7678</w:t>
            </w:r>
          </w:p>
        </w:tc>
        <w:tc>
          <w:tcPr>
            <w:tcW w:w="1476" w:type="dxa"/>
            <w:vAlign w:val="center"/>
          </w:tcPr>
          <w:p w14:paraId="380F7A34"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182%</w:t>
            </w:r>
          </w:p>
        </w:tc>
        <w:tc>
          <w:tcPr>
            <w:tcW w:w="1076" w:type="dxa"/>
            <w:vAlign w:val="center"/>
          </w:tcPr>
          <w:p w14:paraId="44CFF95A"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-3456</w:t>
            </w:r>
          </w:p>
        </w:tc>
        <w:tc>
          <w:tcPr>
            <w:tcW w:w="1508" w:type="dxa"/>
            <w:vAlign w:val="center"/>
          </w:tcPr>
          <w:p w14:paraId="799DD113"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-82%</w:t>
            </w:r>
          </w:p>
        </w:tc>
        <w:tc>
          <w:tcPr>
            <w:tcW w:w="1284" w:type="dxa"/>
            <w:vAlign w:val="center"/>
          </w:tcPr>
          <w:p w14:paraId="366ACEDF"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4222</w:t>
            </w:r>
          </w:p>
        </w:tc>
        <w:tc>
          <w:tcPr>
            <w:tcW w:w="1460" w:type="dxa"/>
            <w:vAlign w:val="center"/>
          </w:tcPr>
          <w:p w14:paraId="3A8F1C5A"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70%</w:t>
            </w:r>
          </w:p>
        </w:tc>
      </w:tr>
      <w:tr w:rsidR="002959BC" w:rsidRPr="00E854C2" w14:paraId="4E432464" w14:textId="77777777" w:rsidTr="00270E6A">
        <w:tc>
          <w:tcPr>
            <w:tcW w:w="1552" w:type="dxa"/>
            <w:vAlign w:val="center"/>
          </w:tcPr>
          <w:p w14:paraId="5F29D9D9"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1992/1993</w:t>
            </w:r>
          </w:p>
        </w:tc>
        <w:tc>
          <w:tcPr>
            <w:tcW w:w="1107" w:type="dxa"/>
            <w:vAlign w:val="center"/>
          </w:tcPr>
          <w:p w14:paraId="639755E9"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8424</w:t>
            </w:r>
          </w:p>
        </w:tc>
        <w:tc>
          <w:tcPr>
            <w:tcW w:w="1476" w:type="dxa"/>
            <w:vAlign w:val="center"/>
          </w:tcPr>
          <w:p w14:paraId="3FC7C40E"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161%</w:t>
            </w:r>
          </w:p>
        </w:tc>
        <w:tc>
          <w:tcPr>
            <w:tcW w:w="1076" w:type="dxa"/>
            <w:vAlign w:val="center"/>
          </w:tcPr>
          <w:p w14:paraId="6DB922F4"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-3202</w:t>
            </w:r>
          </w:p>
        </w:tc>
        <w:tc>
          <w:tcPr>
            <w:tcW w:w="1508" w:type="dxa"/>
            <w:vAlign w:val="center"/>
          </w:tcPr>
          <w:p w14:paraId="727ECA9F"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-61%</w:t>
            </w:r>
          </w:p>
        </w:tc>
        <w:tc>
          <w:tcPr>
            <w:tcW w:w="1284" w:type="dxa"/>
            <w:vAlign w:val="center"/>
          </w:tcPr>
          <w:p w14:paraId="053029D4"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5222</w:t>
            </w:r>
          </w:p>
        </w:tc>
        <w:tc>
          <w:tcPr>
            <w:tcW w:w="1460" w:type="dxa"/>
            <w:vAlign w:val="center"/>
          </w:tcPr>
          <w:p w14:paraId="23C16B6E"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95%</w:t>
            </w:r>
          </w:p>
        </w:tc>
      </w:tr>
      <w:tr w:rsidR="002959BC" w:rsidRPr="00E854C2" w14:paraId="350AC1D2" w14:textId="77777777" w:rsidTr="00270E6A">
        <w:tc>
          <w:tcPr>
            <w:tcW w:w="1552" w:type="dxa"/>
            <w:vAlign w:val="center"/>
          </w:tcPr>
          <w:p w14:paraId="00D7EA79"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1993/1994</w:t>
            </w:r>
          </w:p>
        </w:tc>
        <w:tc>
          <w:tcPr>
            <w:tcW w:w="1107" w:type="dxa"/>
            <w:vAlign w:val="center"/>
          </w:tcPr>
          <w:p w14:paraId="764AC4C6"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3444</w:t>
            </w:r>
          </w:p>
        </w:tc>
        <w:tc>
          <w:tcPr>
            <w:tcW w:w="1476" w:type="dxa"/>
            <w:vAlign w:val="center"/>
          </w:tcPr>
          <w:p w14:paraId="2D6BCF33"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107%</w:t>
            </w:r>
          </w:p>
        </w:tc>
        <w:tc>
          <w:tcPr>
            <w:tcW w:w="1076" w:type="dxa"/>
            <w:vAlign w:val="center"/>
          </w:tcPr>
          <w:p w14:paraId="1BF8B2DE"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-211</w:t>
            </w:r>
          </w:p>
        </w:tc>
        <w:tc>
          <w:tcPr>
            <w:tcW w:w="1508" w:type="dxa"/>
            <w:vAlign w:val="center"/>
          </w:tcPr>
          <w:p w14:paraId="2EF2B23C"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-7%</w:t>
            </w:r>
          </w:p>
        </w:tc>
        <w:tc>
          <w:tcPr>
            <w:tcW w:w="1284" w:type="dxa"/>
            <w:vAlign w:val="center"/>
          </w:tcPr>
          <w:p w14:paraId="2FAC7B7E"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3233</w:t>
            </w:r>
          </w:p>
        </w:tc>
        <w:tc>
          <w:tcPr>
            <w:tcW w:w="1460" w:type="dxa"/>
            <w:vAlign w:val="center"/>
          </w:tcPr>
          <w:p w14:paraId="070A667F"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87%</w:t>
            </w:r>
          </w:p>
        </w:tc>
      </w:tr>
      <w:tr w:rsidR="002959BC" w:rsidRPr="00E854C2" w14:paraId="612DF02B" w14:textId="77777777" w:rsidTr="00270E6A">
        <w:tc>
          <w:tcPr>
            <w:tcW w:w="1552" w:type="dxa"/>
            <w:vAlign w:val="center"/>
          </w:tcPr>
          <w:p w14:paraId="78BA6B27"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1994/1995</w:t>
            </w:r>
          </w:p>
        </w:tc>
        <w:tc>
          <w:tcPr>
            <w:tcW w:w="1107" w:type="dxa"/>
            <w:vAlign w:val="center"/>
          </w:tcPr>
          <w:p w14:paraId="22ADBD84"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3932</w:t>
            </w:r>
          </w:p>
        </w:tc>
        <w:tc>
          <w:tcPr>
            <w:tcW w:w="1476" w:type="dxa"/>
            <w:vAlign w:val="center"/>
          </w:tcPr>
          <w:p w14:paraId="7E4C3EA6"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140%</w:t>
            </w:r>
          </w:p>
        </w:tc>
        <w:tc>
          <w:tcPr>
            <w:tcW w:w="1076" w:type="dxa"/>
            <w:vAlign w:val="center"/>
          </w:tcPr>
          <w:p w14:paraId="4E0C745E"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-1117</w:t>
            </w:r>
          </w:p>
        </w:tc>
        <w:tc>
          <w:tcPr>
            <w:tcW w:w="1508" w:type="dxa"/>
            <w:vAlign w:val="center"/>
          </w:tcPr>
          <w:p w14:paraId="4ED922F9"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-40%</w:t>
            </w:r>
          </w:p>
        </w:tc>
        <w:tc>
          <w:tcPr>
            <w:tcW w:w="1284" w:type="dxa"/>
            <w:vAlign w:val="center"/>
          </w:tcPr>
          <w:p w14:paraId="7B1F88B7"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2815</w:t>
            </w:r>
          </w:p>
        </w:tc>
        <w:tc>
          <w:tcPr>
            <w:tcW w:w="1460" w:type="dxa"/>
            <w:vAlign w:val="center"/>
          </w:tcPr>
          <w:p w14:paraId="03CCC1A8"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111%</w:t>
            </w:r>
          </w:p>
        </w:tc>
      </w:tr>
      <w:tr w:rsidR="002959BC" w:rsidRPr="00E854C2" w14:paraId="49771B2B" w14:textId="77777777" w:rsidTr="00270E6A">
        <w:tc>
          <w:tcPr>
            <w:tcW w:w="1552" w:type="dxa"/>
            <w:vAlign w:val="center"/>
          </w:tcPr>
          <w:p w14:paraId="3A638CEB"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1995/1996</w:t>
            </w:r>
          </w:p>
        </w:tc>
        <w:tc>
          <w:tcPr>
            <w:tcW w:w="1107" w:type="dxa"/>
            <w:vAlign w:val="center"/>
          </w:tcPr>
          <w:p w14:paraId="1821F169"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-229</w:t>
            </w:r>
          </w:p>
        </w:tc>
        <w:tc>
          <w:tcPr>
            <w:tcW w:w="1476" w:type="dxa"/>
            <w:vAlign w:val="center"/>
          </w:tcPr>
          <w:p w14:paraId="6936FB0B"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-5%</w:t>
            </w:r>
          </w:p>
        </w:tc>
        <w:tc>
          <w:tcPr>
            <w:tcW w:w="1076" w:type="dxa"/>
            <w:vAlign w:val="center"/>
          </w:tcPr>
          <w:p w14:paraId="7D49D425"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4565</w:t>
            </w:r>
          </w:p>
        </w:tc>
        <w:tc>
          <w:tcPr>
            <w:tcW w:w="1508" w:type="dxa"/>
            <w:vAlign w:val="center"/>
          </w:tcPr>
          <w:p w14:paraId="145C9903"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105%</w:t>
            </w:r>
          </w:p>
        </w:tc>
        <w:tc>
          <w:tcPr>
            <w:tcW w:w="1284" w:type="dxa"/>
            <w:vAlign w:val="center"/>
          </w:tcPr>
          <w:p w14:paraId="3F66CE73"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4336</w:t>
            </w:r>
          </w:p>
        </w:tc>
        <w:tc>
          <w:tcPr>
            <w:tcW w:w="1460" w:type="dxa"/>
            <w:vAlign w:val="center"/>
          </w:tcPr>
          <w:p w14:paraId="660ADAC1"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145%</w:t>
            </w:r>
          </w:p>
        </w:tc>
      </w:tr>
      <w:tr w:rsidR="002959BC" w:rsidRPr="00E854C2" w14:paraId="342126A8" w14:textId="77777777" w:rsidTr="00270E6A">
        <w:tc>
          <w:tcPr>
            <w:tcW w:w="1552" w:type="dxa"/>
            <w:vAlign w:val="center"/>
          </w:tcPr>
          <w:p w14:paraId="795A2087"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1996/1997</w:t>
            </w:r>
          </w:p>
        </w:tc>
        <w:tc>
          <w:tcPr>
            <w:tcW w:w="1107" w:type="dxa"/>
            <w:vAlign w:val="center"/>
          </w:tcPr>
          <w:p w14:paraId="119EC811"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501</w:t>
            </w:r>
          </w:p>
        </w:tc>
        <w:tc>
          <w:tcPr>
            <w:tcW w:w="1476" w:type="dxa"/>
            <w:vAlign w:val="center"/>
          </w:tcPr>
          <w:p w14:paraId="136DF2BE"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13%</w:t>
            </w:r>
          </w:p>
        </w:tc>
        <w:tc>
          <w:tcPr>
            <w:tcW w:w="1076" w:type="dxa"/>
            <w:vAlign w:val="center"/>
          </w:tcPr>
          <w:p w14:paraId="7C063032"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3402</w:t>
            </w:r>
          </w:p>
        </w:tc>
        <w:tc>
          <w:tcPr>
            <w:tcW w:w="1508" w:type="dxa"/>
            <w:vAlign w:val="center"/>
          </w:tcPr>
          <w:p w14:paraId="1473F1D1"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87%</w:t>
            </w:r>
          </w:p>
        </w:tc>
        <w:tc>
          <w:tcPr>
            <w:tcW w:w="1284" w:type="dxa"/>
            <w:vAlign w:val="center"/>
          </w:tcPr>
          <w:p w14:paraId="3F1097F2"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3903</w:t>
            </w:r>
          </w:p>
        </w:tc>
        <w:tc>
          <w:tcPr>
            <w:tcW w:w="1460" w:type="dxa"/>
            <w:vAlign w:val="center"/>
          </w:tcPr>
          <w:p w14:paraId="7AA20184"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168%</w:t>
            </w:r>
          </w:p>
        </w:tc>
      </w:tr>
      <w:tr w:rsidR="002959BC" w:rsidRPr="00E854C2" w14:paraId="3AE1696C" w14:textId="77777777" w:rsidTr="00270E6A">
        <w:tc>
          <w:tcPr>
            <w:tcW w:w="1552" w:type="dxa"/>
            <w:vAlign w:val="center"/>
          </w:tcPr>
          <w:p w14:paraId="76D4BEB0"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1997/1998</w:t>
            </w:r>
          </w:p>
        </w:tc>
        <w:tc>
          <w:tcPr>
            <w:tcW w:w="1107" w:type="dxa"/>
            <w:vAlign w:val="center"/>
          </w:tcPr>
          <w:p w14:paraId="5AA466F6"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2219</w:t>
            </w:r>
          </w:p>
        </w:tc>
        <w:tc>
          <w:tcPr>
            <w:tcW w:w="1476" w:type="dxa"/>
            <w:vAlign w:val="center"/>
          </w:tcPr>
          <w:p w14:paraId="700EE37A"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53%</w:t>
            </w:r>
          </w:p>
        </w:tc>
        <w:tc>
          <w:tcPr>
            <w:tcW w:w="1076" w:type="dxa"/>
            <w:vAlign w:val="center"/>
          </w:tcPr>
          <w:p w14:paraId="06399FAF"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1929</w:t>
            </w:r>
          </w:p>
        </w:tc>
        <w:tc>
          <w:tcPr>
            <w:tcW w:w="1508" w:type="dxa"/>
            <w:vAlign w:val="center"/>
          </w:tcPr>
          <w:p w14:paraId="6BAFA076"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47%</w:t>
            </w:r>
          </w:p>
        </w:tc>
        <w:tc>
          <w:tcPr>
            <w:tcW w:w="1284" w:type="dxa"/>
            <w:vAlign w:val="center"/>
          </w:tcPr>
          <w:p w14:paraId="4BABCF4B"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4148</w:t>
            </w:r>
          </w:p>
        </w:tc>
        <w:tc>
          <w:tcPr>
            <w:tcW w:w="1460" w:type="dxa"/>
            <w:vAlign w:val="center"/>
          </w:tcPr>
          <w:p w14:paraId="193C56FA"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147%</w:t>
            </w:r>
          </w:p>
        </w:tc>
      </w:tr>
      <w:tr w:rsidR="002959BC" w:rsidRPr="00E854C2" w14:paraId="09AAF331" w14:textId="77777777" w:rsidTr="00270E6A">
        <w:tc>
          <w:tcPr>
            <w:tcW w:w="1552" w:type="dxa"/>
            <w:vAlign w:val="center"/>
          </w:tcPr>
          <w:p w14:paraId="74961B57"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1998/1999</w:t>
            </w:r>
          </w:p>
        </w:tc>
        <w:tc>
          <w:tcPr>
            <w:tcW w:w="1107" w:type="dxa"/>
            <w:vAlign w:val="center"/>
          </w:tcPr>
          <w:p w14:paraId="3DA3C0E8"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1461</w:t>
            </w:r>
          </w:p>
        </w:tc>
        <w:tc>
          <w:tcPr>
            <w:tcW w:w="1476" w:type="dxa"/>
            <w:vAlign w:val="center"/>
          </w:tcPr>
          <w:p w14:paraId="4E2C5820"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14%</w:t>
            </w:r>
          </w:p>
        </w:tc>
        <w:tc>
          <w:tcPr>
            <w:tcW w:w="1076" w:type="dxa"/>
            <w:vAlign w:val="center"/>
          </w:tcPr>
          <w:p w14:paraId="163DA748"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8895</w:t>
            </w:r>
          </w:p>
        </w:tc>
        <w:tc>
          <w:tcPr>
            <w:tcW w:w="1508" w:type="dxa"/>
            <w:vAlign w:val="center"/>
          </w:tcPr>
          <w:p w14:paraId="56473EF6"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86%</w:t>
            </w:r>
          </w:p>
        </w:tc>
        <w:tc>
          <w:tcPr>
            <w:tcW w:w="1284" w:type="dxa"/>
            <w:vAlign w:val="center"/>
          </w:tcPr>
          <w:p w14:paraId="064739FD"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10356</w:t>
            </w:r>
          </w:p>
        </w:tc>
        <w:tc>
          <w:tcPr>
            <w:tcW w:w="1460" w:type="dxa"/>
            <w:vAlign w:val="center"/>
          </w:tcPr>
          <w:p w14:paraId="7588517C"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124%</w:t>
            </w:r>
          </w:p>
        </w:tc>
      </w:tr>
      <w:tr w:rsidR="002959BC" w:rsidRPr="00E854C2" w14:paraId="5AB8A0F8" w14:textId="77777777" w:rsidTr="00270E6A">
        <w:tc>
          <w:tcPr>
            <w:tcW w:w="1552" w:type="dxa"/>
            <w:vAlign w:val="center"/>
          </w:tcPr>
          <w:p w14:paraId="7E405D10"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1999/2000</w:t>
            </w:r>
          </w:p>
        </w:tc>
        <w:tc>
          <w:tcPr>
            <w:tcW w:w="1107" w:type="dxa"/>
            <w:vAlign w:val="center"/>
          </w:tcPr>
          <w:p w14:paraId="063F2CD9"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10857</w:t>
            </w:r>
          </w:p>
        </w:tc>
        <w:tc>
          <w:tcPr>
            <w:tcW w:w="1476" w:type="dxa"/>
            <w:vAlign w:val="center"/>
          </w:tcPr>
          <w:p w14:paraId="40A82207"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64%</w:t>
            </w:r>
          </w:p>
        </w:tc>
        <w:tc>
          <w:tcPr>
            <w:tcW w:w="1076" w:type="dxa"/>
            <w:vAlign w:val="center"/>
          </w:tcPr>
          <w:p w14:paraId="0D2E2BEE"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5978</w:t>
            </w:r>
          </w:p>
        </w:tc>
        <w:tc>
          <w:tcPr>
            <w:tcW w:w="1508" w:type="dxa"/>
            <w:vAlign w:val="center"/>
          </w:tcPr>
          <w:p w14:paraId="3F580494"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36%</w:t>
            </w:r>
          </w:p>
        </w:tc>
        <w:tc>
          <w:tcPr>
            <w:tcW w:w="1284" w:type="dxa"/>
            <w:vAlign w:val="center"/>
          </w:tcPr>
          <w:p w14:paraId="2EB487AB"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16835</w:t>
            </w:r>
          </w:p>
        </w:tc>
        <w:tc>
          <w:tcPr>
            <w:tcW w:w="1460" w:type="dxa"/>
            <w:vAlign w:val="center"/>
          </w:tcPr>
          <w:p w14:paraId="5EC58628"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110%</w:t>
            </w:r>
          </w:p>
        </w:tc>
      </w:tr>
      <w:tr w:rsidR="002959BC" w:rsidRPr="00E854C2" w14:paraId="2E511867" w14:textId="77777777" w:rsidTr="00270E6A">
        <w:tc>
          <w:tcPr>
            <w:tcW w:w="1552" w:type="dxa"/>
            <w:vAlign w:val="center"/>
          </w:tcPr>
          <w:p w14:paraId="78042E45"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2000/2001</w:t>
            </w:r>
          </w:p>
        </w:tc>
        <w:tc>
          <w:tcPr>
            <w:tcW w:w="1107" w:type="dxa"/>
            <w:vAlign w:val="center"/>
          </w:tcPr>
          <w:p w14:paraId="537007A6"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5437</w:t>
            </w:r>
          </w:p>
        </w:tc>
        <w:tc>
          <w:tcPr>
            <w:tcW w:w="1476" w:type="dxa"/>
            <w:vAlign w:val="center"/>
          </w:tcPr>
          <w:p w14:paraId="0BE24B71"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19%</w:t>
            </w:r>
          </w:p>
        </w:tc>
        <w:tc>
          <w:tcPr>
            <w:tcW w:w="1076" w:type="dxa"/>
            <w:vAlign w:val="center"/>
          </w:tcPr>
          <w:p w14:paraId="0374E341"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23724</w:t>
            </w:r>
          </w:p>
        </w:tc>
        <w:tc>
          <w:tcPr>
            <w:tcW w:w="1508" w:type="dxa"/>
            <w:vAlign w:val="center"/>
          </w:tcPr>
          <w:p w14:paraId="363EE6BE"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81%</w:t>
            </w:r>
          </w:p>
        </w:tc>
        <w:tc>
          <w:tcPr>
            <w:tcW w:w="1284" w:type="dxa"/>
            <w:vAlign w:val="center"/>
          </w:tcPr>
          <w:p w14:paraId="2626CE5B"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29161</w:t>
            </w:r>
          </w:p>
        </w:tc>
        <w:tc>
          <w:tcPr>
            <w:tcW w:w="1460" w:type="dxa"/>
            <w:vAlign w:val="center"/>
          </w:tcPr>
          <w:p w14:paraId="39C74FE7"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107%</w:t>
            </w:r>
          </w:p>
        </w:tc>
      </w:tr>
      <w:tr w:rsidR="002959BC" w:rsidRPr="00E854C2" w14:paraId="15B46BF8" w14:textId="77777777" w:rsidTr="00270E6A">
        <w:tc>
          <w:tcPr>
            <w:tcW w:w="1552" w:type="dxa"/>
            <w:vAlign w:val="center"/>
          </w:tcPr>
          <w:p w14:paraId="7821E5D5"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2001/2002</w:t>
            </w:r>
          </w:p>
        </w:tc>
        <w:tc>
          <w:tcPr>
            <w:tcW w:w="1107" w:type="dxa"/>
            <w:vAlign w:val="center"/>
          </w:tcPr>
          <w:p w14:paraId="477B01FB"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16308</w:t>
            </w:r>
          </w:p>
        </w:tc>
        <w:tc>
          <w:tcPr>
            <w:tcW w:w="1476" w:type="dxa"/>
            <w:vAlign w:val="center"/>
          </w:tcPr>
          <w:p w14:paraId="5507DFB6"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53%</w:t>
            </w:r>
          </w:p>
        </w:tc>
        <w:tc>
          <w:tcPr>
            <w:tcW w:w="1076" w:type="dxa"/>
            <w:vAlign w:val="center"/>
          </w:tcPr>
          <w:p w14:paraId="2A1E27AE"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14391</w:t>
            </w:r>
          </w:p>
        </w:tc>
        <w:tc>
          <w:tcPr>
            <w:tcW w:w="1508" w:type="dxa"/>
            <w:vAlign w:val="center"/>
          </w:tcPr>
          <w:p w14:paraId="61E4FA87"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47%</w:t>
            </w:r>
          </w:p>
        </w:tc>
        <w:tc>
          <w:tcPr>
            <w:tcW w:w="1284" w:type="dxa"/>
            <w:vAlign w:val="center"/>
          </w:tcPr>
          <w:p w14:paraId="286BEF5A"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30699</w:t>
            </w:r>
          </w:p>
        </w:tc>
        <w:tc>
          <w:tcPr>
            <w:tcW w:w="1460" w:type="dxa"/>
            <w:vAlign w:val="center"/>
          </w:tcPr>
          <w:p w14:paraId="4FCA0F29"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82%</w:t>
            </w:r>
          </w:p>
        </w:tc>
      </w:tr>
      <w:tr w:rsidR="002959BC" w:rsidRPr="00E854C2" w14:paraId="5588A498" w14:textId="77777777" w:rsidTr="00270E6A">
        <w:tc>
          <w:tcPr>
            <w:tcW w:w="1552" w:type="dxa"/>
            <w:vAlign w:val="center"/>
          </w:tcPr>
          <w:p w14:paraId="459EB4ED"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2002/2003</w:t>
            </w:r>
          </w:p>
        </w:tc>
        <w:tc>
          <w:tcPr>
            <w:tcW w:w="1107" w:type="dxa"/>
            <w:vAlign w:val="center"/>
          </w:tcPr>
          <w:p w14:paraId="748FCBE6"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16649</w:t>
            </w:r>
          </w:p>
        </w:tc>
        <w:tc>
          <w:tcPr>
            <w:tcW w:w="1476" w:type="dxa"/>
            <w:vAlign w:val="center"/>
          </w:tcPr>
          <w:p w14:paraId="4B8E34A9"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46%</w:t>
            </w:r>
          </w:p>
        </w:tc>
        <w:tc>
          <w:tcPr>
            <w:tcW w:w="1076" w:type="dxa"/>
            <w:vAlign w:val="center"/>
          </w:tcPr>
          <w:p w14:paraId="298705D9"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19293</w:t>
            </w:r>
          </w:p>
        </w:tc>
        <w:tc>
          <w:tcPr>
            <w:tcW w:w="1508" w:type="dxa"/>
            <w:vAlign w:val="center"/>
          </w:tcPr>
          <w:p w14:paraId="3BF81020"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54%</w:t>
            </w:r>
          </w:p>
        </w:tc>
        <w:tc>
          <w:tcPr>
            <w:tcW w:w="1284" w:type="dxa"/>
            <w:vAlign w:val="center"/>
          </w:tcPr>
          <w:p w14:paraId="368F819A"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35942</w:t>
            </w:r>
          </w:p>
        </w:tc>
        <w:tc>
          <w:tcPr>
            <w:tcW w:w="1460" w:type="dxa"/>
            <w:vAlign w:val="center"/>
          </w:tcPr>
          <w:p w14:paraId="3A6BD2F4"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87%</w:t>
            </w:r>
          </w:p>
        </w:tc>
      </w:tr>
      <w:tr w:rsidR="002959BC" w:rsidRPr="00E854C2" w14:paraId="5087039F" w14:textId="77777777" w:rsidTr="00270E6A">
        <w:tc>
          <w:tcPr>
            <w:tcW w:w="1552" w:type="dxa"/>
            <w:vAlign w:val="center"/>
          </w:tcPr>
          <w:p w14:paraId="761F3FC5"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2003/2004</w:t>
            </w:r>
          </w:p>
        </w:tc>
        <w:tc>
          <w:tcPr>
            <w:tcW w:w="1107" w:type="dxa"/>
            <w:vAlign w:val="center"/>
          </w:tcPr>
          <w:p w14:paraId="27DE5FA1"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24138</w:t>
            </w:r>
          </w:p>
        </w:tc>
        <w:tc>
          <w:tcPr>
            <w:tcW w:w="1476" w:type="dxa"/>
            <w:vAlign w:val="center"/>
          </w:tcPr>
          <w:p w14:paraId="19076F18"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53%</w:t>
            </w:r>
          </w:p>
        </w:tc>
        <w:tc>
          <w:tcPr>
            <w:tcW w:w="1076" w:type="dxa"/>
            <w:vAlign w:val="center"/>
          </w:tcPr>
          <w:p w14:paraId="4D3DA9C2"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21196</w:t>
            </w:r>
          </w:p>
        </w:tc>
        <w:tc>
          <w:tcPr>
            <w:tcW w:w="1508" w:type="dxa"/>
            <w:vAlign w:val="center"/>
          </w:tcPr>
          <w:p w14:paraId="51A6609A"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47%</w:t>
            </w:r>
          </w:p>
        </w:tc>
        <w:tc>
          <w:tcPr>
            <w:tcW w:w="1284" w:type="dxa"/>
            <w:vAlign w:val="center"/>
          </w:tcPr>
          <w:p w14:paraId="76D4C7B6"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45334</w:t>
            </w:r>
          </w:p>
        </w:tc>
        <w:tc>
          <w:tcPr>
            <w:tcW w:w="1460" w:type="dxa"/>
            <w:vAlign w:val="center"/>
          </w:tcPr>
          <w:p w14:paraId="5BFE942A"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99%</w:t>
            </w:r>
          </w:p>
        </w:tc>
      </w:tr>
      <w:tr w:rsidR="002959BC" w:rsidRPr="00E854C2" w14:paraId="28B73994" w14:textId="77777777" w:rsidTr="00270E6A">
        <w:tc>
          <w:tcPr>
            <w:tcW w:w="1552" w:type="dxa"/>
            <w:vAlign w:val="center"/>
          </w:tcPr>
          <w:p w14:paraId="66A2C7F8"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2004/2005</w:t>
            </w:r>
          </w:p>
        </w:tc>
        <w:tc>
          <w:tcPr>
            <w:tcW w:w="1107" w:type="dxa"/>
            <w:vAlign w:val="center"/>
          </w:tcPr>
          <w:p w14:paraId="0DDE73CD"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33750</w:t>
            </w:r>
          </w:p>
        </w:tc>
        <w:tc>
          <w:tcPr>
            <w:tcW w:w="1476" w:type="dxa"/>
            <w:vAlign w:val="center"/>
          </w:tcPr>
          <w:p w14:paraId="2A0D38DF"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53%</w:t>
            </w:r>
          </w:p>
        </w:tc>
        <w:tc>
          <w:tcPr>
            <w:tcW w:w="1076" w:type="dxa"/>
            <w:vAlign w:val="center"/>
          </w:tcPr>
          <w:p w14:paraId="584B7BBB"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29819</w:t>
            </w:r>
          </w:p>
        </w:tc>
        <w:tc>
          <w:tcPr>
            <w:tcW w:w="1508" w:type="dxa"/>
            <w:vAlign w:val="center"/>
          </w:tcPr>
          <w:p w14:paraId="62D6A207"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47%</w:t>
            </w:r>
          </w:p>
        </w:tc>
        <w:tc>
          <w:tcPr>
            <w:tcW w:w="1284" w:type="dxa"/>
            <w:vAlign w:val="center"/>
          </w:tcPr>
          <w:p w14:paraId="5F12D25D"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63569</w:t>
            </w:r>
          </w:p>
        </w:tc>
        <w:tc>
          <w:tcPr>
            <w:tcW w:w="1460" w:type="dxa"/>
            <w:vAlign w:val="center"/>
          </w:tcPr>
          <w:p w14:paraId="701D223C"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107%</w:t>
            </w:r>
          </w:p>
        </w:tc>
      </w:tr>
      <w:tr w:rsidR="002959BC" w:rsidRPr="00E854C2" w14:paraId="01F52ECD" w14:textId="77777777" w:rsidTr="00270E6A">
        <w:tc>
          <w:tcPr>
            <w:tcW w:w="1552" w:type="dxa"/>
            <w:vAlign w:val="center"/>
          </w:tcPr>
          <w:p w14:paraId="1828BE41"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2005/2006</w:t>
            </w:r>
          </w:p>
        </w:tc>
        <w:tc>
          <w:tcPr>
            <w:tcW w:w="1107" w:type="dxa"/>
            <w:vAlign w:val="center"/>
          </w:tcPr>
          <w:p w14:paraId="6E179522"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36750</w:t>
            </w:r>
          </w:p>
        </w:tc>
        <w:tc>
          <w:tcPr>
            <w:tcW w:w="1476" w:type="dxa"/>
            <w:vAlign w:val="center"/>
          </w:tcPr>
          <w:p w14:paraId="19C12B2C"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68%</w:t>
            </w:r>
          </w:p>
        </w:tc>
        <w:tc>
          <w:tcPr>
            <w:tcW w:w="1076" w:type="dxa"/>
            <w:vAlign w:val="center"/>
          </w:tcPr>
          <w:p w14:paraId="22A1E72A"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17631</w:t>
            </w:r>
          </w:p>
        </w:tc>
        <w:tc>
          <w:tcPr>
            <w:tcW w:w="1508" w:type="dxa"/>
            <w:vAlign w:val="center"/>
          </w:tcPr>
          <w:p w14:paraId="382E083B"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32%</w:t>
            </w:r>
          </w:p>
        </w:tc>
        <w:tc>
          <w:tcPr>
            <w:tcW w:w="1284" w:type="dxa"/>
            <w:vAlign w:val="center"/>
          </w:tcPr>
          <w:p w14:paraId="58FE8E55"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54381</w:t>
            </w:r>
          </w:p>
        </w:tc>
        <w:tc>
          <w:tcPr>
            <w:tcW w:w="1460" w:type="dxa"/>
            <w:vAlign w:val="center"/>
          </w:tcPr>
          <w:p w14:paraId="38A736FC"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94%</w:t>
            </w:r>
          </w:p>
        </w:tc>
      </w:tr>
      <w:tr w:rsidR="002959BC" w:rsidRPr="00E854C2" w14:paraId="79BD8951" w14:textId="77777777" w:rsidTr="00270E6A">
        <w:tc>
          <w:tcPr>
            <w:tcW w:w="1552" w:type="dxa"/>
            <w:vAlign w:val="center"/>
          </w:tcPr>
          <w:p w14:paraId="36112C5D"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2006/2007</w:t>
            </w:r>
          </w:p>
        </w:tc>
        <w:tc>
          <w:tcPr>
            <w:tcW w:w="1107" w:type="dxa"/>
            <w:vAlign w:val="center"/>
          </w:tcPr>
          <w:p w14:paraId="4BDFC6FA"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54212</w:t>
            </w:r>
          </w:p>
        </w:tc>
        <w:tc>
          <w:tcPr>
            <w:tcW w:w="1476" w:type="dxa"/>
            <w:vAlign w:val="center"/>
          </w:tcPr>
          <w:p w14:paraId="62E13178"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163%</w:t>
            </w:r>
          </w:p>
        </w:tc>
        <w:tc>
          <w:tcPr>
            <w:tcW w:w="1076" w:type="dxa"/>
            <w:vAlign w:val="center"/>
          </w:tcPr>
          <w:p w14:paraId="7433C1D3"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-20926</w:t>
            </w:r>
          </w:p>
        </w:tc>
        <w:tc>
          <w:tcPr>
            <w:tcW w:w="1508" w:type="dxa"/>
            <w:vAlign w:val="center"/>
          </w:tcPr>
          <w:p w14:paraId="009FB7D0"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-63%</w:t>
            </w:r>
          </w:p>
        </w:tc>
        <w:tc>
          <w:tcPr>
            <w:tcW w:w="1284" w:type="dxa"/>
            <w:vAlign w:val="center"/>
          </w:tcPr>
          <w:p w14:paraId="0A5B594B"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33286</w:t>
            </w:r>
          </w:p>
        </w:tc>
        <w:tc>
          <w:tcPr>
            <w:tcW w:w="1460" w:type="dxa"/>
            <w:vAlign w:val="center"/>
          </w:tcPr>
          <w:p w14:paraId="6D7D4499"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90%</w:t>
            </w:r>
          </w:p>
        </w:tc>
      </w:tr>
      <w:tr w:rsidR="002959BC" w:rsidRPr="00E854C2" w14:paraId="76478D49" w14:textId="77777777" w:rsidTr="00270E6A">
        <w:tc>
          <w:tcPr>
            <w:tcW w:w="1552" w:type="dxa"/>
            <w:vAlign w:val="center"/>
          </w:tcPr>
          <w:p w14:paraId="7749E807"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2007/2008</w:t>
            </w:r>
          </w:p>
        </w:tc>
        <w:tc>
          <w:tcPr>
            <w:tcW w:w="1107" w:type="dxa"/>
            <w:vAlign w:val="center"/>
          </w:tcPr>
          <w:p w14:paraId="69573B44"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3714</w:t>
            </w:r>
          </w:p>
        </w:tc>
        <w:tc>
          <w:tcPr>
            <w:tcW w:w="1476" w:type="dxa"/>
            <w:vAlign w:val="center"/>
          </w:tcPr>
          <w:p w14:paraId="5289A11A"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705%</w:t>
            </w:r>
          </w:p>
        </w:tc>
        <w:tc>
          <w:tcPr>
            <w:tcW w:w="1076" w:type="dxa"/>
            <w:vAlign w:val="center"/>
          </w:tcPr>
          <w:p w14:paraId="04F656E3"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-3187</w:t>
            </w:r>
          </w:p>
        </w:tc>
        <w:tc>
          <w:tcPr>
            <w:tcW w:w="1508" w:type="dxa"/>
            <w:vAlign w:val="center"/>
          </w:tcPr>
          <w:p w14:paraId="79700047"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-605%</w:t>
            </w:r>
          </w:p>
        </w:tc>
        <w:tc>
          <w:tcPr>
            <w:tcW w:w="1284" w:type="dxa"/>
            <w:vAlign w:val="center"/>
          </w:tcPr>
          <w:p w14:paraId="58C79E60"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527</w:t>
            </w:r>
          </w:p>
        </w:tc>
        <w:tc>
          <w:tcPr>
            <w:tcW w:w="1460" w:type="dxa"/>
            <w:vAlign w:val="center"/>
          </w:tcPr>
          <w:p w14:paraId="7D13A901"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4%</w:t>
            </w:r>
          </w:p>
        </w:tc>
      </w:tr>
      <w:tr w:rsidR="002959BC" w:rsidRPr="00E854C2" w14:paraId="04C1A1F8" w14:textId="77777777" w:rsidTr="00270E6A">
        <w:tc>
          <w:tcPr>
            <w:tcW w:w="1552" w:type="dxa"/>
            <w:vAlign w:val="center"/>
          </w:tcPr>
          <w:p w14:paraId="32042886"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2008/2009</w:t>
            </w:r>
          </w:p>
        </w:tc>
        <w:tc>
          <w:tcPr>
            <w:tcW w:w="1107" w:type="dxa"/>
            <w:vAlign w:val="center"/>
          </w:tcPr>
          <w:p w14:paraId="64937205"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-15191</w:t>
            </w:r>
          </w:p>
        </w:tc>
        <w:tc>
          <w:tcPr>
            <w:tcW w:w="1476" w:type="dxa"/>
            <w:vAlign w:val="center"/>
          </w:tcPr>
          <w:p w14:paraId="078A25C0"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-18%</w:t>
            </w:r>
          </w:p>
        </w:tc>
        <w:tc>
          <w:tcPr>
            <w:tcW w:w="1076" w:type="dxa"/>
            <w:vAlign w:val="center"/>
          </w:tcPr>
          <w:p w14:paraId="59D6FADC"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98818</w:t>
            </w:r>
          </w:p>
        </w:tc>
        <w:tc>
          <w:tcPr>
            <w:tcW w:w="1508" w:type="dxa"/>
            <w:vAlign w:val="center"/>
          </w:tcPr>
          <w:p w14:paraId="2762A809"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118%</w:t>
            </w:r>
          </w:p>
        </w:tc>
        <w:tc>
          <w:tcPr>
            <w:tcW w:w="1284" w:type="dxa"/>
            <w:vAlign w:val="center"/>
          </w:tcPr>
          <w:p w14:paraId="0ED51A25"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83627</w:t>
            </w:r>
          </w:p>
        </w:tc>
        <w:tc>
          <w:tcPr>
            <w:tcW w:w="1460" w:type="dxa"/>
            <w:vAlign w:val="center"/>
          </w:tcPr>
          <w:p w14:paraId="2058ABC0"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102%</w:t>
            </w:r>
          </w:p>
        </w:tc>
      </w:tr>
      <w:tr w:rsidR="002959BC" w:rsidRPr="00E854C2" w14:paraId="1593229F" w14:textId="77777777" w:rsidTr="00270E6A">
        <w:tc>
          <w:tcPr>
            <w:tcW w:w="1552" w:type="dxa"/>
            <w:vAlign w:val="center"/>
          </w:tcPr>
          <w:p w14:paraId="136F69EF"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2009/2010</w:t>
            </w:r>
          </w:p>
        </w:tc>
        <w:tc>
          <w:tcPr>
            <w:tcW w:w="1107" w:type="dxa"/>
            <w:vAlign w:val="center"/>
          </w:tcPr>
          <w:p w14:paraId="343FAA33"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61229</w:t>
            </w:r>
          </w:p>
        </w:tc>
        <w:tc>
          <w:tcPr>
            <w:tcW w:w="1476" w:type="dxa"/>
            <w:vAlign w:val="center"/>
          </w:tcPr>
          <w:p w14:paraId="09713F19"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60%</w:t>
            </w:r>
          </w:p>
        </w:tc>
        <w:tc>
          <w:tcPr>
            <w:tcW w:w="1076" w:type="dxa"/>
            <w:vAlign w:val="center"/>
          </w:tcPr>
          <w:p w14:paraId="588E4A05"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40263</w:t>
            </w:r>
          </w:p>
        </w:tc>
        <w:tc>
          <w:tcPr>
            <w:tcW w:w="1508" w:type="dxa"/>
            <w:vAlign w:val="center"/>
          </w:tcPr>
          <w:p w14:paraId="65BA7489"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40%</w:t>
            </w:r>
          </w:p>
        </w:tc>
        <w:tc>
          <w:tcPr>
            <w:tcW w:w="1284" w:type="dxa"/>
            <w:vAlign w:val="center"/>
          </w:tcPr>
          <w:p w14:paraId="3D1599FD"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101492</w:t>
            </w:r>
          </w:p>
        </w:tc>
        <w:tc>
          <w:tcPr>
            <w:tcW w:w="1460" w:type="dxa"/>
            <w:vAlign w:val="center"/>
          </w:tcPr>
          <w:p w14:paraId="00C1602C"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98%</w:t>
            </w:r>
          </w:p>
        </w:tc>
      </w:tr>
      <w:tr w:rsidR="002959BC" w:rsidRPr="00E854C2" w14:paraId="489FF699" w14:textId="77777777" w:rsidTr="00270E6A">
        <w:tc>
          <w:tcPr>
            <w:tcW w:w="1552" w:type="dxa"/>
            <w:vAlign w:val="center"/>
          </w:tcPr>
          <w:p w14:paraId="48A3EECD"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2010/2011</w:t>
            </w:r>
          </w:p>
        </w:tc>
        <w:tc>
          <w:tcPr>
            <w:tcW w:w="1107" w:type="dxa"/>
            <w:vAlign w:val="center"/>
          </w:tcPr>
          <w:p w14:paraId="540D06ED"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34712</w:t>
            </w:r>
          </w:p>
        </w:tc>
        <w:tc>
          <w:tcPr>
            <w:tcW w:w="1476" w:type="dxa"/>
            <w:vAlign w:val="center"/>
          </w:tcPr>
          <w:p w14:paraId="12CF892B"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24%</w:t>
            </w:r>
          </w:p>
        </w:tc>
        <w:tc>
          <w:tcPr>
            <w:tcW w:w="1076" w:type="dxa"/>
            <w:vAlign w:val="center"/>
          </w:tcPr>
          <w:p w14:paraId="3ECDECA5"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109583</w:t>
            </w:r>
          </w:p>
        </w:tc>
        <w:tc>
          <w:tcPr>
            <w:tcW w:w="1508" w:type="dxa"/>
            <w:vAlign w:val="center"/>
          </w:tcPr>
          <w:p w14:paraId="7CFC4E5A"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76%</w:t>
            </w:r>
          </w:p>
        </w:tc>
        <w:tc>
          <w:tcPr>
            <w:tcW w:w="1284" w:type="dxa"/>
            <w:vAlign w:val="center"/>
          </w:tcPr>
          <w:p w14:paraId="7656DFC8"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144295</w:t>
            </w:r>
          </w:p>
        </w:tc>
        <w:tc>
          <w:tcPr>
            <w:tcW w:w="1460" w:type="dxa"/>
            <w:vAlign w:val="center"/>
          </w:tcPr>
          <w:p w14:paraId="7DD3FD0E"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97%</w:t>
            </w:r>
          </w:p>
        </w:tc>
      </w:tr>
      <w:tr w:rsidR="002959BC" w:rsidRPr="00E854C2" w14:paraId="576920CB" w14:textId="77777777" w:rsidTr="00270E6A">
        <w:tc>
          <w:tcPr>
            <w:tcW w:w="1552" w:type="dxa"/>
            <w:vAlign w:val="center"/>
          </w:tcPr>
          <w:p w14:paraId="3BC436CE"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2011/2012</w:t>
            </w:r>
          </w:p>
        </w:tc>
        <w:tc>
          <w:tcPr>
            <w:tcW w:w="1107" w:type="dxa"/>
            <w:vAlign w:val="center"/>
          </w:tcPr>
          <w:p w14:paraId="717753E6"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35844</w:t>
            </w:r>
          </w:p>
        </w:tc>
        <w:tc>
          <w:tcPr>
            <w:tcW w:w="1476" w:type="dxa"/>
            <w:vAlign w:val="center"/>
          </w:tcPr>
          <w:p w14:paraId="09DAA14F"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20%</w:t>
            </w:r>
          </w:p>
        </w:tc>
        <w:tc>
          <w:tcPr>
            <w:tcW w:w="1076" w:type="dxa"/>
            <w:vAlign w:val="center"/>
          </w:tcPr>
          <w:p w14:paraId="236B05D4"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146374</w:t>
            </w:r>
          </w:p>
        </w:tc>
        <w:tc>
          <w:tcPr>
            <w:tcW w:w="1508" w:type="dxa"/>
            <w:vAlign w:val="center"/>
          </w:tcPr>
          <w:p w14:paraId="5BCB5D59"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80%</w:t>
            </w:r>
          </w:p>
        </w:tc>
        <w:tc>
          <w:tcPr>
            <w:tcW w:w="1284" w:type="dxa"/>
            <w:vAlign w:val="center"/>
          </w:tcPr>
          <w:p w14:paraId="23C8F62D"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182218</w:t>
            </w:r>
          </w:p>
        </w:tc>
        <w:tc>
          <w:tcPr>
            <w:tcW w:w="1460" w:type="dxa"/>
            <w:vAlign w:val="center"/>
          </w:tcPr>
          <w:p w14:paraId="6F98E3D4"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105%</w:t>
            </w:r>
          </w:p>
        </w:tc>
      </w:tr>
      <w:tr w:rsidR="002959BC" w:rsidRPr="00E854C2" w14:paraId="5FC006A2" w14:textId="77777777" w:rsidTr="00270E6A">
        <w:tc>
          <w:tcPr>
            <w:tcW w:w="1552" w:type="dxa"/>
            <w:vAlign w:val="center"/>
          </w:tcPr>
          <w:p w14:paraId="771BF16C"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2012/2013</w:t>
            </w:r>
          </w:p>
        </w:tc>
        <w:tc>
          <w:tcPr>
            <w:tcW w:w="1107" w:type="dxa"/>
            <w:vAlign w:val="center"/>
          </w:tcPr>
          <w:p w14:paraId="0609A8BC"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49286</w:t>
            </w:r>
          </w:p>
        </w:tc>
        <w:tc>
          <w:tcPr>
            <w:tcW w:w="1476" w:type="dxa"/>
            <w:vAlign w:val="center"/>
          </w:tcPr>
          <w:p w14:paraId="3B9AE85F"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18%</w:t>
            </w:r>
          </w:p>
        </w:tc>
        <w:tc>
          <w:tcPr>
            <w:tcW w:w="1076" w:type="dxa"/>
            <w:vAlign w:val="center"/>
          </w:tcPr>
          <w:p w14:paraId="40D16791"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221338</w:t>
            </w:r>
          </w:p>
        </w:tc>
        <w:tc>
          <w:tcPr>
            <w:tcW w:w="1508" w:type="dxa"/>
            <w:vAlign w:val="center"/>
          </w:tcPr>
          <w:p w14:paraId="3C7F0476"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82%</w:t>
            </w:r>
          </w:p>
        </w:tc>
        <w:tc>
          <w:tcPr>
            <w:tcW w:w="1284" w:type="dxa"/>
            <w:vAlign w:val="center"/>
          </w:tcPr>
          <w:p w14:paraId="6FDAF416"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270624</w:t>
            </w:r>
          </w:p>
        </w:tc>
        <w:tc>
          <w:tcPr>
            <w:tcW w:w="1460" w:type="dxa"/>
            <w:vAlign w:val="center"/>
          </w:tcPr>
          <w:p w14:paraId="3DD2EC4C"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93%</w:t>
            </w:r>
          </w:p>
        </w:tc>
      </w:tr>
      <w:tr w:rsidR="002959BC" w:rsidRPr="00E854C2" w14:paraId="09651160" w14:textId="77777777" w:rsidTr="00270E6A">
        <w:tc>
          <w:tcPr>
            <w:tcW w:w="1552" w:type="dxa"/>
            <w:vAlign w:val="center"/>
          </w:tcPr>
          <w:p w14:paraId="64CB6BB0"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2013/2014</w:t>
            </w:r>
          </w:p>
        </w:tc>
        <w:tc>
          <w:tcPr>
            <w:tcW w:w="1107" w:type="dxa"/>
            <w:vAlign w:val="center"/>
          </w:tcPr>
          <w:p w14:paraId="6AEF1BEC"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32957</w:t>
            </w:r>
          </w:p>
        </w:tc>
        <w:tc>
          <w:tcPr>
            <w:tcW w:w="1476" w:type="dxa"/>
            <w:vAlign w:val="center"/>
          </w:tcPr>
          <w:p w14:paraId="720F1688"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12%</w:t>
            </w:r>
          </w:p>
        </w:tc>
        <w:tc>
          <w:tcPr>
            <w:tcW w:w="1076" w:type="dxa"/>
            <w:vAlign w:val="center"/>
          </w:tcPr>
          <w:p w14:paraId="47E04B87"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244363</w:t>
            </w:r>
          </w:p>
        </w:tc>
        <w:tc>
          <w:tcPr>
            <w:tcW w:w="1508" w:type="dxa"/>
            <w:vAlign w:val="center"/>
          </w:tcPr>
          <w:p w14:paraId="02BE5815"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88%</w:t>
            </w:r>
          </w:p>
        </w:tc>
        <w:tc>
          <w:tcPr>
            <w:tcW w:w="1284" w:type="dxa"/>
            <w:vAlign w:val="center"/>
          </w:tcPr>
          <w:p w14:paraId="5B45CF88"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277320</w:t>
            </w:r>
          </w:p>
        </w:tc>
        <w:tc>
          <w:tcPr>
            <w:tcW w:w="1460" w:type="dxa"/>
            <w:vAlign w:val="center"/>
          </w:tcPr>
          <w:p w14:paraId="20376D33"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99%</w:t>
            </w:r>
          </w:p>
        </w:tc>
      </w:tr>
      <w:tr w:rsidR="002959BC" w:rsidRPr="00E854C2" w14:paraId="06FED697" w14:textId="77777777" w:rsidTr="00270E6A">
        <w:tc>
          <w:tcPr>
            <w:tcW w:w="1552" w:type="dxa"/>
            <w:vAlign w:val="center"/>
          </w:tcPr>
          <w:p w14:paraId="05584D2C"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2014/2015</w:t>
            </w:r>
          </w:p>
        </w:tc>
        <w:tc>
          <w:tcPr>
            <w:tcW w:w="1107" w:type="dxa"/>
            <w:vAlign w:val="center"/>
          </w:tcPr>
          <w:p w14:paraId="2795346D"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79274</w:t>
            </w:r>
          </w:p>
        </w:tc>
        <w:tc>
          <w:tcPr>
            <w:tcW w:w="1476" w:type="dxa"/>
            <w:vAlign w:val="center"/>
          </w:tcPr>
          <w:p w14:paraId="22091038"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24%</w:t>
            </w:r>
          </w:p>
        </w:tc>
        <w:tc>
          <w:tcPr>
            <w:tcW w:w="1076" w:type="dxa"/>
            <w:vAlign w:val="center"/>
          </w:tcPr>
          <w:p w14:paraId="50BFE6EB"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248454</w:t>
            </w:r>
          </w:p>
        </w:tc>
        <w:tc>
          <w:tcPr>
            <w:tcW w:w="1508" w:type="dxa"/>
            <w:vAlign w:val="center"/>
          </w:tcPr>
          <w:p w14:paraId="6D0AB683"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76%</w:t>
            </w:r>
          </w:p>
        </w:tc>
        <w:tc>
          <w:tcPr>
            <w:tcW w:w="1284" w:type="dxa"/>
            <w:vAlign w:val="center"/>
          </w:tcPr>
          <w:p w14:paraId="4F08A411"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327728</w:t>
            </w:r>
          </w:p>
        </w:tc>
        <w:tc>
          <w:tcPr>
            <w:tcW w:w="1460" w:type="dxa"/>
            <w:vAlign w:val="center"/>
          </w:tcPr>
          <w:p w14:paraId="198B1059"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108%</w:t>
            </w:r>
          </w:p>
        </w:tc>
      </w:tr>
      <w:tr w:rsidR="002959BC" w:rsidRPr="00E854C2" w14:paraId="17DD4324" w14:textId="77777777" w:rsidTr="00270E6A">
        <w:tc>
          <w:tcPr>
            <w:tcW w:w="1552" w:type="dxa"/>
            <w:vAlign w:val="center"/>
          </w:tcPr>
          <w:p w14:paraId="797B116E" w14:textId="77777777" w:rsidR="002959BC" w:rsidRPr="00E854C2" w:rsidRDefault="002959BC" w:rsidP="00131C6C">
            <w:pPr>
              <w:spacing w:line="192" w:lineRule="auto"/>
              <w:jc w:val="center"/>
              <w:rPr>
                <w:rFonts w:ascii="Simplified Arabic" w:hAnsi="Simplified Arabic" w:cs="Simplified Arabic"/>
                <w:sz w:val="26"/>
                <w:szCs w:val="26"/>
                <w:rtl/>
              </w:rPr>
            </w:pPr>
            <w:r w:rsidRPr="00E854C2">
              <w:rPr>
                <w:rFonts w:ascii="Simplified Arabic" w:hAnsi="Simplified Arabic" w:cs="Simplified Arabic"/>
                <w:sz w:val="26"/>
                <w:szCs w:val="26"/>
                <w:rtl/>
              </w:rPr>
              <w:t>2015/2016</w:t>
            </w:r>
          </w:p>
        </w:tc>
        <w:tc>
          <w:tcPr>
            <w:tcW w:w="1107" w:type="dxa"/>
            <w:vAlign w:val="center"/>
          </w:tcPr>
          <w:p w14:paraId="01589A1B" w14:textId="77777777" w:rsidR="002959BC" w:rsidRPr="00E854C2" w:rsidRDefault="002959BC" w:rsidP="00131C6C">
            <w:pPr>
              <w:spacing w:line="192" w:lineRule="auto"/>
              <w:jc w:val="center"/>
              <w:rPr>
                <w:rFonts w:ascii="Simplified Arabic" w:hAnsi="Simplified Arabic" w:cs="Simplified Arabic"/>
                <w:color w:val="FF0000"/>
                <w:sz w:val="26"/>
                <w:szCs w:val="26"/>
              </w:rPr>
            </w:pPr>
            <w:r w:rsidRPr="00E854C2">
              <w:rPr>
                <w:rFonts w:ascii="Simplified Arabic" w:hAnsi="Simplified Arabic" w:cs="Simplified Arabic"/>
                <w:color w:val="FF0000"/>
                <w:sz w:val="26"/>
                <w:szCs w:val="26"/>
                <w:rtl/>
              </w:rPr>
              <w:t xml:space="preserve">ــــ </w:t>
            </w:r>
            <w:r w:rsidRPr="00E854C2">
              <w:rPr>
                <w:rFonts w:ascii="Simplified Arabic" w:hAnsi="Simplified Arabic" w:cs="Simplified Arabic"/>
                <w:sz w:val="26"/>
                <w:szCs w:val="26"/>
                <w:vertAlign w:val="superscript"/>
                <w:rtl/>
                <w:lang w:bidi="ar-EG"/>
              </w:rPr>
              <w:t>(</w:t>
            </w:r>
            <w:r w:rsidRPr="00E854C2">
              <w:rPr>
                <w:rFonts w:ascii="Simplified Arabic" w:hAnsi="Simplified Arabic" w:cs="Simplified Arabic"/>
                <w:sz w:val="26"/>
                <w:szCs w:val="26"/>
                <w:vertAlign w:val="superscript"/>
                <w:rtl/>
                <w:lang w:bidi="ar-EG"/>
              </w:rPr>
              <w:footnoteReference w:id="125"/>
            </w:r>
            <w:r w:rsidRPr="00E854C2">
              <w:rPr>
                <w:rFonts w:ascii="Simplified Arabic" w:hAnsi="Simplified Arabic" w:cs="Simplified Arabic"/>
                <w:sz w:val="26"/>
                <w:szCs w:val="26"/>
                <w:vertAlign w:val="superscript"/>
                <w:rtl/>
                <w:lang w:bidi="ar-EG"/>
              </w:rPr>
              <w:t>)</w:t>
            </w:r>
          </w:p>
        </w:tc>
        <w:tc>
          <w:tcPr>
            <w:tcW w:w="1476" w:type="dxa"/>
            <w:vAlign w:val="center"/>
          </w:tcPr>
          <w:p w14:paraId="3F1CBC13" w14:textId="77777777" w:rsidR="002959BC" w:rsidRPr="00E854C2" w:rsidRDefault="002959BC" w:rsidP="00131C6C">
            <w:pPr>
              <w:spacing w:line="192" w:lineRule="auto"/>
              <w:jc w:val="center"/>
              <w:rPr>
                <w:rFonts w:ascii="Simplified Arabic" w:hAnsi="Simplified Arabic" w:cs="Simplified Arabic"/>
                <w:color w:val="FF0000"/>
                <w:sz w:val="26"/>
                <w:szCs w:val="26"/>
              </w:rPr>
            </w:pPr>
            <w:r w:rsidRPr="00E854C2">
              <w:rPr>
                <w:rFonts w:ascii="Simplified Arabic" w:hAnsi="Simplified Arabic" w:cs="Simplified Arabic"/>
                <w:color w:val="FF0000"/>
                <w:sz w:val="26"/>
                <w:szCs w:val="26"/>
                <w:rtl/>
              </w:rPr>
              <w:t>ــــ</w:t>
            </w:r>
          </w:p>
        </w:tc>
        <w:tc>
          <w:tcPr>
            <w:tcW w:w="1076" w:type="dxa"/>
            <w:vAlign w:val="center"/>
          </w:tcPr>
          <w:p w14:paraId="4C67FC92" w14:textId="77777777" w:rsidR="002959BC" w:rsidRPr="00E854C2" w:rsidRDefault="002959BC" w:rsidP="00131C6C">
            <w:pPr>
              <w:spacing w:line="192" w:lineRule="auto"/>
              <w:jc w:val="center"/>
              <w:rPr>
                <w:rFonts w:ascii="Simplified Arabic" w:hAnsi="Simplified Arabic" w:cs="Simplified Arabic"/>
                <w:color w:val="FF0000"/>
                <w:sz w:val="26"/>
                <w:szCs w:val="26"/>
              </w:rPr>
            </w:pPr>
            <w:r w:rsidRPr="00E854C2">
              <w:rPr>
                <w:rFonts w:ascii="Simplified Arabic" w:hAnsi="Simplified Arabic" w:cs="Simplified Arabic"/>
                <w:color w:val="FF0000"/>
                <w:sz w:val="26"/>
                <w:szCs w:val="26"/>
                <w:rtl/>
              </w:rPr>
              <w:t>ــــ</w:t>
            </w:r>
          </w:p>
        </w:tc>
        <w:tc>
          <w:tcPr>
            <w:tcW w:w="1508" w:type="dxa"/>
            <w:vAlign w:val="center"/>
          </w:tcPr>
          <w:p w14:paraId="4C513FE9" w14:textId="77777777" w:rsidR="002959BC" w:rsidRPr="00E854C2" w:rsidRDefault="002959BC" w:rsidP="00131C6C">
            <w:pPr>
              <w:spacing w:line="192" w:lineRule="auto"/>
              <w:jc w:val="center"/>
              <w:rPr>
                <w:rFonts w:ascii="Simplified Arabic" w:hAnsi="Simplified Arabic" w:cs="Simplified Arabic"/>
                <w:color w:val="FF0000"/>
                <w:sz w:val="26"/>
                <w:szCs w:val="26"/>
              </w:rPr>
            </w:pPr>
            <w:r w:rsidRPr="00E854C2">
              <w:rPr>
                <w:rFonts w:ascii="Simplified Arabic" w:hAnsi="Simplified Arabic" w:cs="Simplified Arabic"/>
                <w:color w:val="FF0000"/>
                <w:sz w:val="26"/>
                <w:szCs w:val="26"/>
                <w:rtl/>
              </w:rPr>
              <w:t>ــــ</w:t>
            </w:r>
          </w:p>
        </w:tc>
        <w:tc>
          <w:tcPr>
            <w:tcW w:w="1284" w:type="dxa"/>
            <w:vAlign w:val="center"/>
          </w:tcPr>
          <w:p w14:paraId="640DA370" w14:textId="77777777" w:rsidR="002959BC" w:rsidRPr="00E854C2" w:rsidRDefault="002959BC" w:rsidP="00131C6C">
            <w:pPr>
              <w:spacing w:line="192" w:lineRule="auto"/>
              <w:jc w:val="center"/>
              <w:rPr>
                <w:rFonts w:ascii="Simplified Arabic" w:hAnsi="Simplified Arabic" w:cs="Simplified Arabic"/>
                <w:color w:val="FF0000"/>
                <w:sz w:val="26"/>
                <w:szCs w:val="26"/>
              </w:rPr>
            </w:pPr>
            <w:r w:rsidRPr="00E854C2">
              <w:rPr>
                <w:rFonts w:ascii="Simplified Arabic" w:hAnsi="Simplified Arabic" w:cs="Simplified Arabic"/>
                <w:color w:val="FF0000"/>
                <w:sz w:val="26"/>
                <w:szCs w:val="26"/>
                <w:rtl/>
              </w:rPr>
              <w:t>ــــ</w:t>
            </w:r>
          </w:p>
        </w:tc>
        <w:tc>
          <w:tcPr>
            <w:tcW w:w="1460" w:type="dxa"/>
            <w:vAlign w:val="center"/>
          </w:tcPr>
          <w:p w14:paraId="7A43D8B3" w14:textId="77777777" w:rsidR="002959BC" w:rsidRPr="00E854C2" w:rsidRDefault="002959BC" w:rsidP="00131C6C">
            <w:pPr>
              <w:spacing w:line="192" w:lineRule="auto"/>
              <w:jc w:val="center"/>
              <w:rPr>
                <w:rFonts w:ascii="Simplified Arabic" w:hAnsi="Simplified Arabic" w:cs="Simplified Arabic"/>
                <w:color w:val="FF0000"/>
                <w:sz w:val="26"/>
                <w:szCs w:val="26"/>
              </w:rPr>
            </w:pPr>
            <w:r w:rsidRPr="00E854C2">
              <w:rPr>
                <w:rFonts w:ascii="Simplified Arabic" w:hAnsi="Simplified Arabic" w:cs="Simplified Arabic"/>
                <w:color w:val="FF0000"/>
                <w:sz w:val="26"/>
                <w:szCs w:val="26"/>
                <w:rtl/>
              </w:rPr>
              <w:t>ــــ</w:t>
            </w:r>
          </w:p>
        </w:tc>
      </w:tr>
      <w:tr w:rsidR="002959BC" w:rsidRPr="00E854C2" w14:paraId="78129749" w14:textId="77777777" w:rsidTr="00270E6A">
        <w:tc>
          <w:tcPr>
            <w:tcW w:w="1552" w:type="dxa"/>
            <w:vAlign w:val="center"/>
          </w:tcPr>
          <w:p w14:paraId="1E657626"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2016/2017</w:t>
            </w:r>
          </w:p>
        </w:tc>
        <w:tc>
          <w:tcPr>
            <w:tcW w:w="1107" w:type="dxa"/>
            <w:vAlign w:val="center"/>
          </w:tcPr>
          <w:p w14:paraId="357260E1"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192736</w:t>
            </w:r>
          </w:p>
        </w:tc>
        <w:tc>
          <w:tcPr>
            <w:tcW w:w="1476" w:type="dxa"/>
            <w:vAlign w:val="center"/>
          </w:tcPr>
          <w:p w14:paraId="7FFB5FBE"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48%</w:t>
            </w:r>
          </w:p>
        </w:tc>
        <w:tc>
          <w:tcPr>
            <w:tcW w:w="1076" w:type="dxa"/>
            <w:vAlign w:val="center"/>
          </w:tcPr>
          <w:p w14:paraId="6994EB37"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206048</w:t>
            </w:r>
          </w:p>
        </w:tc>
        <w:tc>
          <w:tcPr>
            <w:tcW w:w="1508" w:type="dxa"/>
            <w:vAlign w:val="center"/>
          </w:tcPr>
          <w:p w14:paraId="11108C1A"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52%</w:t>
            </w:r>
          </w:p>
        </w:tc>
        <w:tc>
          <w:tcPr>
            <w:tcW w:w="1284" w:type="dxa"/>
            <w:vAlign w:val="center"/>
          </w:tcPr>
          <w:p w14:paraId="42DB833C"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398784</w:t>
            </w:r>
          </w:p>
        </w:tc>
        <w:tc>
          <w:tcPr>
            <w:tcW w:w="1460" w:type="dxa"/>
            <w:vAlign w:val="center"/>
          </w:tcPr>
          <w:p w14:paraId="7A465AB4"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68%</w:t>
            </w:r>
          </w:p>
        </w:tc>
      </w:tr>
      <w:tr w:rsidR="002959BC" w:rsidRPr="00E854C2" w14:paraId="3B8CAEDE" w14:textId="77777777" w:rsidTr="00270E6A">
        <w:tc>
          <w:tcPr>
            <w:tcW w:w="1552" w:type="dxa"/>
            <w:vAlign w:val="center"/>
          </w:tcPr>
          <w:p w14:paraId="7C42BAEF"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2017/2018</w:t>
            </w:r>
          </w:p>
        </w:tc>
        <w:tc>
          <w:tcPr>
            <w:tcW w:w="1107" w:type="dxa"/>
            <w:vAlign w:val="center"/>
          </w:tcPr>
          <w:p w14:paraId="270A66ED"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253583</w:t>
            </w:r>
          </w:p>
        </w:tc>
        <w:tc>
          <w:tcPr>
            <w:tcW w:w="1476" w:type="dxa"/>
            <w:vAlign w:val="center"/>
          </w:tcPr>
          <w:p w14:paraId="551B4E90"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59%</w:t>
            </w:r>
          </w:p>
        </w:tc>
        <w:tc>
          <w:tcPr>
            <w:tcW w:w="1076" w:type="dxa"/>
            <w:vAlign w:val="center"/>
          </w:tcPr>
          <w:p w14:paraId="13A1DA8F"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176201</w:t>
            </w:r>
          </w:p>
        </w:tc>
        <w:tc>
          <w:tcPr>
            <w:tcW w:w="1508" w:type="dxa"/>
            <w:vAlign w:val="center"/>
          </w:tcPr>
          <w:p w14:paraId="434A572C"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41%</w:t>
            </w:r>
          </w:p>
        </w:tc>
        <w:tc>
          <w:tcPr>
            <w:tcW w:w="1284" w:type="dxa"/>
            <w:vAlign w:val="center"/>
          </w:tcPr>
          <w:p w14:paraId="15FF07CE"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429784</w:t>
            </w:r>
          </w:p>
        </w:tc>
        <w:tc>
          <w:tcPr>
            <w:tcW w:w="1460" w:type="dxa"/>
            <w:vAlign w:val="center"/>
          </w:tcPr>
          <w:p w14:paraId="73DB34FC"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65%</w:t>
            </w:r>
          </w:p>
        </w:tc>
      </w:tr>
      <w:tr w:rsidR="002959BC" w:rsidRPr="00E854C2" w14:paraId="4168A48E" w14:textId="77777777" w:rsidTr="00270E6A">
        <w:tc>
          <w:tcPr>
            <w:tcW w:w="1552" w:type="dxa"/>
            <w:vAlign w:val="center"/>
          </w:tcPr>
          <w:p w14:paraId="1F1D564A"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2018/2019</w:t>
            </w:r>
          </w:p>
        </w:tc>
        <w:tc>
          <w:tcPr>
            <w:tcW w:w="1107" w:type="dxa"/>
            <w:vAlign w:val="center"/>
          </w:tcPr>
          <w:p w14:paraId="43840DFA"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264517</w:t>
            </w:r>
          </w:p>
        </w:tc>
        <w:tc>
          <w:tcPr>
            <w:tcW w:w="1476" w:type="dxa"/>
            <w:vAlign w:val="center"/>
          </w:tcPr>
          <w:p w14:paraId="3C191965"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57%</w:t>
            </w:r>
          </w:p>
        </w:tc>
        <w:tc>
          <w:tcPr>
            <w:tcW w:w="1076" w:type="dxa"/>
            <w:vAlign w:val="center"/>
          </w:tcPr>
          <w:p w14:paraId="29F00EE9"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203432</w:t>
            </w:r>
          </w:p>
        </w:tc>
        <w:tc>
          <w:tcPr>
            <w:tcW w:w="1508" w:type="dxa"/>
            <w:vAlign w:val="center"/>
          </w:tcPr>
          <w:p w14:paraId="7978C49A"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43%</w:t>
            </w:r>
          </w:p>
        </w:tc>
        <w:tc>
          <w:tcPr>
            <w:tcW w:w="1284" w:type="dxa"/>
            <w:vAlign w:val="center"/>
          </w:tcPr>
          <w:p w14:paraId="291B3E7C"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467949</w:t>
            </w:r>
          </w:p>
        </w:tc>
        <w:tc>
          <w:tcPr>
            <w:tcW w:w="1460" w:type="dxa"/>
            <w:vAlign w:val="center"/>
          </w:tcPr>
          <w:p w14:paraId="1538DC50" w14:textId="77777777" w:rsidR="002959BC" w:rsidRPr="00E854C2" w:rsidRDefault="002959BC" w:rsidP="00131C6C">
            <w:pPr>
              <w:spacing w:line="192" w:lineRule="auto"/>
              <w:jc w:val="center"/>
              <w:rPr>
                <w:rFonts w:ascii="Simplified Arabic" w:hAnsi="Simplified Arabic" w:cs="Simplified Arabic"/>
                <w:sz w:val="26"/>
                <w:szCs w:val="26"/>
              </w:rPr>
            </w:pPr>
            <w:r w:rsidRPr="00E854C2">
              <w:rPr>
                <w:rFonts w:ascii="Simplified Arabic" w:hAnsi="Simplified Arabic" w:cs="Simplified Arabic"/>
                <w:sz w:val="26"/>
                <w:szCs w:val="26"/>
                <w:rtl/>
              </w:rPr>
              <w:t>72%</w:t>
            </w:r>
          </w:p>
        </w:tc>
      </w:tr>
    </w:tbl>
    <w:p w14:paraId="667DBDF7" w14:textId="77777777" w:rsidR="002959BC" w:rsidRPr="00E854C2" w:rsidRDefault="002959BC" w:rsidP="002959BC">
      <w:pPr>
        <w:spacing w:line="216" w:lineRule="auto"/>
        <w:rPr>
          <w:rFonts w:ascii="Simplified Arabic" w:hAnsi="Simplified Arabic" w:cs="Simplified Arabic"/>
          <w:sz w:val="24"/>
          <w:szCs w:val="24"/>
          <w:rtl/>
        </w:rPr>
      </w:pPr>
      <w:r w:rsidRPr="00E854C2">
        <w:rPr>
          <w:rFonts w:ascii="Simplified Arabic" w:hAnsi="Simplified Arabic" w:cs="Simplified Arabic"/>
          <w:sz w:val="24"/>
          <w:szCs w:val="24"/>
          <w:rtl/>
        </w:rPr>
        <w:t>المصدر: بيانات البنك الدولي. ووزارة المالية البيان المالي الشهري. أعداد مختلفة.</w:t>
      </w:r>
    </w:p>
    <w:p w14:paraId="00ED9988" w14:textId="77777777" w:rsidR="002959BC" w:rsidRPr="00A34ECB" w:rsidRDefault="002959BC" w:rsidP="002959BC">
      <w:pPr>
        <w:jc w:val="center"/>
        <w:rPr>
          <w:rFonts w:ascii="Simplified Arabic" w:hAnsi="Simplified Arabic" w:cs="Simplified Arabic"/>
          <w:b/>
          <w:bCs/>
          <w:color w:val="000000" w:themeColor="text1"/>
          <w:sz w:val="24"/>
          <w:szCs w:val="24"/>
          <w:rtl/>
        </w:rPr>
      </w:pPr>
      <w:r w:rsidRPr="00A34ECB">
        <w:rPr>
          <w:rFonts w:ascii="Simplified Arabic" w:hAnsi="Simplified Arabic" w:cs="Simplified Arabic"/>
          <w:b/>
          <w:bCs/>
          <w:color w:val="000000" w:themeColor="text1"/>
          <w:sz w:val="24"/>
          <w:szCs w:val="24"/>
          <w:rtl/>
        </w:rPr>
        <w:lastRenderedPageBreak/>
        <w:t>جدول رقم (4-4)</w:t>
      </w:r>
    </w:p>
    <w:p w14:paraId="36279FFE" w14:textId="77777777" w:rsidR="002959BC" w:rsidRPr="00A34ECB" w:rsidRDefault="002959BC" w:rsidP="002959BC">
      <w:pPr>
        <w:jc w:val="center"/>
        <w:rPr>
          <w:rFonts w:ascii="Simplified Arabic" w:hAnsi="Simplified Arabic" w:cs="Simplified Arabic"/>
          <w:b/>
          <w:bCs/>
          <w:color w:val="000000" w:themeColor="text1"/>
          <w:sz w:val="24"/>
          <w:szCs w:val="24"/>
          <w:rtl/>
        </w:rPr>
      </w:pPr>
      <w:r w:rsidRPr="00A34ECB">
        <w:rPr>
          <w:rFonts w:ascii="Simplified Arabic" w:hAnsi="Simplified Arabic" w:cs="Simplified Arabic"/>
          <w:b/>
          <w:bCs/>
          <w:color w:val="000000" w:themeColor="text1"/>
          <w:sz w:val="24"/>
          <w:szCs w:val="24"/>
          <w:rtl/>
        </w:rPr>
        <w:t>تطور معدل التضخم والرقم القياسي لأسعار المستهلكين</w:t>
      </w:r>
      <w:r w:rsidRPr="00A34ECB">
        <w:rPr>
          <w:rFonts w:ascii="Simplified Arabic" w:hAnsi="Simplified Arabic" w:cs="Simplified Arabic" w:hint="cs"/>
          <w:b/>
          <w:bCs/>
          <w:color w:val="000000" w:themeColor="text1"/>
          <w:sz w:val="24"/>
          <w:szCs w:val="24"/>
          <w:rtl/>
        </w:rPr>
        <w:t xml:space="preserve"> </w:t>
      </w:r>
      <w:r w:rsidRPr="00A34ECB">
        <w:rPr>
          <w:rFonts w:ascii="Simplified Arabic" w:hAnsi="Simplified Arabic" w:cs="Simplified Arabic"/>
          <w:b/>
          <w:bCs/>
          <w:color w:val="000000" w:themeColor="text1"/>
          <w:sz w:val="24"/>
          <w:szCs w:val="24"/>
          <w:rtl/>
        </w:rPr>
        <w:t>خلال الفترة (1991/1992 إلى 2018/2019)</w:t>
      </w:r>
    </w:p>
    <w:tbl>
      <w:tblPr>
        <w:tblStyle w:val="TableGrid"/>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60"/>
        <w:gridCol w:w="3005"/>
        <w:gridCol w:w="3506"/>
      </w:tblGrid>
      <w:tr w:rsidR="002959BC" w:rsidRPr="00E854C2" w14:paraId="1E56827A" w14:textId="77777777" w:rsidTr="00270E6A">
        <w:trPr>
          <w:trHeight w:val="720"/>
          <w:jc w:val="center"/>
        </w:trPr>
        <w:tc>
          <w:tcPr>
            <w:tcW w:w="2060" w:type="dxa"/>
            <w:shd w:val="clear" w:color="auto" w:fill="F2F2F2" w:themeFill="background1" w:themeFillShade="F2"/>
            <w:vAlign w:val="center"/>
          </w:tcPr>
          <w:p w14:paraId="2931A5D9"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العام المالــي</w:t>
            </w:r>
          </w:p>
        </w:tc>
        <w:tc>
          <w:tcPr>
            <w:tcW w:w="3005" w:type="dxa"/>
            <w:shd w:val="clear" w:color="auto" w:fill="F2F2F2" w:themeFill="background1" w:themeFillShade="F2"/>
            <w:vAlign w:val="center"/>
          </w:tcPr>
          <w:p w14:paraId="70B43B37" w14:textId="77777777" w:rsidR="002959BC" w:rsidRPr="00E854C2" w:rsidRDefault="002959BC" w:rsidP="00131C6C">
            <w:pPr>
              <w:spacing w:line="192" w:lineRule="auto"/>
              <w:jc w:val="center"/>
              <w:rPr>
                <w:rFonts w:ascii="Simplified Arabic" w:hAnsi="Simplified Arabic" w:cs="Simplified Arabic"/>
                <w:color w:val="000000"/>
                <w:sz w:val="28"/>
                <w:szCs w:val="28"/>
                <w:rtl/>
                <w:lang w:bidi="ar-EG"/>
              </w:rPr>
            </w:pPr>
            <w:r w:rsidRPr="00E854C2">
              <w:rPr>
                <w:rFonts w:ascii="Simplified Arabic" w:hAnsi="Simplified Arabic" w:cs="Simplified Arabic"/>
                <w:color w:val="000000"/>
                <w:sz w:val="28"/>
                <w:szCs w:val="28"/>
                <w:rtl/>
                <w:lang w:bidi="ar-EG"/>
              </w:rPr>
              <w:t>معدل التضخم</w:t>
            </w:r>
          </w:p>
        </w:tc>
        <w:tc>
          <w:tcPr>
            <w:tcW w:w="3506" w:type="dxa"/>
            <w:shd w:val="clear" w:color="auto" w:fill="F2F2F2" w:themeFill="background1" w:themeFillShade="F2"/>
            <w:vAlign w:val="center"/>
          </w:tcPr>
          <w:p w14:paraId="4D508E76" w14:textId="77777777" w:rsidR="002959BC" w:rsidRPr="00E854C2" w:rsidRDefault="002959BC" w:rsidP="00131C6C">
            <w:pPr>
              <w:spacing w:line="192" w:lineRule="auto"/>
              <w:jc w:val="center"/>
              <w:rPr>
                <w:rFonts w:ascii="Simplified Arabic" w:hAnsi="Simplified Arabic" w:cs="Simplified Arabic"/>
                <w:color w:val="000000"/>
                <w:sz w:val="28"/>
                <w:szCs w:val="28"/>
                <w:rtl/>
              </w:rPr>
            </w:pPr>
            <w:r w:rsidRPr="00E854C2">
              <w:rPr>
                <w:rFonts w:ascii="Simplified Arabic" w:hAnsi="Simplified Arabic" w:cs="Simplified Arabic"/>
                <w:color w:val="000000"/>
                <w:sz w:val="28"/>
                <w:szCs w:val="28"/>
                <w:rtl/>
              </w:rPr>
              <w:t>الرقم القياسي لأسعار المستهلكين</w:t>
            </w:r>
          </w:p>
          <w:p w14:paraId="26762AD9" w14:textId="77777777" w:rsidR="002959BC" w:rsidRPr="00E854C2" w:rsidRDefault="002959BC" w:rsidP="00131C6C">
            <w:pPr>
              <w:spacing w:line="192" w:lineRule="auto"/>
              <w:jc w:val="center"/>
              <w:rPr>
                <w:rFonts w:ascii="Simplified Arabic" w:hAnsi="Simplified Arabic" w:cs="Simplified Arabic"/>
                <w:color w:val="000000"/>
                <w:sz w:val="28"/>
                <w:szCs w:val="28"/>
                <w:rtl/>
              </w:rPr>
            </w:pPr>
            <w:r w:rsidRPr="00E854C2">
              <w:rPr>
                <w:rFonts w:ascii="Simplified Arabic" w:hAnsi="Simplified Arabic" w:cs="Simplified Arabic"/>
                <w:color w:val="000000"/>
                <w:sz w:val="28"/>
                <w:szCs w:val="28"/>
                <w:rtl/>
              </w:rPr>
              <w:t>(سنة الأساس 2010 = 100)</w:t>
            </w:r>
          </w:p>
        </w:tc>
      </w:tr>
      <w:tr w:rsidR="002959BC" w:rsidRPr="00E854C2" w14:paraId="5C056528" w14:textId="77777777" w:rsidTr="00270E6A">
        <w:trPr>
          <w:trHeight w:val="340"/>
          <w:jc w:val="center"/>
        </w:trPr>
        <w:tc>
          <w:tcPr>
            <w:tcW w:w="2060" w:type="dxa"/>
            <w:shd w:val="clear" w:color="auto" w:fill="F2F2F2" w:themeFill="background1" w:themeFillShade="F2"/>
            <w:vAlign w:val="center"/>
          </w:tcPr>
          <w:p w14:paraId="77D84C45"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1991/1992</w:t>
            </w:r>
          </w:p>
        </w:tc>
        <w:tc>
          <w:tcPr>
            <w:tcW w:w="3005" w:type="dxa"/>
            <w:vAlign w:val="center"/>
          </w:tcPr>
          <w:p w14:paraId="3FF2FDFC"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19.7%</w:t>
            </w:r>
          </w:p>
        </w:tc>
        <w:tc>
          <w:tcPr>
            <w:tcW w:w="3506" w:type="dxa"/>
            <w:vAlign w:val="center"/>
          </w:tcPr>
          <w:p w14:paraId="68067D64" w14:textId="77777777" w:rsidR="002959BC" w:rsidRPr="00E854C2" w:rsidRDefault="002959BC" w:rsidP="00131C6C">
            <w:pPr>
              <w:spacing w:line="192"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22.92</w:t>
            </w:r>
          </w:p>
        </w:tc>
      </w:tr>
      <w:tr w:rsidR="002959BC" w:rsidRPr="00E854C2" w14:paraId="0071B5E3" w14:textId="77777777" w:rsidTr="00270E6A">
        <w:trPr>
          <w:trHeight w:val="340"/>
          <w:jc w:val="center"/>
        </w:trPr>
        <w:tc>
          <w:tcPr>
            <w:tcW w:w="2060" w:type="dxa"/>
            <w:shd w:val="clear" w:color="auto" w:fill="F2F2F2" w:themeFill="background1" w:themeFillShade="F2"/>
            <w:vAlign w:val="center"/>
          </w:tcPr>
          <w:p w14:paraId="560684B9"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1992/1993</w:t>
            </w:r>
          </w:p>
        </w:tc>
        <w:tc>
          <w:tcPr>
            <w:tcW w:w="3005" w:type="dxa"/>
            <w:vAlign w:val="center"/>
          </w:tcPr>
          <w:p w14:paraId="531E9B33" w14:textId="77777777" w:rsidR="002959BC" w:rsidRPr="00E854C2" w:rsidRDefault="002959BC" w:rsidP="00131C6C">
            <w:pPr>
              <w:spacing w:line="192"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13.6%</w:t>
            </w:r>
          </w:p>
        </w:tc>
        <w:tc>
          <w:tcPr>
            <w:tcW w:w="3506" w:type="dxa"/>
            <w:vAlign w:val="center"/>
          </w:tcPr>
          <w:p w14:paraId="5834E63E" w14:textId="77777777" w:rsidR="002959BC" w:rsidRPr="00E854C2" w:rsidRDefault="002959BC" w:rsidP="00131C6C">
            <w:pPr>
              <w:spacing w:line="192"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26.05</w:t>
            </w:r>
          </w:p>
        </w:tc>
      </w:tr>
      <w:tr w:rsidR="002959BC" w:rsidRPr="00E854C2" w14:paraId="274B1E27" w14:textId="77777777" w:rsidTr="00270E6A">
        <w:trPr>
          <w:trHeight w:val="340"/>
          <w:jc w:val="center"/>
        </w:trPr>
        <w:tc>
          <w:tcPr>
            <w:tcW w:w="2060" w:type="dxa"/>
            <w:shd w:val="clear" w:color="auto" w:fill="F2F2F2" w:themeFill="background1" w:themeFillShade="F2"/>
            <w:vAlign w:val="center"/>
          </w:tcPr>
          <w:p w14:paraId="255B8561"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1993/1994</w:t>
            </w:r>
          </w:p>
        </w:tc>
        <w:tc>
          <w:tcPr>
            <w:tcW w:w="3005" w:type="dxa"/>
            <w:vAlign w:val="center"/>
          </w:tcPr>
          <w:p w14:paraId="4318B1C1" w14:textId="77777777" w:rsidR="002959BC" w:rsidRPr="00E854C2" w:rsidRDefault="002959BC" w:rsidP="00131C6C">
            <w:pPr>
              <w:spacing w:line="192"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12.1%</w:t>
            </w:r>
          </w:p>
        </w:tc>
        <w:tc>
          <w:tcPr>
            <w:tcW w:w="3506" w:type="dxa"/>
            <w:vAlign w:val="center"/>
          </w:tcPr>
          <w:p w14:paraId="25682473" w14:textId="77777777" w:rsidR="002959BC" w:rsidRPr="00E854C2" w:rsidRDefault="002959BC" w:rsidP="00131C6C">
            <w:pPr>
              <w:spacing w:line="192"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29.2</w:t>
            </w:r>
          </w:p>
        </w:tc>
      </w:tr>
      <w:tr w:rsidR="002959BC" w:rsidRPr="00E854C2" w14:paraId="4F0F233C" w14:textId="77777777" w:rsidTr="00270E6A">
        <w:trPr>
          <w:trHeight w:val="340"/>
          <w:jc w:val="center"/>
        </w:trPr>
        <w:tc>
          <w:tcPr>
            <w:tcW w:w="2060" w:type="dxa"/>
            <w:shd w:val="clear" w:color="auto" w:fill="F2F2F2" w:themeFill="background1" w:themeFillShade="F2"/>
            <w:vAlign w:val="center"/>
          </w:tcPr>
          <w:p w14:paraId="07D097DC"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1994/1995</w:t>
            </w:r>
          </w:p>
        </w:tc>
        <w:tc>
          <w:tcPr>
            <w:tcW w:w="3005" w:type="dxa"/>
            <w:vAlign w:val="center"/>
          </w:tcPr>
          <w:p w14:paraId="685E96A8" w14:textId="77777777" w:rsidR="002959BC" w:rsidRPr="00E854C2" w:rsidRDefault="002959BC" w:rsidP="00131C6C">
            <w:pPr>
              <w:spacing w:line="192"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8.2%</w:t>
            </w:r>
          </w:p>
        </w:tc>
        <w:tc>
          <w:tcPr>
            <w:tcW w:w="3506" w:type="dxa"/>
            <w:vAlign w:val="center"/>
          </w:tcPr>
          <w:p w14:paraId="0FC68CAB" w14:textId="77777777" w:rsidR="002959BC" w:rsidRPr="00E854C2" w:rsidRDefault="002959BC" w:rsidP="00131C6C">
            <w:pPr>
              <w:spacing w:line="192"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31.58</w:t>
            </w:r>
          </w:p>
        </w:tc>
      </w:tr>
      <w:tr w:rsidR="002959BC" w:rsidRPr="00E854C2" w14:paraId="19D5E9BA" w14:textId="77777777" w:rsidTr="00270E6A">
        <w:trPr>
          <w:trHeight w:val="340"/>
          <w:jc w:val="center"/>
        </w:trPr>
        <w:tc>
          <w:tcPr>
            <w:tcW w:w="2060" w:type="dxa"/>
            <w:shd w:val="clear" w:color="auto" w:fill="F2F2F2" w:themeFill="background1" w:themeFillShade="F2"/>
            <w:vAlign w:val="center"/>
          </w:tcPr>
          <w:p w14:paraId="12C78799"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1995/1996</w:t>
            </w:r>
          </w:p>
        </w:tc>
        <w:tc>
          <w:tcPr>
            <w:tcW w:w="3005" w:type="dxa"/>
            <w:vAlign w:val="center"/>
          </w:tcPr>
          <w:p w14:paraId="0BA9A10C" w14:textId="77777777" w:rsidR="002959BC" w:rsidRPr="00E854C2" w:rsidRDefault="002959BC" w:rsidP="00131C6C">
            <w:pPr>
              <w:spacing w:line="192"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8.4%</w:t>
            </w:r>
          </w:p>
        </w:tc>
        <w:tc>
          <w:tcPr>
            <w:tcW w:w="3506" w:type="dxa"/>
            <w:vAlign w:val="center"/>
          </w:tcPr>
          <w:p w14:paraId="05940023" w14:textId="77777777" w:rsidR="002959BC" w:rsidRPr="00E854C2" w:rsidRDefault="002959BC" w:rsidP="00131C6C">
            <w:pPr>
              <w:spacing w:line="192"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36.55</w:t>
            </w:r>
          </w:p>
        </w:tc>
      </w:tr>
      <w:tr w:rsidR="002959BC" w:rsidRPr="00E854C2" w14:paraId="5611AF01" w14:textId="77777777" w:rsidTr="00270E6A">
        <w:trPr>
          <w:trHeight w:val="340"/>
          <w:jc w:val="center"/>
        </w:trPr>
        <w:tc>
          <w:tcPr>
            <w:tcW w:w="2060" w:type="dxa"/>
            <w:shd w:val="clear" w:color="auto" w:fill="F2F2F2" w:themeFill="background1" w:themeFillShade="F2"/>
            <w:vAlign w:val="center"/>
          </w:tcPr>
          <w:p w14:paraId="3E744216"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1996/1997</w:t>
            </w:r>
          </w:p>
        </w:tc>
        <w:tc>
          <w:tcPr>
            <w:tcW w:w="3005" w:type="dxa"/>
            <w:vAlign w:val="center"/>
          </w:tcPr>
          <w:p w14:paraId="0D1824B4" w14:textId="77777777" w:rsidR="002959BC" w:rsidRPr="00E854C2" w:rsidRDefault="002959BC" w:rsidP="00131C6C">
            <w:pPr>
              <w:spacing w:line="192"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7.2%</w:t>
            </w:r>
          </w:p>
        </w:tc>
        <w:tc>
          <w:tcPr>
            <w:tcW w:w="3506" w:type="dxa"/>
            <w:vAlign w:val="center"/>
          </w:tcPr>
          <w:p w14:paraId="7244D7A4" w14:textId="77777777" w:rsidR="002959BC" w:rsidRPr="00E854C2" w:rsidRDefault="002959BC" w:rsidP="00131C6C">
            <w:pPr>
              <w:spacing w:line="192"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39.18</w:t>
            </w:r>
          </w:p>
        </w:tc>
      </w:tr>
      <w:tr w:rsidR="002959BC" w:rsidRPr="00E854C2" w14:paraId="19975E3C" w14:textId="77777777" w:rsidTr="00270E6A">
        <w:trPr>
          <w:trHeight w:val="340"/>
          <w:jc w:val="center"/>
        </w:trPr>
        <w:tc>
          <w:tcPr>
            <w:tcW w:w="2060" w:type="dxa"/>
            <w:shd w:val="clear" w:color="auto" w:fill="F2F2F2" w:themeFill="background1" w:themeFillShade="F2"/>
            <w:vAlign w:val="center"/>
          </w:tcPr>
          <w:p w14:paraId="7F73A016"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1997/1998</w:t>
            </w:r>
          </w:p>
        </w:tc>
        <w:tc>
          <w:tcPr>
            <w:tcW w:w="3005" w:type="dxa"/>
            <w:vAlign w:val="center"/>
          </w:tcPr>
          <w:p w14:paraId="11D16D52" w14:textId="77777777" w:rsidR="002959BC" w:rsidRPr="00E854C2" w:rsidRDefault="002959BC" w:rsidP="00131C6C">
            <w:pPr>
              <w:spacing w:line="192"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4.6%</w:t>
            </w:r>
          </w:p>
        </w:tc>
        <w:tc>
          <w:tcPr>
            <w:tcW w:w="3506" w:type="dxa"/>
            <w:vAlign w:val="center"/>
          </w:tcPr>
          <w:p w14:paraId="2A5BAA0C" w14:textId="77777777" w:rsidR="002959BC" w:rsidRPr="00E854C2" w:rsidRDefault="002959BC" w:rsidP="00131C6C">
            <w:pPr>
              <w:spacing w:line="192" w:lineRule="auto"/>
              <w:jc w:val="center"/>
              <w:rPr>
                <w:rFonts w:ascii="Simplified Arabic" w:hAnsi="Simplified Arabic" w:cs="Simplified Arabic"/>
                <w:sz w:val="28"/>
                <w:szCs w:val="28"/>
                <w:rtl/>
              </w:rPr>
            </w:pPr>
            <w:r w:rsidRPr="00E854C2">
              <w:rPr>
                <w:rFonts w:ascii="Simplified Arabic" w:hAnsi="Simplified Arabic" w:cs="Simplified Arabic"/>
                <w:sz w:val="28"/>
                <w:szCs w:val="28"/>
                <w:rtl/>
              </w:rPr>
              <w:t>40.99</w:t>
            </w:r>
          </w:p>
        </w:tc>
      </w:tr>
      <w:tr w:rsidR="002959BC" w:rsidRPr="00E854C2" w14:paraId="662D0142" w14:textId="77777777" w:rsidTr="00270E6A">
        <w:trPr>
          <w:trHeight w:val="340"/>
          <w:jc w:val="center"/>
        </w:trPr>
        <w:tc>
          <w:tcPr>
            <w:tcW w:w="2060" w:type="dxa"/>
            <w:shd w:val="clear" w:color="auto" w:fill="F2F2F2" w:themeFill="background1" w:themeFillShade="F2"/>
            <w:vAlign w:val="center"/>
          </w:tcPr>
          <w:p w14:paraId="5F06EF66"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1998/1999</w:t>
            </w:r>
          </w:p>
        </w:tc>
        <w:tc>
          <w:tcPr>
            <w:tcW w:w="3005" w:type="dxa"/>
            <w:vAlign w:val="center"/>
          </w:tcPr>
          <w:p w14:paraId="281B0076"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3.9</w:t>
            </w:r>
            <w:r w:rsidRPr="00E854C2">
              <w:rPr>
                <w:rFonts w:ascii="Simplified Arabic" w:hAnsi="Simplified Arabic" w:cs="Simplified Arabic"/>
                <w:color w:val="000000"/>
                <w:sz w:val="28"/>
                <w:szCs w:val="28"/>
              </w:rPr>
              <w:t>%</w:t>
            </w:r>
          </w:p>
        </w:tc>
        <w:tc>
          <w:tcPr>
            <w:tcW w:w="3506" w:type="dxa"/>
            <w:vAlign w:val="center"/>
          </w:tcPr>
          <w:p w14:paraId="2EED71A1"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42.6</w:t>
            </w:r>
          </w:p>
        </w:tc>
      </w:tr>
      <w:tr w:rsidR="002959BC" w:rsidRPr="00E854C2" w14:paraId="04A5F164" w14:textId="77777777" w:rsidTr="00270E6A">
        <w:trPr>
          <w:trHeight w:val="340"/>
          <w:jc w:val="center"/>
        </w:trPr>
        <w:tc>
          <w:tcPr>
            <w:tcW w:w="2060" w:type="dxa"/>
            <w:shd w:val="clear" w:color="auto" w:fill="F2F2F2" w:themeFill="background1" w:themeFillShade="F2"/>
            <w:vAlign w:val="center"/>
          </w:tcPr>
          <w:p w14:paraId="67961DA9"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1999/2000</w:t>
            </w:r>
          </w:p>
        </w:tc>
        <w:tc>
          <w:tcPr>
            <w:tcW w:w="3005" w:type="dxa"/>
            <w:vAlign w:val="center"/>
          </w:tcPr>
          <w:p w14:paraId="04FCD0B0"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3.1</w:t>
            </w:r>
            <w:r w:rsidRPr="00E854C2">
              <w:rPr>
                <w:rFonts w:ascii="Simplified Arabic" w:hAnsi="Simplified Arabic" w:cs="Simplified Arabic"/>
                <w:color w:val="000000"/>
                <w:sz w:val="28"/>
                <w:szCs w:val="28"/>
              </w:rPr>
              <w:t>%</w:t>
            </w:r>
          </w:p>
        </w:tc>
        <w:tc>
          <w:tcPr>
            <w:tcW w:w="3506" w:type="dxa"/>
            <w:vAlign w:val="center"/>
          </w:tcPr>
          <w:p w14:paraId="71DE9FD0"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43.9</w:t>
            </w:r>
          </w:p>
        </w:tc>
      </w:tr>
      <w:tr w:rsidR="002959BC" w:rsidRPr="00E854C2" w14:paraId="37F8EAC7" w14:textId="77777777" w:rsidTr="00270E6A">
        <w:trPr>
          <w:trHeight w:val="340"/>
          <w:jc w:val="center"/>
        </w:trPr>
        <w:tc>
          <w:tcPr>
            <w:tcW w:w="2060" w:type="dxa"/>
            <w:shd w:val="clear" w:color="auto" w:fill="F2F2F2" w:themeFill="background1" w:themeFillShade="F2"/>
            <w:vAlign w:val="center"/>
          </w:tcPr>
          <w:p w14:paraId="6D2A427F"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2000/2001</w:t>
            </w:r>
          </w:p>
        </w:tc>
        <w:tc>
          <w:tcPr>
            <w:tcW w:w="3005" w:type="dxa"/>
            <w:vAlign w:val="center"/>
          </w:tcPr>
          <w:p w14:paraId="0945F2AF"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2.7</w:t>
            </w:r>
            <w:r w:rsidRPr="00E854C2">
              <w:rPr>
                <w:rFonts w:ascii="Simplified Arabic" w:hAnsi="Simplified Arabic" w:cs="Simplified Arabic"/>
                <w:color w:val="000000"/>
                <w:sz w:val="28"/>
                <w:szCs w:val="28"/>
              </w:rPr>
              <w:t>%</w:t>
            </w:r>
          </w:p>
        </w:tc>
        <w:tc>
          <w:tcPr>
            <w:tcW w:w="3506" w:type="dxa"/>
            <w:vAlign w:val="center"/>
          </w:tcPr>
          <w:p w14:paraId="5B7BD074"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45.1</w:t>
            </w:r>
          </w:p>
        </w:tc>
      </w:tr>
      <w:tr w:rsidR="002959BC" w:rsidRPr="00E854C2" w14:paraId="159E9847" w14:textId="77777777" w:rsidTr="00270E6A">
        <w:trPr>
          <w:trHeight w:val="340"/>
          <w:jc w:val="center"/>
        </w:trPr>
        <w:tc>
          <w:tcPr>
            <w:tcW w:w="2060" w:type="dxa"/>
            <w:shd w:val="clear" w:color="auto" w:fill="F2F2F2" w:themeFill="background1" w:themeFillShade="F2"/>
            <w:vAlign w:val="center"/>
          </w:tcPr>
          <w:p w14:paraId="635398B3"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2001/2002</w:t>
            </w:r>
          </w:p>
        </w:tc>
        <w:tc>
          <w:tcPr>
            <w:tcW w:w="3005" w:type="dxa"/>
            <w:vAlign w:val="center"/>
          </w:tcPr>
          <w:p w14:paraId="19160503"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2.3</w:t>
            </w:r>
            <w:r w:rsidRPr="00E854C2">
              <w:rPr>
                <w:rFonts w:ascii="Simplified Arabic" w:hAnsi="Simplified Arabic" w:cs="Simplified Arabic"/>
                <w:color w:val="000000"/>
                <w:sz w:val="28"/>
                <w:szCs w:val="28"/>
              </w:rPr>
              <w:t>%</w:t>
            </w:r>
          </w:p>
        </w:tc>
        <w:tc>
          <w:tcPr>
            <w:tcW w:w="3506" w:type="dxa"/>
            <w:vAlign w:val="center"/>
          </w:tcPr>
          <w:p w14:paraId="7CCB12D6"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46.1</w:t>
            </w:r>
          </w:p>
        </w:tc>
      </w:tr>
      <w:tr w:rsidR="002959BC" w:rsidRPr="00E854C2" w14:paraId="009F72FC" w14:textId="77777777" w:rsidTr="00270E6A">
        <w:trPr>
          <w:trHeight w:val="340"/>
          <w:jc w:val="center"/>
        </w:trPr>
        <w:tc>
          <w:tcPr>
            <w:tcW w:w="2060" w:type="dxa"/>
            <w:shd w:val="clear" w:color="auto" w:fill="F2F2F2" w:themeFill="background1" w:themeFillShade="F2"/>
            <w:vAlign w:val="center"/>
          </w:tcPr>
          <w:p w14:paraId="00448B14"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2002/2003</w:t>
            </w:r>
          </w:p>
        </w:tc>
        <w:tc>
          <w:tcPr>
            <w:tcW w:w="3005" w:type="dxa"/>
            <w:vAlign w:val="center"/>
          </w:tcPr>
          <w:p w14:paraId="609822FB"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2.7</w:t>
            </w:r>
            <w:r w:rsidRPr="00E854C2">
              <w:rPr>
                <w:rFonts w:ascii="Simplified Arabic" w:hAnsi="Simplified Arabic" w:cs="Simplified Arabic"/>
                <w:color w:val="000000"/>
                <w:sz w:val="28"/>
                <w:szCs w:val="28"/>
              </w:rPr>
              <w:t>%</w:t>
            </w:r>
          </w:p>
        </w:tc>
        <w:tc>
          <w:tcPr>
            <w:tcW w:w="3506" w:type="dxa"/>
            <w:vAlign w:val="center"/>
          </w:tcPr>
          <w:p w14:paraId="4782D12C"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47.4</w:t>
            </w:r>
          </w:p>
        </w:tc>
      </w:tr>
      <w:tr w:rsidR="002959BC" w:rsidRPr="00E854C2" w14:paraId="46331380" w14:textId="77777777" w:rsidTr="00270E6A">
        <w:trPr>
          <w:trHeight w:val="340"/>
          <w:jc w:val="center"/>
        </w:trPr>
        <w:tc>
          <w:tcPr>
            <w:tcW w:w="2060" w:type="dxa"/>
            <w:shd w:val="clear" w:color="auto" w:fill="F2F2F2" w:themeFill="background1" w:themeFillShade="F2"/>
            <w:vAlign w:val="center"/>
          </w:tcPr>
          <w:p w14:paraId="000AD38A"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2003/2004</w:t>
            </w:r>
          </w:p>
        </w:tc>
        <w:tc>
          <w:tcPr>
            <w:tcW w:w="3005" w:type="dxa"/>
            <w:vAlign w:val="center"/>
          </w:tcPr>
          <w:p w14:paraId="3A620C22"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4.5</w:t>
            </w:r>
            <w:r w:rsidRPr="00E854C2">
              <w:rPr>
                <w:rFonts w:ascii="Simplified Arabic" w:hAnsi="Simplified Arabic" w:cs="Simplified Arabic"/>
                <w:color w:val="000000"/>
                <w:sz w:val="28"/>
                <w:szCs w:val="28"/>
              </w:rPr>
              <w:t>%</w:t>
            </w:r>
          </w:p>
        </w:tc>
        <w:tc>
          <w:tcPr>
            <w:tcW w:w="3506" w:type="dxa"/>
            <w:vAlign w:val="center"/>
          </w:tcPr>
          <w:p w14:paraId="5E783FC3"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49.5</w:t>
            </w:r>
          </w:p>
        </w:tc>
      </w:tr>
      <w:tr w:rsidR="002959BC" w:rsidRPr="00E854C2" w14:paraId="1B96B89E" w14:textId="77777777" w:rsidTr="00270E6A">
        <w:trPr>
          <w:trHeight w:val="340"/>
          <w:jc w:val="center"/>
        </w:trPr>
        <w:tc>
          <w:tcPr>
            <w:tcW w:w="2060" w:type="dxa"/>
            <w:shd w:val="clear" w:color="auto" w:fill="F2F2F2" w:themeFill="background1" w:themeFillShade="F2"/>
            <w:vAlign w:val="center"/>
          </w:tcPr>
          <w:p w14:paraId="307FF26A"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2004/2005</w:t>
            </w:r>
          </w:p>
        </w:tc>
        <w:tc>
          <w:tcPr>
            <w:tcW w:w="3005" w:type="dxa"/>
            <w:vAlign w:val="center"/>
          </w:tcPr>
          <w:p w14:paraId="378388FA"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11.3</w:t>
            </w:r>
            <w:r w:rsidRPr="00E854C2">
              <w:rPr>
                <w:rFonts w:ascii="Simplified Arabic" w:hAnsi="Simplified Arabic" w:cs="Simplified Arabic"/>
                <w:color w:val="000000"/>
                <w:sz w:val="28"/>
                <w:szCs w:val="28"/>
              </w:rPr>
              <w:t>%</w:t>
            </w:r>
          </w:p>
        </w:tc>
        <w:tc>
          <w:tcPr>
            <w:tcW w:w="3506" w:type="dxa"/>
            <w:vAlign w:val="center"/>
          </w:tcPr>
          <w:p w14:paraId="4C2AA8B3"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55.1</w:t>
            </w:r>
          </w:p>
        </w:tc>
      </w:tr>
      <w:tr w:rsidR="002959BC" w:rsidRPr="00E854C2" w14:paraId="6F4D68C1" w14:textId="77777777" w:rsidTr="00270E6A">
        <w:trPr>
          <w:trHeight w:val="340"/>
          <w:jc w:val="center"/>
        </w:trPr>
        <w:tc>
          <w:tcPr>
            <w:tcW w:w="2060" w:type="dxa"/>
            <w:shd w:val="clear" w:color="auto" w:fill="F2F2F2" w:themeFill="background1" w:themeFillShade="F2"/>
            <w:vAlign w:val="center"/>
          </w:tcPr>
          <w:p w14:paraId="003533DC"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2005/2006</w:t>
            </w:r>
          </w:p>
        </w:tc>
        <w:tc>
          <w:tcPr>
            <w:tcW w:w="3005" w:type="dxa"/>
            <w:vAlign w:val="center"/>
          </w:tcPr>
          <w:p w14:paraId="141323B7"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lang w:bidi="ar-EG"/>
              </w:rPr>
              <w:t>4.9</w:t>
            </w:r>
            <w:r w:rsidRPr="00E854C2">
              <w:rPr>
                <w:rFonts w:ascii="Simplified Arabic" w:hAnsi="Simplified Arabic" w:cs="Simplified Arabic"/>
                <w:color w:val="000000"/>
                <w:sz w:val="28"/>
                <w:szCs w:val="28"/>
              </w:rPr>
              <w:t>%</w:t>
            </w:r>
          </w:p>
        </w:tc>
        <w:tc>
          <w:tcPr>
            <w:tcW w:w="3506" w:type="dxa"/>
            <w:vAlign w:val="center"/>
          </w:tcPr>
          <w:p w14:paraId="3D4DDE14"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57.8</w:t>
            </w:r>
          </w:p>
        </w:tc>
      </w:tr>
      <w:tr w:rsidR="002959BC" w:rsidRPr="00E854C2" w14:paraId="3BD384E1" w14:textId="77777777" w:rsidTr="00270E6A">
        <w:trPr>
          <w:trHeight w:val="340"/>
          <w:jc w:val="center"/>
        </w:trPr>
        <w:tc>
          <w:tcPr>
            <w:tcW w:w="2060" w:type="dxa"/>
            <w:shd w:val="clear" w:color="auto" w:fill="F2F2F2" w:themeFill="background1" w:themeFillShade="F2"/>
            <w:vAlign w:val="center"/>
          </w:tcPr>
          <w:p w14:paraId="07B8AF13"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2006/2007</w:t>
            </w:r>
          </w:p>
        </w:tc>
        <w:tc>
          <w:tcPr>
            <w:tcW w:w="3005" w:type="dxa"/>
            <w:vAlign w:val="center"/>
          </w:tcPr>
          <w:p w14:paraId="53212239"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7.6</w:t>
            </w:r>
            <w:r w:rsidRPr="00E854C2">
              <w:rPr>
                <w:rFonts w:ascii="Simplified Arabic" w:hAnsi="Simplified Arabic" w:cs="Simplified Arabic"/>
                <w:color w:val="000000"/>
                <w:sz w:val="28"/>
                <w:szCs w:val="28"/>
              </w:rPr>
              <w:t>%</w:t>
            </w:r>
          </w:p>
        </w:tc>
        <w:tc>
          <w:tcPr>
            <w:tcW w:w="3506" w:type="dxa"/>
            <w:vAlign w:val="center"/>
          </w:tcPr>
          <w:p w14:paraId="392AD8FF"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62.2</w:t>
            </w:r>
          </w:p>
        </w:tc>
      </w:tr>
      <w:tr w:rsidR="002959BC" w:rsidRPr="00E854C2" w14:paraId="12076E98" w14:textId="77777777" w:rsidTr="00270E6A">
        <w:trPr>
          <w:trHeight w:val="340"/>
          <w:jc w:val="center"/>
        </w:trPr>
        <w:tc>
          <w:tcPr>
            <w:tcW w:w="2060" w:type="dxa"/>
            <w:shd w:val="clear" w:color="auto" w:fill="F2F2F2" w:themeFill="background1" w:themeFillShade="F2"/>
            <w:vAlign w:val="center"/>
          </w:tcPr>
          <w:p w14:paraId="3C9D8833"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2007/2008</w:t>
            </w:r>
          </w:p>
        </w:tc>
        <w:tc>
          <w:tcPr>
            <w:tcW w:w="3005" w:type="dxa"/>
            <w:vAlign w:val="center"/>
          </w:tcPr>
          <w:p w14:paraId="027EEBEA"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9.3</w:t>
            </w:r>
            <w:r w:rsidRPr="00E854C2">
              <w:rPr>
                <w:rFonts w:ascii="Simplified Arabic" w:hAnsi="Simplified Arabic" w:cs="Simplified Arabic"/>
                <w:color w:val="000000"/>
                <w:sz w:val="28"/>
                <w:szCs w:val="28"/>
              </w:rPr>
              <w:t>%</w:t>
            </w:r>
          </w:p>
        </w:tc>
        <w:tc>
          <w:tcPr>
            <w:tcW w:w="3506" w:type="dxa"/>
            <w:vAlign w:val="center"/>
          </w:tcPr>
          <w:p w14:paraId="5A2D2C40"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68</w:t>
            </w:r>
          </w:p>
        </w:tc>
      </w:tr>
      <w:tr w:rsidR="002959BC" w:rsidRPr="00E854C2" w14:paraId="24BDA12E" w14:textId="77777777" w:rsidTr="00270E6A">
        <w:trPr>
          <w:trHeight w:val="340"/>
          <w:jc w:val="center"/>
        </w:trPr>
        <w:tc>
          <w:tcPr>
            <w:tcW w:w="2060" w:type="dxa"/>
            <w:shd w:val="clear" w:color="auto" w:fill="F2F2F2" w:themeFill="background1" w:themeFillShade="F2"/>
            <w:vAlign w:val="center"/>
          </w:tcPr>
          <w:p w14:paraId="422A7172"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2008/2009</w:t>
            </w:r>
          </w:p>
        </w:tc>
        <w:tc>
          <w:tcPr>
            <w:tcW w:w="3005" w:type="dxa"/>
            <w:vAlign w:val="center"/>
          </w:tcPr>
          <w:p w14:paraId="714EED0A"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18.3</w:t>
            </w:r>
            <w:r w:rsidRPr="00E854C2">
              <w:rPr>
                <w:rFonts w:ascii="Simplified Arabic" w:hAnsi="Simplified Arabic" w:cs="Simplified Arabic"/>
                <w:color w:val="000000"/>
                <w:sz w:val="28"/>
                <w:szCs w:val="28"/>
              </w:rPr>
              <w:t>%</w:t>
            </w:r>
          </w:p>
        </w:tc>
        <w:tc>
          <w:tcPr>
            <w:tcW w:w="3506" w:type="dxa"/>
            <w:vAlign w:val="center"/>
          </w:tcPr>
          <w:p w14:paraId="7BE89589" w14:textId="77777777" w:rsidR="002959BC" w:rsidRPr="00E854C2" w:rsidRDefault="002959BC" w:rsidP="00131C6C">
            <w:pPr>
              <w:spacing w:line="192" w:lineRule="auto"/>
              <w:jc w:val="center"/>
              <w:rPr>
                <w:rFonts w:ascii="Simplified Arabic" w:hAnsi="Simplified Arabic" w:cs="Simplified Arabic"/>
                <w:color w:val="000000"/>
                <w:sz w:val="28"/>
                <w:szCs w:val="28"/>
                <w:lang w:bidi="ar-EG"/>
              </w:rPr>
            </w:pPr>
            <w:r w:rsidRPr="00E854C2">
              <w:rPr>
                <w:rFonts w:ascii="Simplified Arabic" w:hAnsi="Simplified Arabic" w:cs="Simplified Arabic"/>
                <w:color w:val="000000"/>
                <w:sz w:val="28"/>
                <w:szCs w:val="28"/>
                <w:rtl/>
              </w:rPr>
              <w:t>80.4</w:t>
            </w:r>
          </w:p>
        </w:tc>
      </w:tr>
      <w:tr w:rsidR="002959BC" w:rsidRPr="00E854C2" w14:paraId="33BC42D0" w14:textId="77777777" w:rsidTr="00270E6A">
        <w:trPr>
          <w:trHeight w:val="340"/>
          <w:jc w:val="center"/>
        </w:trPr>
        <w:tc>
          <w:tcPr>
            <w:tcW w:w="2060" w:type="dxa"/>
            <w:shd w:val="clear" w:color="auto" w:fill="F2F2F2" w:themeFill="background1" w:themeFillShade="F2"/>
            <w:vAlign w:val="center"/>
          </w:tcPr>
          <w:p w14:paraId="19DD37A8"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2009/2010</w:t>
            </w:r>
          </w:p>
        </w:tc>
        <w:tc>
          <w:tcPr>
            <w:tcW w:w="3005" w:type="dxa"/>
            <w:vAlign w:val="center"/>
          </w:tcPr>
          <w:p w14:paraId="56ACE89E"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11.8</w:t>
            </w:r>
            <w:r w:rsidRPr="00E854C2">
              <w:rPr>
                <w:rFonts w:ascii="Simplified Arabic" w:hAnsi="Simplified Arabic" w:cs="Simplified Arabic"/>
                <w:color w:val="000000"/>
                <w:sz w:val="28"/>
                <w:szCs w:val="28"/>
              </w:rPr>
              <w:t>%</w:t>
            </w:r>
          </w:p>
        </w:tc>
        <w:tc>
          <w:tcPr>
            <w:tcW w:w="3506" w:type="dxa"/>
            <w:vAlign w:val="center"/>
          </w:tcPr>
          <w:p w14:paraId="4264E544"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89.9</w:t>
            </w:r>
          </w:p>
        </w:tc>
      </w:tr>
      <w:tr w:rsidR="002959BC" w:rsidRPr="00E854C2" w14:paraId="5AC772F8" w14:textId="77777777" w:rsidTr="00270E6A">
        <w:trPr>
          <w:trHeight w:val="340"/>
          <w:jc w:val="center"/>
        </w:trPr>
        <w:tc>
          <w:tcPr>
            <w:tcW w:w="2060" w:type="dxa"/>
            <w:shd w:val="clear" w:color="auto" w:fill="F2F2F2" w:themeFill="background1" w:themeFillShade="F2"/>
            <w:vAlign w:val="center"/>
          </w:tcPr>
          <w:p w14:paraId="585BE89F"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2010/2011</w:t>
            </w:r>
          </w:p>
        </w:tc>
        <w:tc>
          <w:tcPr>
            <w:tcW w:w="3005" w:type="dxa"/>
            <w:vAlign w:val="center"/>
          </w:tcPr>
          <w:p w14:paraId="58F80B67"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11.3</w:t>
            </w:r>
            <w:r w:rsidRPr="00E854C2">
              <w:rPr>
                <w:rFonts w:ascii="Simplified Arabic" w:hAnsi="Simplified Arabic" w:cs="Simplified Arabic"/>
                <w:color w:val="000000"/>
                <w:sz w:val="28"/>
                <w:szCs w:val="28"/>
              </w:rPr>
              <w:t>%</w:t>
            </w:r>
          </w:p>
        </w:tc>
        <w:tc>
          <w:tcPr>
            <w:tcW w:w="3506" w:type="dxa"/>
            <w:vAlign w:val="center"/>
          </w:tcPr>
          <w:p w14:paraId="3EDA60FC" w14:textId="77777777" w:rsidR="002959BC" w:rsidRPr="00E854C2" w:rsidRDefault="002959BC" w:rsidP="00131C6C">
            <w:pPr>
              <w:spacing w:line="192" w:lineRule="auto"/>
              <w:jc w:val="center"/>
              <w:rPr>
                <w:rFonts w:ascii="Simplified Arabic" w:hAnsi="Simplified Arabic" w:cs="Simplified Arabic"/>
                <w:color w:val="FF0000"/>
                <w:sz w:val="28"/>
                <w:szCs w:val="28"/>
              </w:rPr>
            </w:pPr>
            <w:r w:rsidRPr="00E854C2">
              <w:rPr>
                <w:rFonts w:ascii="Simplified Arabic" w:hAnsi="Simplified Arabic" w:cs="Simplified Arabic"/>
                <w:color w:val="FF0000"/>
                <w:sz w:val="28"/>
                <w:szCs w:val="28"/>
                <w:rtl/>
              </w:rPr>
              <w:t>100</w:t>
            </w:r>
          </w:p>
        </w:tc>
      </w:tr>
      <w:tr w:rsidR="002959BC" w:rsidRPr="00E854C2" w14:paraId="0D2F914F" w14:textId="77777777" w:rsidTr="00270E6A">
        <w:trPr>
          <w:trHeight w:val="340"/>
          <w:jc w:val="center"/>
        </w:trPr>
        <w:tc>
          <w:tcPr>
            <w:tcW w:w="2060" w:type="dxa"/>
            <w:shd w:val="clear" w:color="auto" w:fill="F2F2F2" w:themeFill="background1" w:themeFillShade="F2"/>
            <w:vAlign w:val="center"/>
          </w:tcPr>
          <w:p w14:paraId="3092829D"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2011/2012</w:t>
            </w:r>
          </w:p>
        </w:tc>
        <w:tc>
          <w:tcPr>
            <w:tcW w:w="3005" w:type="dxa"/>
            <w:vAlign w:val="center"/>
          </w:tcPr>
          <w:p w14:paraId="7FA997CC"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10.1</w:t>
            </w:r>
            <w:r w:rsidRPr="00E854C2">
              <w:rPr>
                <w:rFonts w:ascii="Simplified Arabic" w:hAnsi="Simplified Arabic" w:cs="Simplified Arabic"/>
                <w:color w:val="000000"/>
                <w:sz w:val="28"/>
                <w:szCs w:val="28"/>
              </w:rPr>
              <w:t>%</w:t>
            </w:r>
          </w:p>
        </w:tc>
        <w:tc>
          <w:tcPr>
            <w:tcW w:w="3506" w:type="dxa"/>
            <w:vAlign w:val="center"/>
          </w:tcPr>
          <w:p w14:paraId="28317A5A"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110.1</w:t>
            </w:r>
          </w:p>
        </w:tc>
      </w:tr>
      <w:tr w:rsidR="002959BC" w:rsidRPr="00E854C2" w14:paraId="37EA1907" w14:textId="77777777" w:rsidTr="00270E6A">
        <w:trPr>
          <w:trHeight w:val="340"/>
          <w:jc w:val="center"/>
        </w:trPr>
        <w:tc>
          <w:tcPr>
            <w:tcW w:w="2060" w:type="dxa"/>
            <w:shd w:val="clear" w:color="auto" w:fill="F2F2F2" w:themeFill="background1" w:themeFillShade="F2"/>
            <w:vAlign w:val="center"/>
          </w:tcPr>
          <w:p w14:paraId="74E64988"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2012/2013</w:t>
            </w:r>
          </w:p>
        </w:tc>
        <w:tc>
          <w:tcPr>
            <w:tcW w:w="3005" w:type="dxa"/>
            <w:vAlign w:val="center"/>
          </w:tcPr>
          <w:p w14:paraId="419FCB56"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7.1</w:t>
            </w:r>
            <w:r w:rsidRPr="00E854C2">
              <w:rPr>
                <w:rFonts w:ascii="Simplified Arabic" w:hAnsi="Simplified Arabic" w:cs="Simplified Arabic"/>
                <w:color w:val="000000"/>
                <w:sz w:val="28"/>
                <w:szCs w:val="28"/>
              </w:rPr>
              <w:t>%</w:t>
            </w:r>
          </w:p>
        </w:tc>
        <w:tc>
          <w:tcPr>
            <w:tcW w:w="3506" w:type="dxa"/>
            <w:vAlign w:val="center"/>
          </w:tcPr>
          <w:p w14:paraId="2A486F7F"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117.9</w:t>
            </w:r>
          </w:p>
        </w:tc>
      </w:tr>
      <w:tr w:rsidR="002959BC" w:rsidRPr="00E854C2" w14:paraId="65C05829" w14:textId="77777777" w:rsidTr="00270E6A">
        <w:trPr>
          <w:trHeight w:val="340"/>
          <w:jc w:val="center"/>
        </w:trPr>
        <w:tc>
          <w:tcPr>
            <w:tcW w:w="2060" w:type="dxa"/>
            <w:shd w:val="clear" w:color="auto" w:fill="F2F2F2" w:themeFill="background1" w:themeFillShade="F2"/>
            <w:vAlign w:val="center"/>
          </w:tcPr>
          <w:p w14:paraId="2ACEFCBB"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2013/2014</w:t>
            </w:r>
          </w:p>
        </w:tc>
        <w:tc>
          <w:tcPr>
            <w:tcW w:w="3005" w:type="dxa"/>
            <w:vAlign w:val="center"/>
          </w:tcPr>
          <w:p w14:paraId="61C26DF2"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9.4</w:t>
            </w:r>
            <w:r w:rsidRPr="00E854C2">
              <w:rPr>
                <w:rFonts w:ascii="Simplified Arabic" w:hAnsi="Simplified Arabic" w:cs="Simplified Arabic"/>
                <w:color w:val="000000"/>
                <w:sz w:val="28"/>
                <w:szCs w:val="28"/>
              </w:rPr>
              <w:t>%</w:t>
            </w:r>
          </w:p>
        </w:tc>
        <w:tc>
          <w:tcPr>
            <w:tcW w:w="3506" w:type="dxa"/>
            <w:vAlign w:val="center"/>
          </w:tcPr>
          <w:p w14:paraId="7B00B8D9"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129</w:t>
            </w:r>
          </w:p>
        </w:tc>
      </w:tr>
      <w:tr w:rsidR="002959BC" w:rsidRPr="00E854C2" w14:paraId="6D30D377" w14:textId="77777777" w:rsidTr="00270E6A">
        <w:trPr>
          <w:trHeight w:val="340"/>
          <w:jc w:val="center"/>
        </w:trPr>
        <w:tc>
          <w:tcPr>
            <w:tcW w:w="2060" w:type="dxa"/>
            <w:shd w:val="clear" w:color="auto" w:fill="F2F2F2" w:themeFill="background1" w:themeFillShade="F2"/>
            <w:vAlign w:val="center"/>
          </w:tcPr>
          <w:p w14:paraId="1F031C80"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2014/2015</w:t>
            </w:r>
          </w:p>
        </w:tc>
        <w:tc>
          <w:tcPr>
            <w:tcW w:w="3005" w:type="dxa"/>
            <w:vAlign w:val="center"/>
          </w:tcPr>
          <w:p w14:paraId="55691ACA"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10.1</w:t>
            </w:r>
            <w:r w:rsidRPr="00E854C2">
              <w:rPr>
                <w:rFonts w:ascii="Simplified Arabic" w:hAnsi="Simplified Arabic" w:cs="Simplified Arabic"/>
                <w:color w:val="000000"/>
                <w:sz w:val="28"/>
                <w:szCs w:val="28"/>
              </w:rPr>
              <w:t>%</w:t>
            </w:r>
          </w:p>
        </w:tc>
        <w:tc>
          <w:tcPr>
            <w:tcW w:w="3506" w:type="dxa"/>
            <w:vAlign w:val="center"/>
          </w:tcPr>
          <w:p w14:paraId="3C358B61"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142.1</w:t>
            </w:r>
          </w:p>
        </w:tc>
      </w:tr>
      <w:tr w:rsidR="002959BC" w:rsidRPr="00E854C2" w14:paraId="7E7549F5" w14:textId="77777777" w:rsidTr="00270E6A">
        <w:trPr>
          <w:trHeight w:val="340"/>
          <w:jc w:val="center"/>
        </w:trPr>
        <w:tc>
          <w:tcPr>
            <w:tcW w:w="2060" w:type="dxa"/>
            <w:shd w:val="clear" w:color="auto" w:fill="F2F2F2" w:themeFill="background1" w:themeFillShade="F2"/>
            <w:vAlign w:val="center"/>
          </w:tcPr>
          <w:p w14:paraId="052D6429"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2015/2016</w:t>
            </w:r>
          </w:p>
        </w:tc>
        <w:tc>
          <w:tcPr>
            <w:tcW w:w="3005" w:type="dxa"/>
            <w:vAlign w:val="center"/>
          </w:tcPr>
          <w:p w14:paraId="396829F9"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10.4</w:t>
            </w:r>
            <w:r w:rsidRPr="00E854C2">
              <w:rPr>
                <w:rFonts w:ascii="Simplified Arabic" w:hAnsi="Simplified Arabic" w:cs="Simplified Arabic"/>
                <w:color w:val="000000"/>
                <w:sz w:val="28"/>
                <w:szCs w:val="28"/>
              </w:rPr>
              <w:t>%</w:t>
            </w:r>
          </w:p>
        </w:tc>
        <w:tc>
          <w:tcPr>
            <w:tcW w:w="3506" w:type="dxa"/>
            <w:vAlign w:val="center"/>
          </w:tcPr>
          <w:p w14:paraId="6C1F0E52"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156.8</w:t>
            </w:r>
          </w:p>
        </w:tc>
      </w:tr>
      <w:tr w:rsidR="002959BC" w:rsidRPr="00E854C2" w14:paraId="3B65228C" w14:textId="77777777" w:rsidTr="00270E6A">
        <w:trPr>
          <w:trHeight w:val="340"/>
          <w:jc w:val="center"/>
        </w:trPr>
        <w:tc>
          <w:tcPr>
            <w:tcW w:w="2060" w:type="dxa"/>
            <w:shd w:val="clear" w:color="auto" w:fill="F2F2F2" w:themeFill="background1" w:themeFillShade="F2"/>
            <w:vAlign w:val="center"/>
          </w:tcPr>
          <w:p w14:paraId="74A34B0A"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2016/2017</w:t>
            </w:r>
          </w:p>
        </w:tc>
        <w:tc>
          <w:tcPr>
            <w:tcW w:w="3005" w:type="dxa"/>
            <w:vAlign w:val="center"/>
          </w:tcPr>
          <w:p w14:paraId="3782B565"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13.8</w:t>
            </w:r>
            <w:r w:rsidRPr="00E854C2">
              <w:rPr>
                <w:rFonts w:ascii="Simplified Arabic" w:hAnsi="Simplified Arabic" w:cs="Simplified Arabic"/>
                <w:color w:val="000000"/>
                <w:sz w:val="28"/>
                <w:szCs w:val="28"/>
              </w:rPr>
              <w:t>%</w:t>
            </w:r>
          </w:p>
        </w:tc>
        <w:tc>
          <w:tcPr>
            <w:tcW w:w="3506" w:type="dxa"/>
            <w:vAlign w:val="center"/>
          </w:tcPr>
          <w:p w14:paraId="2C75B9C9"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178.5</w:t>
            </w:r>
          </w:p>
        </w:tc>
      </w:tr>
      <w:tr w:rsidR="002959BC" w:rsidRPr="00E854C2" w14:paraId="34033A97" w14:textId="77777777" w:rsidTr="00270E6A">
        <w:trPr>
          <w:trHeight w:val="340"/>
          <w:jc w:val="center"/>
        </w:trPr>
        <w:tc>
          <w:tcPr>
            <w:tcW w:w="2060" w:type="dxa"/>
            <w:shd w:val="clear" w:color="auto" w:fill="F2F2F2" w:themeFill="background1" w:themeFillShade="F2"/>
            <w:vAlign w:val="center"/>
          </w:tcPr>
          <w:p w14:paraId="31EB1620"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2017/2018</w:t>
            </w:r>
          </w:p>
        </w:tc>
        <w:tc>
          <w:tcPr>
            <w:tcW w:w="3005" w:type="dxa"/>
            <w:vAlign w:val="center"/>
          </w:tcPr>
          <w:p w14:paraId="22BC851F"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29.5</w:t>
            </w:r>
            <w:r w:rsidRPr="00E854C2">
              <w:rPr>
                <w:rFonts w:ascii="Simplified Arabic" w:hAnsi="Simplified Arabic" w:cs="Simplified Arabic"/>
                <w:color w:val="000000"/>
                <w:sz w:val="28"/>
                <w:szCs w:val="28"/>
              </w:rPr>
              <w:t>%</w:t>
            </w:r>
          </w:p>
        </w:tc>
        <w:tc>
          <w:tcPr>
            <w:tcW w:w="3506" w:type="dxa"/>
            <w:vAlign w:val="bottom"/>
          </w:tcPr>
          <w:p w14:paraId="354BB248" w14:textId="77777777" w:rsidR="002959BC" w:rsidRPr="00E854C2" w:rsidRDefault="002959BC" w:rsidP="00131C6C">
            <w:pPr>
              <w:spacing w:line="192" w:lineRule="auto"/>
              <w:jc w:val="center"/>
              <w:rPr>
                <w:rFonts w:ascii="Simplified Arabic" w:hAnsi="Simplified Arabic" w:cs="Simplified Arabic"/>
                <w:color w:val="000000"/>
                <w:sz w:val="28"/>
                <w:szCs w:val="28"/>
                <w:rtl/>
              </w:rPr>
            </w:pPr>
            <w:r w:rsidRPr="00E854C2">
              <w:rPr>
                <w:rFonts w:ascii="Simplified Arabic" w:hAnsi="Simplified Arabic" w:cs="Simplified Arabic"/>
                <w:color w:val="000000"/>
                <w:sz w:val="28"/>
                <w:szCs w:val="28"/>
                <w:rtl/>
              </w:rPr>
              <w:t>231.1</w:t>
            </w:r>
          </w:p>
        </w:tc>
      </w:tr>
      <w:tr w:rsidR="002959BC" w:rsidRPr="00E854C2" w14:paraId="5E14700D" w14:textId="77777777" w:rsidTr="00270E6A">
        <w:trPr>
          <w:trHeight w:val="340"/>
          <w:jc w:val="center"/>
        </w:trPr>
        <w:tc>
          <w:tcPr>
            <w:tcW w:w="2060" w:type="dxa"/>
            <w:shd w:val="clear" w:color="auto" w:fill="F2F2F2" w:themeFill="background1" w:themeFillShade="F2"/>
            <w:vAlign w:val="center"/>
          </w:tcPr>
          <w:p w14:paraId="7AEB82CD" w14:textId="77777777" w:rsidR="002959BC" w:rsidRPr="00E854C2" w:rsidRDefault="002959BC" w:rsidP="00131C6C">
            <w:pPr>
              <w:spacing w:line="192" w:lineRule="auto"/>
              <w:jc w:val="center"/>
              <w:rPr>
                <w:rFonts w:ascii="Simplified Arabic" w:hAnsi="Simplified Arabic" w:cs="Simplified Arabic"/>
                <w:sz w:val="28"/>
                <w:szCs w:val="28"/>
              </w:rPr>
            </w:pPr>
            <w:r w:rsidRPr="00E854C2">
              <w:rPr>
                <w:rFonts w:ascii="Simplified Arabic" w:hAnsi="Simplified Arabic" w:cs="Simplified Arabic"/>
                <w:sz w:val="28"/>
                <w:szCs w:val="28"/>
                <w:rtl/>
              </w:rPr>
              <w:t>2018/2019</w:t>
            </w:r>
          </w:p>
        </w:tc>
        <w:tc>
          <w:tcPr>
            <w:tcW w:w="3005" w:type="dxa"/>
            <w:vAlign w:val="center"/>
          </w:tcPr>
          <w:p w14:paraId="3805EB68" w14:textId="77777777" w:rsidR="002959BC" w:rsidRPr="00E854C2" w:rsidRDefault="002959BC" w:rsidP="00131C6C">
            <w:pPr>
              <w:spacing w:line="192" w:lineRule="auto"/>
              <w:jc w:val="center"/>
              <w:rPr>
                <w:rFonts w:ascii="Simplified Arabic" w:hAnsi="Simplified Arabic" w:cs="Simplified Arabic"/>
                <w:color w:val="000000"/>
                <w:sz w:val="28"/>
                <w:szCs w:val="28"/>
              </w:rPr>
            </w:pPr>
            <w:r w:rsidRPr="00E854C2">
              <w:rPr>
                <w:rFonts w:ascii="Simplified Arabic" w:hAnsi="Simplified Arabic" w:cs="Simplified Arabic"/>
                <w:color w:val="000000"/>
                <w:sz w:val="28"/>
                <w:szCs w:val="28"/>
                <w:rtl/>
              </w:rPr>
              <w:t>14.4</w:t>
            </w:r>
            <w:r w:rsidRPr="00E854C2">
              <w:rPr>
                <w:rFonts w:ascii="Simplified Arabic" w:hAnsi="Simplified Arabic" w:cs="Simplified Arabic"/>
                <w:color w:val="000000"/>
                <w:sz w:val="28"/>
                <w:szCs w:val="28"/>
              </w:rPr>
              <w:t>%</w:t>
            </w:r>
          </w:p>
        </w:tc>
        <w:tc>
          <w:tcPr>
            <w:tcW w:w="3506" w:type="dxa"/>
            <w:vAlign w:val="bottom"/>
          </w:tcPr>
          <w:p w14:paraId="5624D537" w14:textId="77777777" w:rsidR="002959BC" w:rsidRPr="00E854C2" w:rsidRDefault="002959BC" w:rsidP="00131C6C">
            <w:pPr>
              <w:spacing w:line="192" w:lineRule="auto"/>
              <w:jc w:val="center"/>
              <w:rPr>
                <w:rFonts w:ascii="Simplified Arabic" w:hAnsi="Simplified Arabic" w:cs="Simplified Arabic"/>
                <w:color w:val="000000"/>
                <w:sz w:val="28"/>
                <w:szCs w:val="28"/>
                <w:rtl/>
              </w:rPr>
            </w:pPr>
            <w:r w:rsidRPr="00E854C2">
              <w:rPr>
                <w:rFonts w:ascii="Simplified Arabic" w:hAnsi="Simplified Arabic" w:cs="Simplified Arabic"/>
                <w:color w:val="000000"/>
                <w:sz w:val="28"/>
                <w:szCs w:val="28"/>
                <w:rtl/>
              </w:rPr>
              <w:t>264.3</w:t>
            </w:r>
          </w:p>
        </w:tc>
      </w:tr>
    </w:tbl>
    <w:p w14:paraId="511B9117" w14:textId="77777777" w:rsidR="002959BC" w:rsidRPr="00E854C2" w:rsidRDefault="002959BC" w:rsidP="002959BC">
      <w:pPr>
        <w:pStyle w:val="FootnoteText"/>
        <w:spacing w:line="216" w:lineRule="auto"/>
        <w:rPr>
          <w:rFonts w:ascii="Simplified Arabic" w:hAnsi="Simplified Arabic" w:cs="Simplified Arabic"/>
          <w:sz w:val="22"/>
          <w:szCs w:val="22"/>
          <w:rtl/>
        </w:rPr>
      </w:pPr>
      <w:r w:rsidRPr="00E854C2">
        <w:rPr>
          <w:rFonts w:ascii="Simplified Arabic" w:hAnsi="Simplified Arabic" w:cs="Simplified Arabic"/>
          <w:sz w:val="22"/>
          <w:szCs w:val="22"/>
          <w:rtl/>
        </w:rPr>
        <w:t>المصدر: بيانات البنك الدولي منشورة بالموقع الالكتروني</w:t>
      </w:r>
    </w:p>
    <w:p w14:paraId="299A0E8D" w14:textId="77777777" w:rsidR="002959BC" w:rsidRDefault="002959BC" w:rsidP="002959BC">
      <w:pPr>
        <w:spacing w:line="216" w:lineRule="auto"/>
        <w:rPr>
          <w:rFonts w:ascii="Simplified Arabic" w:hAnsi="Simplified Arabic" w:cs="Simplified Arabic"/>
          <w:color w:val="000000" w:themeColor="text1"/>
          <w:sz w:val="28"/>
          <w:szCs w:val="28"/>
          <w:rtl/>
        </w:rPr>
      </w:pPr>
      <w:hyperlink r:id="rId57" w:history="1">
        <w:r w:rsidRPr="00E854C2">
          <w:rPr>
            <w:rStyle w:val="Hyperlink"/>
            <w:rFonts w:ascii="Simplified Arabic" w:hAnsi="Simplified Arabic" w:cs="Simplified Arabic"/>
          </w:rPr>
          <w:t>https://data.albankaldawli.org/indicator/FP.CPI.TOTL?end=2017&amp;locations=EG&amp;start=1990</w:t>
        </w:r>
      </w:hyperlink>
      <w:r w:rsidRPr="00E854C2">
        <w:rPr>
          <w:rFonts w:ascii="Simplified Arabic" w:hAnsi="Simplified Arabic" w:cs="Simplified Arabic"/>
          <w:rtl/>
        </w:rPr>
        <w:t xml:space="preserve"> </w:t>
      </w:r>
    </w:p>
    <w:p w14:paraId="162CFFFB" w14:textId="77777777" w:rsidR="002959BC" w:rsidRPr="00A34ECB" w:rsidRDefault="002959BC" w:rsidP="002959BC">
      <w:pPr>
        <w:jc w:val="center"/>
        <w:rPr>
          <w:rFonts w:ascii="Simplified Arabic" w:hAnsi="Simplified Arabic" w:cs="Simplified Arabic"/>
          <w:b/>
          <w:bCs/>
          <w:color w:val="000000" w:themeColor="text1"/>
          <w:sz w:val="24"/>
          <w:szCs w:val="24"/>
          <w:rtl/>
        </w:rPr>
      </w:pPr>
      <w:r w:rsidRPr="00A34ECB">
        <w:rPr>
          <w:rFonts w:ascii="Simplified Arabic" w:hAnsi="Simplified Arabic" w:cs="Simplified Arabic"/>
          <w:b/>
          <w:bCs/>
          <w:color w:val="000000" w:themeColor="text1"/>
          <w:sz w:val="24"/>
          <w:szCs w:val="24"/>
          <w:rtl/>
        </w:rPr>
        <w:lastRenderedPageBreak/>
        <w:t>جدول رقم (4-5)</w:t>
      </w:r>
    </w:p>
    <w:p w14:paraId="576501F8" w14:textId="77777777" w:rsidR="002959BC" w:rsidRPr="00A34ECB" w:rsidRDefault="002959BC" w:rsidP="002959BC">
      <w:pPr>
        <w:jc w:val="center"/>
        <w:rPr>
          <w:rFonts w:ascii="Simplified Arabic" w:hAnsi="Simplified Arabic" w:cs="Simplified Arabic"/>
          <w:b/>
          <w:bCs/>
          <w:color w:val="000000" w:themeColor="text1"/>
          <w:sz w:val="24"/>
          <w:szCs w:val="24"/>
          <w:rtl/>
        </w:rPr>
      </w:pPr>
      <w:r w:rsidRPr="00A34ECB">
        <w:rPr>
          <w:rFonts w:ascii="Simplified Arabic" w:hAnsi="Simplified Arabic" w:cs="Simplified Arabic"/>
          <w:b/>
          <w:bCs/>
          <w:color w:val="000000" w:themeColor="text1"/>
          <w:sz w:val="24"/>
          <w:szCs w:val="24"/>
          <w:rtl/>
        </w:rPr>
        <w:t>البيانات المستخدمة في النموذج القياسي</w:t>
      </w:r>
    </w:p>
    <w:p w14:paraId="5909735D" w14:textId="77777777" w:rsidR="002959BC" w:rsidRPr="00A34ECB" w:rsidRDefault="002959BC" w:rsidP="002959BC">
      <w:pPr>
        <w:jc w:val="center"/>
        <w:rPr>
          <w:rFonts w:ascii="Simplified Arabic" w:hAnsi="Simplified Arabic" w:cs="Simplified Arabic"/>
          <w:b/>
          <w:bCs/>
          <w:color w:val="000000" w:themeColor="text1"/>
          <w:sz w:val="24"/>
          <w:szCs w:val="24"/>
        </w:rPr>
      </w:pPr>
      <w:r w:rsidRPr="00A34ECB">
        <w:rPr>
          <w:rFonts w:ascii="Simplified Arabic" w:hAnsi="Simplified Arabic" w:cs="Simplified Arabic"/>
          <w:b/>
          <w:bCs/>
          <w:color w:val="000000" w:themeColor="text1"/>
          <w:sz w:val="24"/>
          <w:szCs w:val="24"/>
          <w:rtl/>
        </w:rPr>
        <w:t>خلال الفترة (1991/1992 إلى 2018/2019)</w:t>
      </w:r>
    </w:p>
    <w:tbl>
      <w:tblPr>
        <w:tblStyle w:val="TableGrid"/>
        <w:bidiVisual/>
        <w:tblW w:w="9287" w:type="dxa"/>
        <w:tblLook w:val="04A0" w:firstRow="1" w:lastRow="0" w:firstColumn="1" w:lastColumn="0" w:noHBand="0" w:noVBand="1"/>
      </w:tblPr>
      <w:tblGrid>
        <w:gridCol w:w="1332"/>
        <w:gridCol w:w="1013"/>
        <w:gridCol w:w="1013"/>
        <w:gridCol w:w="1013"/>
        <w:gridCol w:w="1013"/>
        <w:gridCol w:w="1156"/>
        <w:gridCol w:w="869"/>
        <w:gridCol w:w="939"/>
        <w:gridCol w:w="939"/>
      </w:tblGrid>
      <w:tr w:rsidR="002959BC" w:rsidRPr="00554632" w14:paraId="7A1D97BD" w14:textId="77777777" w:rsidTr="00270E6A">
        <w:trPr>
          <w:trHeight w:val="661"/>
        </w:trPr>
        <w:tc>
          <w:tcPr>
            <w:tcW w:w="1472" w:type="dxa"/>
            <w:shd w:val="clear" w:color="auto" w:fill="F2F2F2" w:themeFill="background1" w:themeFillShade="F2"/>
            <w:vAlign w:val="center"/>
          </w:tcPr>
          <w:p w14:paraId="5A9BA2AE" w14:textId="77777777" w:rsidR="002959BC" w:rsidRPr="000543DC" w:rsidRDefault="002959BC" w:rsidP="00131C6C">
            <w:pPr>
              <w:spacing w:line="216" w:lineRule="auto"/>
              <w:jc w:val="center"/>
              <w:rPr>
                <w:rFonts w:asciiTheme="minorBidi" w:hAnsiTheme="minorBidi"/>
                <w:b/>
                <w:bCs/>
                <w:sz w:val="28"/>
                <w:szCs w:val="28"/>
                <w:rtl/>
              </w:rPr>
            </w:pPr>
            <w:r>
              <w:rPr>
                <w:rFonts w:asciiTheme="minorBidi" w:hAnsiTheme="minorBidi" w:hint="cs"/>
                <w:b/>
                <w:bCs/>
                <w:sz w:val="28"/>
                <w:szCs w:val="28"/>
                <w:rtl/>
              </w:rPr>
              <w:t>العام المالي</w:t>
            </w:r>
          </w:p>
        </w:tc>
        <w:tc>
          <w:tcPr>
            <w:tcW w:w="1038" w:type="dxa"/>
            <w:shd w:val="clear" w:color="auto" w:fill="F2F2F2" w:themeFill="background1" w:themeFillShade="F2"/>
            <w:vAlign w:val="center"/>
          </w:tcPr>
          <w:p w14:paraId="1FBCDCA2" w14:textId="77777777" w:rsidR="002959BC" w:rsidRDefault="002959BC" w:rsidP="00131C6C">
            <w:pPr>
              <w:spacing w:line="216" w:lineRule="auto"/>
              <w:jc w:val="center"/>
              <w:rPr>
                <w:rFonts w:ascii="Arial" w:hAnsi="Arial" w:cs="Arial"/>
                <w:color w:val="000000"/>
                <w:sz w:val="28"/>
                <w:szCs w:val="28"/>
                <w:rtl/>
              </w:rPr>
            </w:pPr>
            <w:r>
              <w:rPr>
                <w:rFonts w:ascii="Arial" w:hAnsi="Arial" w:cs="Arial"/>
                <w:color w:val="000000"/>
                <w:sz w:val="28"/>
                <w:szCs w:val="28"/>
              </w:rPr>
              <w:t>CPI</w:t>
            </w:r>
          </w:p>
          <w:p w14:paraId="2B68EA26" w14:textId="77777777" w:rsidR="002959BC" w:rsidRDefault="002959BC" w:rsidP="00131C6C">
            <w:pPr>
              <w:spacing w:line="216" w:lineRule="auto"/>
              <w:jc w:val="center"/>
              <w:rPr>
                <w:rFonts w:ascii="Arial" w:hAnsi="Arial" w:cs="Arial"/>
                <w:color w:val="000000"/>
                <w:sz w:val="28"/>
                <w:szCs w:val="28"/>
              </w:rPr>
            </w:pPr>
            <w:r w:rsidRPr="00D233D6">
              <w:rPr>
                <w:rFonts w:cs="Arial" w:hint="eastAsia"/>
                <w:rtl/>
                <w:lang w:bidi="ar-EG"/>
              </w:rPr>
              <w:t>الرقم</w:t>
            </w:r>
            <w:r w:rsidRPr="00D233D6">
              <w:rPr>
                <w:rFonts w:cs="Arial"/>
                <w:rtl/>
                <w:lang w:bidi="ar-EG"/>
              </w:rPr>
              <w:t xml:space="preserve"> </w:t>
            </w:r>
            <w:r w:rsidRPr="00D233D6">
              <w:rPr>
                <w:rFonts w:cs="Arial" w:hint="eastAsia"/>
                <w:rtl/>
                <w:lang w:bidi="ar-EG"/>
              </w:rPr>
              <w:t>القياسي</w:t>
            </w:r>
            <w:r w:rsidRPr="00D233D6">
              <w:rPr>
                <w:rFonts w:cs="Arial"/>
                <w:rtl/>
                <w:lang w:bidi="ar-EG"/>
              </w:rPr>
              <w:t xml:space="preserve"> </w:t>
            </w:r>
            <w:r w:rsidRPr="00D233D6">
              <w:rPr>
                <w:rFonts w:cs="Arial" w:hint="eastAsia"/>
                <w:rtl/>
                <w:lang w:bidi="ar-EG"/>
              </w:rPr>
              <w:t>لأسعار</w:t>
            </w:r>
            <w:r w:rsidRPr="00D233D6">
              <w:rPr>
                <w:rFonts w:cs="Arial"/>
                <w:rtl/>
                <w:lang w:bidi="ar-EG"/>
              </w:rPr>
              <w:t xml:space="preserve"> </w:t>
            </w:r>
            <w:r w:rsidRPr="00D233D6">
              <w:rPr>
                <w:rFonts w:cs="Arial" w:hint="eastAsia"/>
                <w:rtl/>
                <w:lang w:bidi="ar-EG"/>
              </w:rPr>
              <w:t>ال</w:t>
            </w:r>
            <w:r>
              <w:rPr>
                <w:rFonts w:cs="Arial" w:hint="cs"/>
                <w:rtl/>
                <w:lang w:bidi="ar-EG"/>
              </w:rPr>
              <w:t>مستهلكين</w:t>
            </w:r>
          </w:p>
        </w:tc>
        <w:tc>
          <w:tcPr>
            <w:tcW w:w="1039" w:type="dxa"/>
            <w:shd w:val="clear" w:color="auto" w:fill="F2F2F2" w:themeFill="background1" w:themeFillShade="F2"/>
            <w:vAlign w:val="center"/>
          </w:tcPr>
          <w:p w14:paraId="72EB8F97" w14:textId="77777777" w:rsidR="002959BC" w:rsidRDefault="002959BC" w:rsidP="00131C6C">
            <w:pPr>
              <w:spacing w:line="216" w:lineRule="auto"/>
              <w:jc w:val="center"/>
              <w:rPr>
                <w:rFonts w:ascii="Arial" w:hAnsi="Arial" w:cs="Arial"/>
                <w:color w:val="000000"/>
                <w:sz w:val="28"/>
                <w:szCs w:val="28"/>
                <w:rtl/>
              </w:rPr>
            </w:pPr>
            <w:r w:rsidRPr="00585E80">
              <w:rPr>
                <w:rFonts w:asciiTheme="minorBidi" w:hAnsiTheme="minorBidi"/>
                <w:sz w:val="28"/>
                <w:szCs w:val="28"/>
                <w:vertAlign w:val="superscript"/>
                <w:rtl/>
                <w:lang w:bidi="ar-EG"/>
              </w:rPr>
              <w:t>(</w:t>
            </w:r>
            <w:r w:rsidRPr="00585E80">
              <w:rPr>
                <w:rFonts w:asciiTheme="minorBidi" w:hAnsiTheme="minorBidi"/>
                <w:sz w:val="28"/>
                <w:szCs w:val="28"/>
                <w:vertAlign w:val="superscript"/>
                <w:rtl/>
                <w:lang w:bidi="ar-EG"/>
              </w:rPr>
              <w:footnoteReference w:id="126"/>
            </w:r>
            <w:r w:rsidRPr="00585E80">
              <w:rPr>
                <w:rFonts w:asciiTheme="minorBidi" w:hAnsiTheme="minorBidi"/>
                <w:sz w:val="28"/>
                <w:szCs w:val="28"/>
                <w:vertAlign w:val="superscript"/>
                <w:rtl/>
                <w:lang w:bidi="ar-EG"/>
              </w:rPr>
              <w:t>)</w:t>
            </w:r>
            <w:r>
              <w:rPr>
                <w:rFonts w:ascii="Arial" w:hAnsi="Arial" w:cs="Arial"/>
                <w:color w:val="000000"/>
                <w:sz w:val="28"/>
                <w:szCs w:val="28"/>
              </w:rPr>
              <w:t>DB</w:t>
            </w:r>
          </w:p>
          <w:p w14:paraId="51F08140" w14:textId="77777777" w:rsidR="002959BC" w:rsidRDefault="002959BC" w:rsidP="00131C6C">
            <w:pPr>
              <w:spacing w:line="216" w:lineRule="auto"/>
              <w:jc w:val="center"/>
              <w:rPr>
                <w:rFonts w:ascii="Arial" w:hAnsi="Arial" w:cs="Arial"/>
                <w:color w:val="000000"/>
                <w:sz w:val="28"/>
                <w:szCs w:val="28"/>
              </w:rPr>
            </w:pPr>
            <w:r w:rsidRPr="00D233D6">
              <w:rPr>
                <w:rFonts w:cs="Arial" w:hint="eastAsia"/>
                <w:rtl/>
                <w:lang w:bidi="ar-EG"/>
              </w:rPr>
              <w:t>التمويل</w:t>
            </w:r>
            <w:r w:rsidRPr="00D233D6">
              <w:rPr>
                <w:rFonts w:cs="Arial"/>
                <w:rtl/>
                <w:lang w:bidi="ar-EG"/>
              </w:rPr>
              <w:t xml:space="preserve"> </w:t>
            </w:r>
            <w:r w:rsidRPr="00D233D6">
              <w:rPr>
                <w:rFonts w:cs="Arial" w:hint="eastAsia"/>
                <w:rtl/>
                <w:lang w:bidi="ar-EG"/>
              </w:rPr>
              <w:t>المصرفي</w:t>
            </w:r>
            <w:r w:rsidRPr="00D233D6">
              <w:rPr>
                <w:rFonts w:cs="Arial"/>
                <w:rtl/>
                <w:lang w:bidi="ar-EG"/>
              </w:rPr>
              <w:t xml:space="preserve"> </w:t>
            </w:r>
            <w:r w:rsidRPr="00D233D6">
              <w:rPr>
                <w:rFonts w:cs="Arial" w:hint="eastAsia"/>
                <w:rtl/>
                <w:lang w:bidi="ar-EG"/>
              </w:rPr>
              <w:t>لعجز</w:t>
            </w:r>
            <w:r w:rsidRPr="00D233D6">
              <w:rPr>
                <w:rFonts w:cs="Arial"/>
                <w:rtl/>
                <w:lang w:bidi="ar-EG"/>
              </w:rPr>
              <w:t xml:space="preserve"> </w:t>
            </w:r>
            <w:r w:rsidRPr="00D233D6">
              <w:rPr>
                <w:rFonts w:cs="Arial" w:hint="eastAsia"/>
                <w:rtl/>
                <w:lang w:bidi="ar-EG"/>
              </w:rPr>
              <w:t>الموازنة</w:t>
            </w:r>
          </w:p>
        </w:tc>
        <w:tc>
          <w:tcPr>
            <w:tcW w:w="1040" w:type="dxa"/>
            <w:shd w:val="clear" w:color="auto" w:fill="F2F2F2" w:themeFill="background1" w:themeFillShade="F2"/>
            <w:vAlign w:val="center"/>
          </w:tcPr>
          <w:p w14:paraId="129B5596" w14:textId="77777777" w:rsidR="002959BC" w:rsidRDefault="002959BC" w:rsidP="00131C6C">
            <w:pPr>
              <w:spacing w:line="216" w:lineRule="auto"/>
              <w:jc w:val="center"/>
              <w:rPr>
                <w:rFonts w:ascii="Arial" w:hAnsi="Arial" w:cs="Arial"/>
                <w:color w:val="000000"/>
                <w:sz w:val="28"/>
                <w:szCs w:val="28"/>
                <w:rtl/>
              </w:rPr>
            </w:pPr>
            <w:r>
              <w:rPr>
                <w:rFonts w:ascii="Arial" w:hAnsi="Arial" w:cs="Arial"/>
                <w:color w:val="000000"/>
                <w:sz w:val="28"/>
                <w:szCs w:val="28"/>
              </w:rPr>
              <w:t>DNB</w:t>
            </w:r>
            <w:r w:rsidRPr="004869D1">
              <w:rPr>
                <w:rFonts w:ascii="Arial" w:hAnsi="Arial" w:cs="Arial" w:hint="cs"/>
                <w:color w:val="000000"/>
                <w:sz w:val="28"/>
                <w:szCs w:val="28"/>
                <w:vertAlign w:val="superscript"/>
                <w:rtl/>
              </w:rPr>
              <w:t>(*)</w:t>
            </w:r>
          </w:p>
          <w:p w14:paraId="6C2F0D18" w14:textId="77777777" w:rsidR="002959BC" w:rsidRDefault="002959BC" w:rsidP="00131C6C">
            <w:pPr>
              <w:spacing w:line="216" w:lineRule="auto"/>
              <w:jc w:val="center"/>
              <w:rPr>
                <w:rFonts w:ascii="Arial" w:hAnsi="Arial" w:cs="Arial"/>
                <w:color w:val="000000"/>
                <w:sz w:val="28"/>
                <w:szCs w:val="28"/>
              </w:rPr>
            </w:pPr>
            <w:r w:rsidRPr="00D233D6">
              <w:rPr>
                <w:rFonts w:cs="Arial" w:hint="eastAsia"/>
                <w:rtl/>
                <w:lang w:bidi="ar-EG"/>
              </w:rPr>
              <w:t>التمويل</w:t>
            </w:r>
            <w:r w:rsidRPr="00D233D6">
              <w:rPr>
                <w:rFonts w:cs="Arial"/>
                <w:rtl/>
                <w:lang w:bidi="ar-EG"/>
              </w:rPr>
              <w:t xml:space="preserve"> </w:t>
            </w:r>
            <w:r w:rsidRPr="00D233D6">
              <w:rPr>
                <w:rFonts w:cs="Arial" w:hint="eastAsia"/>
                <w:rtl/>
                <w:lang w:bidi="ar-EG"/>
              </w:rPr>
              <w:t>غير</w:t>
            </w:r>
            <w:r w:rsidRPr="00D233D6">
              <w:rPr>
                <w:rFonts w:cs="Arial"/>
                <w:rtl/>
                <w:lang w:bidi="ar-EG"/>
              </w:rPr>
              <w:t xml:space="preserve"> </w:t>
            </w:r>
            <w:r w:rsidRPr="00D233D6">
              <w:rPr>
                <w:rFonts w:cs="Arial" w:hint="eastAsia"/>
                <w:rtl/>
                <w:lang w:bidi="ar-EG"/>
              </w:rPr>
              <w:t>المصرفي</w:t>
            </w:r>
            <w:r w:rsidRPr="00D233D6">
              <w:rPr>
                <w:rFonts w:cs="Arial"/>
                <w:rtl/>
                <w:lang w:bidi="ar-EG"/>
              </w:rPr>
              <w:t xml:space="preserve"> </w:t>
            </w:r>
            <w:r w:rsidRPr="00D233D6">
              <w:rPr>
                <w:rFonts w:cs="Arial" w:hint="eastAsia"/>
                <w:rtl/>
                <w:lang w:bidi="ar-EG"/>
              </w:rPr>
              <w:t>لعجز</w:t>
            </w:r>
            <w:r w:rsidRPr="00D233D6">
              <w:rPr>
                <w:rFonts w:cs="Arial"/>
                <w:rtl/>
                <w:lang w:bidi="ar-EG"/>
              </w:rPr>
              <w:t xml:space="preserve"> </w:t>
            </w:r>
            <w:r w:rsidRPr="00D233D6">
              <w:rPr>
                <w:rFonts w:cs="Arial" w:hint="eastAsia"/>
                <w:rtl/>
                <w:lang w:bidi="ar-EG"/>
              </w:rPr>
              <w:t>الموازنة</w:t>
            </w:r>
          </w:p>
        </w:tc>
        <w:tc>
          <w:tcPr>
            <w:tcW w:w="1039" w:type="dxa"/>
            <w:shd w:val="clear" w:color="auto" w:fill="F2F2F2" w:themeFill="background1" w:themeFillShade="F2"/>
            <w:vAlign w:val="center"/>
          </w:tcPr>
          <w:p w14:paraId="641634FF" w14:textId="77777777" w:rsidR="002959BC" w:rsidRDefault="002959BC" w:rsidP="00131C6C">
            <w:pPr>
              <w:spacing w:line="216" w:lineRule="auto"/>
              <w:jc w:val="center"/>
              <w:rPr>
                <w:rFonts w:ascii="Arial" w:hAnsi="Arial" w:cs="Arial"/>
                <w:color w:val="000000"/>
                <w:sz w:val="28"/>
                <w:szCs w:val="28"/>
                <w:rtl/>
              </w:rPr>
            </w:pPr>
            <w:r>
              <w:rPr>
                <w:rFonts w:ascii="Arial" w:hAnsi="Arial" w:cs="Arial"/>
                <w:color w:val="000000"/>
                <w:sz w:val="28"/>
                <w:szCs w:val="28"/>
              </w:rPr>
              <w:t>XF</w:t>
            </w:r>
            <w:r w:rsidRPr="004869D1">
              <w:rPr>
                <w:rFonts w:ascii="Arial" w:hAnsi="Arial" w:cs="Arial" w:hint="cs"/>
                <w:color w:val="000000"/>
                <w:sz w:val="28"/>
                <w:szCs w:val="28"/>
                <w:vertAlign w:val="superscript"/>
                <w:rtl/>
              </w:rPr>
              <w:t>(*)</w:t>
            </w:r>
          </w:p>
          <w:p w14:paraId="42FC0E67" w14:textId="77777777" w:rsidR="002959BC" w:rsidRDefault="002959BC" w:rsidP="00131C6C">
            <w:pPr>
              <w:spacing w:line="216" w:lineRule="auto"/>
              <w:jc w:val="center"/>
              <w:rPr>
                <w:rFonts w:ascii="Arial" w:hAnsi="Arial" w:cs="Arial"/>
                <w:color w:val="000000"/>
                <w:sz w:val="28"/>
                <w:szCs w:val="28"/>
              </w:rPr>
            </w:pPr>
            <w:r w:rsidRPr="00D233D6">
              <w:rPr>
                <w:rFonts w:cs="Arial" w:hint="eastAsia"/>
                <w:rtl/>
                <w:lang w:bidi="ar-EG"/>
              </w:rPr>
              <w:t>التمويل</w:t>
            </w:r>
            <w:r w:rsidRPr="00D233D6">
              <w:rPr>
                <w:rFonts w:cs="Arial"/>
                <w:rtl/>
                <w:lang w:bidi="ar-EG"/>
              </w:rPr>
              <w:t xml:space="preserve"> </w:t>
            </w:r>
            <w:r w:rsidRPr="00D233D6">
              <w:rPr>
                <w:rFonts w:cs="Arial" w:hint="eastAsia"/>
                <w:rtl/>
                <w:lang w:bidi="ar-EG"/>
              </w:rPr>
              <w:t>الخارجي</w:t>
            </w:r>
            <w:r w:rsidRPr="00D233D6">
              <w:rPr>
                <w:rFonts w:cs="Arial"/>
                <w:rtl/>
                <w:lang w:bidi="ar-EG"/>
              </w:rPr>
              <w:t xml:space="preserve"> </w:t>
            </w:r>
            <w:r w:rsidRPr="00D233D6">
              <w:rPr>
                <w:rFonts w:cs="Arial" w:hint="eastAsia"/>
                <w:rtl/>
                <w:lang w:bidi="ar-EG"/>
              </w:rPr>
              <w:t>لعجز</w:t>
            </w:r>
            <w:r w:rsidRPr="00D233D6">
              <w:rPr>
                <w:rFonts w:cs="Arial"/>
                <w:rtl/>
                <w:lang w:bidi="ar-EG"/>
              </w:rPr>
              <w:t xml:space="preserve"> </w:t>
            </w:r>
            <w:r w:rsidRPr="00D233D6">
              <w:rPr>
                <w:rFonts w:cs="Arial" w:hint="eastAsia"/>
                <w:rtl/>
                <w:lang w:bidi="ar-EG"/>
              </w:rPr>
              <w:t>الموازنة</w:t>
            </w:r>
          </w:p>
        </w:tc>
        <w:tc>
          <w:tcPr>
            <w:tcW w:w="1039" w:type="dxa"/>
            <w:shd w:val="clear" w:color="auto" w:fill="F2F2F2" w:themeFill="background1" w:themeFillShade="F2"/>
            <w:vAlign w:val="center"/>
          </w:tcPr>
          <w:p w14:paraId="5AC1513E" w14:textId="77777777" w:rsidR="002959BC" w:rsidRDefault="002959BC" w:rsidP="00131C6C">
            <w:pPr>
              <w:spacing w:line="216" w:lineRule="auto"/>
              <w:jc w:val="center"/>
              <w:rPr>
                <w:rFonts w:ascii="Arial" w:hAnsi="Arial" w:cs="Arial"/>
                <w:color w:val="000000"/>
                <w:sz w:val="28"/>
                <w:szCs w:val="28"/>
                <w:rtl/>
              </w:rPr>
            </w:pPr>
            <w:r>
              <w:rPr>
                <w:rFonts w:ascii="Arial" w:hAnsi="Arial" w:cs="Arial"/>
                <w:color w:val="000000"/>
                <w:sz w:val="28"/>
                <w:szCs w:val="28"/>
              </w:rPr>
              <w:t>XP</w:t>
            </w:r>
            <w:r w:rsidRPr="004869D1">
              <w:rPr>
                <w:rFonts w:ascii="Arial" w:hAnsi="Arial" w:cs="Arial" w:hint="cs"/>
                <w:color w:val="000000"/>
                <w:sz w:val="28"/>
                <w:szCs w:val="28"/>
                <w:vertAlign w:val="superscript"/>
                <w:rtl/>
              </w:rPr>
              <w:t>(*)</w:t>
            </w:r>
          </w:p>
          <w:p w14:paraId="4556B0D5" w14:textId="77777777" w:rsidR="002959BC" w:rsidRDefault="002959BC" w:rsidP="00131C6C">
            <w:pPr>
              <w:spacing w:line="216" w:lineRule="auto"/>
              <w:jc w:val="center"/>
              <w:rPr>
                <w:rFonts w:ascii="Arial" w:hAnsi="Arial" w:cs="Arial"/>
                <w:color w:val="000000"/>
                <w:sz w:val="28"/>
                <w:szCs w:val="28"/>
              </w:rPr>
            </w:pPr>
            <w:r w:rsidRPr="00D233D6">
              <w:rPr>
                <w:rFonts w:cs="Arial" w:hint="eastAsia"/>
                <w:rtl/>
                <w:lang w:bidi="ar-EG"/>
              </w:rPr>
              <w:t>أسعار</w:t>
            </w:r>
            <w:r w:rsidRPr="00D233D6">
              <w:rPr>
                <w:rFonts w:cs="Arial"/>
                <w:rtl/>
                <w:lang w:bidi="ar-EG"/>
              </w:rPr>
              <w:t xml:space="preserve"> </w:t>
            </w:r>
            <w:r w:rsidRPr="00D233D6">
              <w:rPr>
                <w:rFonts w:cs="Arial" w:hint="eastAsia"/>
                <w:rtl/>
                <w:lang w:bidi="ar-EG"/>
              </w:rPr>
              <w:t>الواردات</w:t>
            </w:r>
            <w:r>
              <w:rPr>
                <w:rFonts w:cs="Arial" w:hint="cs"/>
                <w:rtl/>
                <w:lang w:bidi="ar-EG"/>
              </w:rPr>
              <w:t xml:space="preserve"> بالأسعار الثابتة</w:t>
            </w:r>
          </w:p>
        </w:tc>
        <w:tc>
          <w:tcPr>
            <w:tcW w:w="925" w:type="dxa"/>
            <w:shd w:val="clear" w:color="auto" w:fill="F2F2F2" w:themeFill="background1" w:themeFillShade="F2"/>
            <w:vAlign w:val="center"/>
          </w:tcPr>
          <w:p w14:paraId="29CAB824" w14:textId="77777777" w:rsidR="002959BC" w:rsidRDefault="002959BC" w:rsidP="00131C6C">
            <w:pPr>
              <w:spacing w:line="216" w:lineRule="auto"/>
              <w:jc w:val="center"/>
              <w:rPr>
                <w:rFonts w:ascii="Arial" w:hAnsi="Arial" w:cs="Arial"/>
                <w:color w:val="000000"/>
                <w:sz w:val="28"/>
                <w:szCs w:val="28"/>
                <w:rtl/>
              </w:rPr>
            </w:pPr>
            <w:r w:rsidRPr="00585E80">
              <w:rPr>
                <w:rFonts w:asciiTheme="minorBidi" w:hAnsiTheme="minorBidi"/>
                <w:sz w:val="28"/>
                <w:szCs w:val="28"/>
                <w:vertAlign w:val="superscript"/>
                <w:rtl/>
                <w:lang w:bidi="ar-EG"/>
              </w:rPr>
              <w:t>(</w:t>
            </w:r>
            <w:r w:rsidRPr="00585E80">
              <w:rPr>
                <w:rFonts w:asciiTheme="minorBidi" w:hAnsiTheme="minorBidi"/>
                <w:sz w:val="28"/>
                <w:szCs w:val="28"/>
                <w:vertAlign w:val="superscript"/>
                <w:rtl/>
                <w:lang w:bidi="ar-EG"/>
              </w:rPr>
              <w:footnoteReference w:id="127"/>
            </w:r>
            <w:r w:rsidRPr="00585E80">
              <w:rPr>
                <w:rFonts w:asciiTheme="minorBidi" w:hAnsiTheme="minorBidi"/>
                <w:sz w:val="28"/>
                <w:szCs w:val="28"/>
                <w:vertAlign w:val="superscript"/>
                <w:rtl/>
                <w:lang w:bidi="ar-EG"/>
              </w:rPr>
              <w:t>)</w:t>
            </w:r>
            <w:r>
              <w:rPr>
                <w:rFonts w:ascii="Arial" w:hAnsi="Arial" w:cs="Arial"/>
                <w:color w:val="000000"/>
                <w:sz w:val="28"/>
                <w:szCs w:val="28"/>
              </w:rPr>
              <w:t>M</w:t>
            </w:r>
          </w:p>
          <w:p w14:paraId="610711F8" w14:textId="77777777" w:rsidR="002959BC" w:rsidRDefault="002959BC" w:rsidP="00131C6C">
            <w:pPr>
              <w:spacing w:line="216" w:lineRule="auto"/>
              <w:jc w:val="center"/>
              <w:rPr>
                <w:rFonts w:ascii="Arial" w:hAnsi="Arial" w:cs="Arial"/>
                <w:color w:val="000000"/>
                <w:sz w:val="28"/>
                <w:szCs w:val="28"/>
              </w:rPr>
            </w:pPr>
            <w:r w:rsidRPr="00D233D6">
              <w:rPr>
                <w:rFonts w:cs="Arial" w:hint="eastAsia"/>
                <w:rtl/>
                <w:lang w:bidi="ar-EG"/>
              </w:rPr>
              <w:t>المعروض</w:t>
            </w:r>
            <w:r w:rsidRPr="00D233D6">
              <w:rPr>
                <w:rFonts w:cs="Arial"/>
                <w:rtl/>
                <w:lang w:bidi="ar-EG"/>
              </w:rPr>
              <w:t xml:space="preserve"> </w:t>
            </w:r>
            <w:r w:rsidRPr="00D233D6">
              <w:rPr>
                <w:rFonts w:cs="Arial" w:hint="eastAsia"/>
                <w:rtl/>
                <w:lang w:bidi="ar-EG"/>
              </w:rPr>
              <w:t>النقدي</w:t>
            </w:r>
            <w:r>
              <w:rPr>
                <w:rFonts w:cs="Arial" w:hint="cs"/>
                <w:rtl/>
                <w:lang w:bidi="ar-EG"/>
              </w:rPr>
              <w:t xml:space="preserve"> </w:t>
            </w:r>
          </w:p>
        </w:tc>
        <w:tc>
          <w:tcPr>
            <w:tcW w:w="890" w:type="dxa"/>
            <w:shd w:val="clear" w:color="auto" w:fill="F2F2F2" w:themeFill="background1" w:themeFillShade="F2"/>
            <w:vAlign w:val="center"/>
          </w:tcPr>
          <w:p w14:paraId="67494F94" w14:textId="77777777" w:rsidR="002959BC" w:rsidRDefault="002959BC" w:rsidP="00131C6C">
            <w:pPr>
              <w:spacing w:line="216" w:lineRule="auto"/>
              <w:jc w:val="center"/>
              <w:rPr>
                <w:rFonts w:ascii="Arial" w:hAnsi="Arial" w:cs="Arial"/>
                <w:color w:val="000000"/>
                <w:sz w:val="28"/>
                <w:szCs w:val="28"/>
                <w:rtl/>
              </w:rPr>
            </w:pPr>
            <w:r>
              <w:rPr>
                <w:rFonts w:ascii="Arial" w:hAnsi="Arial" w:cs="Arial"/>
                <w:color w:val="000000"/>
                <w:sz w:val="28"/>
                <w:szCs w:val="28"/>
              </w:rPr>
              <w:t>EX</w:t>
            </w:r>
            <w:r w:rsidRPr="00585E80">
              <w:rPr>
                <w:rFonts w:asciiTheme="minorBidi" w:hAnsiTheme="minorBidi"/>
                <w:sz w:val="28"/>
                <w:szCs w:val="28"/>
                <w:vertAlign w:val="superscript"/>
                <w:rtl/>
                <w:lang w:bidi="ar-EG"/>
              </w:rPr>
              <w:t>(</w:t>
            </w:r>
            <w:r w:rsidRPr="00585E80">
              <w:rPr>
                <w:rFonts w:asciiTheme="minorBidi" w:hAnsiTheme="minorBidi"/>
                <w:sz w:val="28"/>
                <w:szCs w:val="28"/>
                <w:vertAlign w:val="superscript"/>
                <w:rtl/>
                <w:lang w:bidi="ar-EG"/>
              </w:rPr>
              <w:footnoteReference w:id="128"/>
            </w:r>
            <w:r w:rsidRPr="00585E80">
              <w:rPr>
                <w:rFonts w:asciiTheme="minorBidi" w:hAnsiTheme="minorBidi"/>
                <w:sz w:val="28"/>
                <w:szCs w:val="28"/>
                <w:vertAlign w:val="superscript"/>
                <w:rtl/>
                <w:lang w:bidi="ar-EG"/>
              </w:rPr>
              <w:t>)</w:t>
            </w:r>
          </w:p>
          <w:p w14:paraId="027EBD9B" w14:textId="77777777" w:rsidR="002959BC" w:rsidRDefault="002959BC" w:rsidP="00131C6C">
            <w:pPr>
              <w:spacing w:line="216" w:lineRule="auto"/>
              <w:jc w:val="center"/>
              <w:rPr>
                <w:rFonts w:ascii="Arial" w:hAnsi="Arial" w:cs="Arial"/>
                <w:color w:val="000000"/>
                <w:sz w:val="28"/>
                <w:szCs w:val="28"/>
              </w:rPr>
            </w:pPr>
            <w:r w:rsidRPr="00D233D6">
              <w:rPr>
                <w:rFonts w:cs="Arial" w:hint="eastAsia"/>
                <w:rtl/>
                <w:lang w:bidi="ar-EG"/>
              </w:rPr>
              <w:t>سعر</w:t>
            </w:r>
            <w:r w:rsidRPr="00D233D6">
              <w:rPr>
                <w:rFonts w:cs="Arial"/>
                <w:rtl/>
                <w:lang w:bidi="ar-EG"/>
              </w:rPr>
              <w:t xml:space="preserve"> </w:t>
            </w:r>
            <w:r>
              <w:rPr>
                <w:rFonts w:cs="Arial" w:hint="cs"/>
                <w:rtl/>
                <w:lang w:bidi="ar-EG"/>
              </w:rPr>
              <w:t>الصرف</w:t>
            </w:r>
          </w:p>
        </w:tc>
        <w:tc>
          <w:tcPr>
            <w:tcW w:w="805" w:type="dxa"/>
            <w:shd w:val="clear" w:color="auto" w:fill="F2F2F2" w:themeFill="background1" w:themeFillShade="F2"/>
            <w:vAlign w:val="center"/>
          </w:tcPr>
          <w:p w14:paraId="533C98CE" w14:textId="77777777" w:rsidR="002959BC" w:rsidRDefault="002959BC" w:rsidP="00131C6C">
            <w:pPr>
              <w:spacing w:line="216" w:lineRule="auto"/>
              <w:jc w:val="center"/>
              <w:rPr>
                <w:rFonts w:asciiTheme="minorBidi" w:hAnsiTheme="minorBidi"/>
                <w:sz w:val="28"/>
                <w:szCs w:val="28"/>
                <w:vertAlign w:val="superscript"/>
                <w:rtl/>
                <w:lang w:bidi="ar-EG"/>
              </w:rPr>
            </w:pPr>
            <w:r w:rsidRPr="00585E80">
              <w:rPr>
                <w:rFonts w:asciiTheme="minorBidi" w:hAnsiTheme="minorBidi"/>
                <w:sz w:val="28"/>
                <w:szCs w:val="28"/>
                <w:vertAlign w:val="superscript"/>
                <w:rtl/>
                <w:lang w:bidi="ar-EG"/>
              </w:rPr>
              <w:t>(</w:t>
            </w:r>
            <w:r w:rsidRPr="00585E80">
              <w:rPr>
                <w:rFonts w:asciiTheme="minorBidi" w:hAnsiTheme="minorBidi"/>
                <w:sz w:val="28"/>
                <w:szCs w:val="28"/>
                <w:vertAlign w:val="superscript"/>
                <w:rtl/>
                <w:lang w:bidi="ar-EG"/>
              </w:rPr>
              <w:footnoteReference w:id="129"/>
            </w:r>
            <w:r w:rsidRPr="00585E80">
              <w:rPr>
                <w:rFonts w:asciiTheme="minorBidi" w:hAnsiTheme="minorBidi"/>
                <w:sz w:val="28"/>
                <w:szCs w:val="28"/>
                <w:vertAlign w:val="superscript"/>
                <w:rtl/>
                <w:lang w:bidi="ar-EG"/>
              </w:rPr>
              <w:t>)</w:t>
            </w:r>
            <w:r>
              <w:rPr>
                <w:rFonts w:ascii="Arial" w:hAnsi="Arial" w:cs="Arial"/>
                <w:color w:val="000000"/>
                <w:sz w:val="28"/>
                <w:szCs w:val="28"/>
              </w:rPr>
              <w:t>PS</w:t>
            </w:r>
          </w:p>
          <w:p w14:paraId="56BF0B33" w14:textId="77777777" w:rsidR="002959BC" w:rsidRDefault="002959BC" w:rsidP="00131C6C">
            <w:pPr>
              <w:spacing w:line="216" w:lineRule="auto"/>
              <w:jc w:val="center"/>
              <w:rPr>
                <w:rFonts w:ascii="Arial" w:hAnsi="Arial" w:cs="Arial"/>
                <w:color w:val="000000"/>
                <w:sz w:val="28"/>
                <w:szCs w:val="28"/>
              </w:rPr>
            </w:pPr>
            <w:r w:rsidRPr="00D233D6">
              <w:rPr>
                <w:rFonts w:cs="Arial" w:hint="eastAsia"/>
                <w:rtl/>
                <w:lang w:bidi="ar-EG"/>
              </w:rPr>
              <w:t>متغير</w:t>
            </w:r>
            <w:r w:rsidRPr="00D233D6">
              <w:rPr>
                <w:rFonts w:cs="Arial"/>
                <w:rtl/>
                <w:lang w:bidi="ar-EG"/>
              </w:rPr>
              <w:t xml:space="preserve"> </w:t>
            </w:r>
            <w:r w:rsidRPr="00D233D6">
              <w:rPr>
                <w:rFonts w:cs="Arial" w:hint="eastAsia"/>
                <w:rtl/>
                <w:lang w:bidi="ar-EG"/>
              </w:rPr>
              <w:t>وهمي</w:t>
            </w:r>
          </w:p>
        </w:tc>
      </w:tr>
      <w:tr w:rsidR="002959BC" w:rsidRPr="00554632" w14:paraId="2009B577" w14:textId="77777777" w:rsidTr="00270E6A">
        <w:trPr>
          <w:trHeight w:val="317"/>
        </w:trPr>
        <w:tc>
          <w:tcPr>
            <w:tcW w:w="1472" w:type="dxa"/>
            <w:vAlign w:val="center"/>
          </w:tcPr>
          <w:p w14:paraId="5C53234C" w14:textId="77777777" w:rsidR="002959BC" w:rsidRPr="00D233D6" w:rsidRDefault="002959BC" w:rsidP="00131C6C">
            <w:pPr>
              <w:spacing w:line="216" w:lineRule="auto"/>
              <w:jc w:val="both"/>
              <w:rPr>
                <w:sz w:val="26"/>
                <w:szCs w:val="26"/>
              </w:rPr>
            </w:pPr>
            <w:r w:rsidRPr="00D233D6">
              <w:rPr>
                <w:sz w:val="26"/>
                <w:szCs w:val="26"/>
              </w:rPr>
              <w:t>1991/1992</w:t>
            </w:r>
          </w:p>
        </w:tc>
        <w:tc>
          <w:tcPr>
            <w:tcW w:w="1038" w:type="dxa"/>
            <w:vAlign w:val="bottom"/>
          </w:tcPr>
          <w:p w14:paraId="7C7DFB57"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22.93</w:t>
            </w:r>
          </w:p>
        </w:tc>
        <w:tc>
          <w:tcPr>
            <w:tcW w:w="1039" w:type="dxa"/>
            <w:vAlign w:val="bottom"/>
          </w:tcPr>
          <w:p w14:paraId="0820258E"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-3.46</w:t>
            </w:r>
          </w:p>
        </w:tc>
        <w:tc>
          <w:tcPr>
            <w:tcW w:w="1040" w:type="dxa"/>
            <w:vAlign w:val="bottom"/>
          </w:tcPr>
          <w:p w14:paraId="544D7042"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7.68</w:t>
            </w:r>
          </w:p>
        </w:tc>
        <w:tc>
          <w:tcPr>
            <w:tcW w:w="1039" w:type="dxa"/>
            <w:vAlign w:val="bottom"/>
          </w:tcPr>
          <w:p w14:paraId="39D86C3E"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1.78</w:t>
            </w:r>
          </w:p>
        </w:tc>
        <w:tc>
          <w:tcPr>
            <w:tcW w:w="1039" w:type="dxa"/>
            <w:vAlign w:val="bottom"/>
          </w:tcPr>
          <w:p w14:paraId="3EBD5F50"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169.94</w:t>
            </w:r>
          </w:p>
        </w:tc>
        <w:tc>
          <w:tcPr>
            <w:tcW w:w="925" w:type="dxa"/>
            <w:vAlign w:val="bottom"/>
          </w:tcPr>
          <w:p w14:paraId="01FE6346"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87.52</w:t>
            </w:r>
          </w:p>
        </w:tc>
        <w:tc>
          <w:tcPr>
            <w:tcW w:w="890" w:type="dxa"/>
            <w:vAlign w:val="bottom"/>
          </w:tcPr>
          <w:p w14:paraId="1733146D"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3.14</w:t>
            </w:r>
          </w:p>
        </w:tc>
        <w:tc>
          <w:tcPr>
            <w:tcW w:w="805" w:type="dxa"/>
            <w:vAlign w:val="bottom"/>
          </w:tcPr>
          <w:p w14:paraId="1DA36295"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0</w:t>
            </w:r>
          </w:p>
        </w:tc>
      </w:tr>
      <w:tr w:rsidR="002959BC" w:rsidRPr="00554632" w14:paraId="7D9E4F55" w14:textId="77777777" w:rsidTr="00270E6A">
        <w:trPr>
          <w:trHeight w:val="317"/>
        </w:trPr>
        <w:tc>
          <w:tcPr>
            <w:tcW w:w="1472" w:type="dxa"/>
            <w:vAlign w:val="center"/>
          </w:tcPr>
          <w:p w14:paraId="2F8346B6" w14:textId="77777777" w:rsidR="002959BC" w:rsidRPr="00D233D6" w:rsidRDefault="002959BC" w:rsidP="00131C6C">
            <w:pPr>
              <w:spacing w:line="216" w:lineRule="auto"/>
              <w:jc w:val="both"/>
              <w:rPr>
                <w:sz w:val="26"/>
                <w:szCs w:val="26"/>
              </w:rPr>
            </w:pPr>
            <w:r w:rsidRPr="00D233D6">
              <w:rPr>
                <w:sz w:val="26"/>
                <w:szCs w:val="26"/>
              </w:rPr>
              <w:t>1992/1993</w:t>
            </w:r>
          </w:p>
        </w:tc>
        <w:tc>
          <w:tcPr>
            <w:tcW w:w="1038" w:type="dxa"/>
            <w:vAlign w:val="bottom"/>
          </w:tcPr>
          <w:p w14:paraId="5A3C7B99"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26.06</w:t>
            </w:r>
          </w:p>
        </w:tc>
        <w:tc>
          <w:tcPr>
            <w:tcW w:w="1039" w:type="dxa"/>
            <w:vAlign w:val="bottom"/>
          </w:tcPr>
          <w:p w14:paraId="5D5E815C"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-3.20</w:t>
            </w:r>
          </w:p>
        </w:tc>
        <w:tc>
          <w:tcPr>
            <w:tcW w:w="1040" w:type="dxa"/>
            <w:vAlign w:val="bottom"/>
          </w:tcPr>
          <w:p w14:paraId="0D958C07"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8.42</w:t>
            </w:r>
          </w:p>
        </w:tc>
        <w:tc>
          <w:tcPr>
            <w:tcW w:w="1039" w:type="dxa"/>
            <w:vAlign w:val="bottom"/>
          </w:tcPr>
          <w:p w14:paraId="3D29A7B5"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0.30</w:t>
            </w:r>
          </w:p>
        </w:tc>
        <w:tc>
          <w:tcPr>
            <w:tcW w:w="1039" w:type="dxa"/>
            <w:vAlign w:val="bottom"/>
          </w:tcPr>
          <w:p w14:paraId="0213A951"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162.04</w:t>
            </w:r>
          </w:p>
        </w:tc>
        <w:tc>
          <w:tcPr>
            <w:tcW w:w="925" w:type="dxa"/>
            <w:vAlign w:val="bottom"/>
          </w:tcPr>
          <w:p w14:paraId="475344BE"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84.54</w:t>
            </w:r>
          </w:p>
        </w:tc>
        <w:tc>
          <w:tcPr>
            <w:tcW w:w="890" w:type="dxa"/>
            <w:vAlign w:val="bottom"/>
          </w:tcPr>
          <w:p w14:paraId="60810F54"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3.32</w:t>
            </w:r>
          </w:p>
        </w:tc>
        <w:tc>
          <w:tcPr>
            <w:tcW w:w="805" w:type="dxa"/>
            <w:vAlign w:val="center"/>
          </w:tcPr>
          <w:p w14:paraId="52360658" w14:textId="77777777" w:rsidR="002959BC" w:rsidRPr="00D233D6" w:rsidRDefault="002959BC" w:rsidP="00131C6C">
            <w:pPr>
              <w:spacing w:line="216" w:lineRule="auto"/>
              <w:jc w:val="center"/>
              <w:rPr>
                <w:sz w:val="26"/>
                <w:szCs w:val="26"/>
              </w:rPr>
            </w:pPr>
            <w:r w:rsidRPr="00D233D6">
              <w:rPr>
                <w:rFonts w:ascii="Arial" w:hAnsi="Arial" w:cs="Arial"/>
                <w:color w:val="000000"/>
                <w:sz w:val="26"/>
                <w:szCs w:val="26"/>
              </w:rPr>
              <w:t>0</w:t>
            </w:r>
          </w:p>
        </w:tc>
      </w:tr>
      <w:tr w:rsidR="002959BC" w:rsidRPr="00554632" w14:paraId="4264D7AB" w14:textId="77777777" w:rsidTr="00270E6A">
        <w:trPr>
          <w:trHeight w:val="317"/>
        </w:trPr>
        <w:tc>
          <w:tcPr>
            <w:tcW w:w="1472" w:type="dxa"/>
            <w:vAlign w:val="center"/>
          </w:tcPr>
          <w:p w14:paraId="3D566943" w14:textId="77777777" w:rsidR="002959BC" w:rsidRPr="00D233D6" w:rsidRDefault="002959BC" w:rsidP="00131C6C">
            <w:pPr>
              <w:spacing w:line="216" w:lineRule="auto"/>
              <w:jc w:val="both"/>
              <w:rPr>
                <w:sz w:val="26"/>
                <w:szCs w:val="26"/>
              </w:rPr>
            </w:pPr>
            <w:r w:rsidRPr="00D233D6">
              <w:rPr>
                <w:sz w:val="26"/>
                <w:szCs w:val="26"/>
              </w:rPr>
              <w:t>1993/1994</w:t>
            </w:r>
          </w:p>
        </w:tc>
        <w:tc>
          <w:tcPr>
            <w:tcW w:w="1038" w:type="dxa"/>
            <w:vAlign w:val="bottom"/>
          </w:tcPr>
          <w:p w14:paraId="37111312"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29.21</w:t>
            </w:r>
          </w:p>
        </w:tc>
        <w:tc>
          <w:tcPr>
            <w:tcW w:w="1039" w:type="dxa"/>
            <w:vAlign w:val="bottom"/>
          </w:tcPr>
          <w:p w14:paraId="25156A50"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-0.21</w:t>
            </w:r>
          </w:p>
        </w:tc>
        <w:tc>
          <w:tcPr>
            <w:tcW w:w="1040" w:type="dxa"/>
            <w:vAlign w:val="bottom"/>
          </w:tcPr>
          <w:p w14:paraId="419C518F"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3.44</w:t>
            </w:r>
          </w:p>
        </w:tc>
        <w:tc>
          <w:tcPr>
            <w:tcW w:w="1039" w:type="dxa"/>
            <w:vAlign w:val="bottom"/>
          </w:tcPr>
          <w:p w14:paraId="24F1B444"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0.46</w:t>
            </w:r>
          </w:p>
        </w:tc>
        <w:tc>
          <w:tcPr>
            <w:tcW w:w="1039" w:type="dxa"/>
            <w:vAlign w:val="bottom"/>
          </w:tcPr>
          <w:p w14:paraId="679D5BF5"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182.40</w:t>
            </w:r>
          </w:p>
        </w:tc>
        <w:tc>
          <w:tcPr>
            <w:tcW w:w="925" w:type="dxa"/>
            <w:vAlign w:val="bottom"/>
          </w:tcPr>
          <w:p w14:paraId="1ADDBC3E"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85.81</w:t>
            </w:r>
          </w:p>
        </w:tc>
        <w:tc>
          <w:tcPr>
            <w:tcW w:w="890" w:type="dxa"/>
            <w:vAlign w:val="bottom"/>
          </w:tcPr>
          <w:p w14:paraId="478B6220"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3.35</w:t>
            </w:r>
          </w:p>
        </w:tc>
        <w:tc>
          <w:tcPr>
            <w:tcW w:w="805" w:type="dxa"/>
            <w:vAlign w:val="center"/>
          </w:tcPr>
          <w:p w14:paraId="49404A07" w14:textId="77777777" w:rsidR="002959BC" w:rsidRPr="00D233D6" w:rsidRDefault="002959BC" w:rsidP="00131C6C">
            <w:pPr>
              <w:spacing w:line="216" w:lineRule="auto"/>
              <w:jc w:val="center"/>
              <w:rPr>
                <w:sz w:val="26"/>
                <w:szCs w:val="26"/>
              </w:rPr>
            </w:pPr>
            <w:r w:rsidRPr="00D233D6">
              <w:rPr>
                <w:rFonts w:ascii="Arial" w:hAnsi="Arial" w:cs="Arial"/>
                <w:color w:val="000000"/>
                <w:sz w:val="26"/>
                <w:szCs w:val="26"/>
              </w:rPr>
              <w:t>0</w:t>
            </w:r>
          </w:p>
        </w:tc>
      </w:tr>
      <w:tr w:rsidR="002959BC" w:rsidRPr="00554632" w14:paraId="07496E4A" w14:textId="77777777" w:rsidTr="00270E6A">
        <w:trPr>
          <w:trHeight w:val="317"/>
        </w:trPr>
        <w:tc>
          <w:tcPr>
            <w:tcW w:w="1472" w:type="dxa"/>
            <w:vAlign w:val="center"/>
          </w:tcPr>
          <w:p w14:paraId="31B28EE4" w14:textId="77777777" w:rsidR="002959BC" w:rsidRPr="00D233D6" w:rsidRDefault="002959BC" w:rsidP="00131C6C">
            <w:pPr>
              <w:spacing w:line="216" w:lineRule="auto"/>
              <w:jc w:val="both"/>
              <w:rPr>
                <w:sz w:val="26"/>
                <w:szCs w:val="26"/>
              </w:rPr>
            </w:pPr>
            <w:r w:rsidRPr="00D233D6">
              <w:rPr>
                <w:sz w:val="26"/>
                <w:szCs w:val="26"/>
              </w:rPr>
              <w:t>1994/1995</w:t>
            </w:r>
          </w:p>
        </w:tc>
        <w:tc>
          <w:tcPr>
            <w:tcW w:w="1038" w:type="dxa"/>
            <w:vAlign w:val="bottom"/>
          </w:tcPr>
          <w:p w14:paraId="2A209D84"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31.59</w:t>
            </w:r>
          </w:p>
        </w:tc>
        <w:tc>
          <w:tcPr>
            <w:tcW w:w="1039" w:type="dxa"/>
            <w:vAlign w:val="bottom"/>
          </w:tcPr>
          <w:p w14:paraId="40479EE1"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-1.12</w:t>
            </w:r>
          </w:p>
        </w:tc>
        <w:tc>
          <w:tcPr>
            <w:tcW w:w="1040" w:type="dxa"/>
            <w:vAlign w:val="bottom"/>
          </w:tcPr>
          <w:p w14:paraId="16A6F3FC"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3.93</w:t>
            </w:r>
          </w:p>
        </w:tc>
        <w:tc>
          <w:tcPr>
            <w:tcW w:w="1039" w:type="dxa"/>
            <w:vAlign w:val="bottom"/>
          </w:tcPr>
          <w:p w14:paraId="1DEAC0A6"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-0.28</w:t>
            </w:r>
          </w:p>
        </w:tc>
        <w:tc>
          <w:tcPr>
            <w:tcW w:w="1039" w:type="dxa"/>
            <w:vAlign w:val="bottom"/>
          </w:tcPr>
          <w:p w14:paraId="51ED5953"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184.63</w:t>
            </w:r>
          </w:p>
        </w:tc>
        <w:tc>
          <w:tcPr>
            <w:tcW w:w="925" w:type="dxa"/>
            <w:vAlign w:val="bottom"/>
          </w:tcPr>
          <w:p w14:paraId="1988A7C3"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84.63</w:t>
            </w:r>
          </w:p>
        </w:tc>
        <w:tc>
          <w:tcPr>
            <w:tcW w:w="890" w:type="dxa"/>
            <w:vAlign w:val="bottom"/>
          </w:tcPr>
          <w:p w14:paraId="2A9898D1"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3.39</w:t>
            </w:r>
          </w:p>
        </w:tc>
        <w:tc>
          <w:tcPr>
            <w:tcW w:w="805" w:type="dxa"/>
            <w:vAlign w:val="center"/>
          </w:tcPr>
          <w:p w14:paraId="3B2B4D83" w14:textId="77777777" w:rsidR="002959BC" w:rsidRPr="00D233D6" w:rsidRDefault="002959BC" w:rsidP="00131C6C">
            <w:pPr>
              <w:spacing w:line="216" w:lineRule="auto"/>
              <w:jc w:val="center"/>
              <w:rPr>
                <w:sz w:val="26"/>
                <w:szCs w:val="26"/>
              </w:rPr>
            </w:pPr>
            <w:r w:rsidRPr="00D233D6">
              <w:rPr>
                <w:rFonts w:ascii="Arial" w:hAnsi="Arial" w:cs="Arial"/>
                <w:color w:val="000000"/>
                <w:sz w:val="26"/>
                <w:szCs w:val="26"/>
              </w:rPr>
              <w:t>0</w:t>
            </w:r>
          </w:p>
        </w:tc>
      </w:tr>
      <w:tr w:rsidR="002959BC" w:rsidRPr="00554632" w14:paraId="0D4E5713" w14:textId="77777777" w:rsidTr="00270E6A">
        <w:trPr>
          <w:trHeight w:val="317"/>
        </w:trPr>
        <w:tc>
          <w:tcPr>
            <w:tcW w:w="1472" w:type="dxa"/>
            <w:vAlign w:val="center"/>
          </w:tcPr>
          <w:p w14:paraId="2718BC3D" w14:textId="77777777" w:rsidR="002959BC" w:rsidRPr="00D233D6" w:rsidRDefault="002959BC" w:rsidP="00131C6C">
            <w:pPr>
              <w:spacing w:line="216" w:lineRule="auto"/>
              <w:jc w:val="both"/>
              <w:rPr>
                <w:sz w:val="26"/>
                <w:szCs w:val="26"/>
              </w:rPr>
            </w:pPr>
            <w:r w:rsidRPr="00D233D6">
              <w:rPr>
                <w:sz w:val="26"/>
                <w:szCs w:val="26"/>
              </w:rPr>
              <w:t>1995/1996</w:t>
            </w:r>
          </w:p>
        </w:tc>
        <w:tc>
          <w:tcPr>
            <w:tcW w:w="1038" w:type="dxa"/>
            <w:vAlign w:val="bottom"/>
          </w:tcPr>
          <w:p w14:paraId="7AFA4234"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36.56</w:t>
            </w:r>
          </w:p>
        </w:tc>
        <w:tc>
          <w:tcPr>
            <w:tcW w:w="1039" w:type="dxa"/>
            <w:vAlign w:val="bottom"/>
          </w:tcPr>
          <w:p w14:paraId="6DCAC11F"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4.57</w:t>
            </w:r>
          </w:p>
        </w:tc>
        <w:tc>
          <w:tcPr>
            <w:tcW w:w="1040" w:type="dxa"/>
            <w:vAlign w:val="bottom"/>
          </w:tcPr>
          <w:p w14:paraId="165FA266"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-0.23</w:t>
            </w:r>
          </w:p>
        </w:tc>
        <w:tc>
          <w:tcPr>
            <w:tcW w:w="1039" w:type="dxa"/>
            <w:vAlign w:val="bottom"/>
          </w:tcPr>
          <w:p w14:paraId="6DE5D854"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-1.34</w:t>
            </w:r>
          </w:p>
        </w:tc>
        <w:tc>
          <w:tcPr>
            <w:tcW w:w="1039" w:type="dxa"/>
            <w:vAlign w:val="bottom"/>
          </w:tcPr>
          <w:p w14:paraId="25A8EDFA"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192.60</w:t>
            </w:r>
          </w:p>
        </w:tc>
        <w:tc>
          <w:tcPr>
            <w:tcW w:w="925" w:type="dxa"/>
            <w:vAlign w:val="bottom"/>
          </w:tcPr>
          <w:p w14:paraId="5CBE532E"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79.79</w:t>
            </w:r>
          </w:p>
        </w:tc>
        <w:tc>
          <w:tcPr>
            <w:tcW w:w="890" w:type="dxa"/>
            <w:vAlign w:val="bottom"/>
          </w:tcPr>
          <w:p w14:paraId="0C89F0DE"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3.39</w:t>
            </w:r>
          </w:p>
        </w:tc>
        <w:tc>
          <w:tcPr>
            <w:tcW w:w="805" w:type="dxa"/>
            <w:vAlign w:val="center"/>
          </w:tcPr>
          <w:p w14:paraId="22EA305E" w14:textId="77777777" w:rsidR="002959BC" w:rsidRPr="00D233D6" w:rsidRDefault="002959BC" w:rsidP="00131C6C">
            <w:pPr>
              <w:spacing w:line="216" w:lineRule="auto"/>
              <w:jc w:val="center"/>
              <w:rPr>
                <w:sz w:val="26"/>
                <w:szCs w:val="26"/>
              </w:rPr>
            </w:pPr>
            <w:r w:rsidRPr="00D233D6">
              <w:rPr>
                <w:rFonts w:ascii="Arial" w:hAnsi="Arial" w:cs="Arial"/>
                <w:color w:val="000000"/>
                <w:sz w:val="26"/>
                <w:szCs w:val="26"/>
              </w:rPr>
              <w:t>0</w:t>
            </w:r>
          </w:p>
        </w:tc>
      </w:tr>
      <w:tr w:rsidR="002959BC" w:rsidRPr="00554632" w14:paraId="52543107" w14:textId="77777777" w:rsidTr="00270E6A">
        <w:trPr>
          <w:trHeight w:val="317"/>
        </w:trPr>
        <w:tc>
          <w:tcPr>
            <w:tcW w:w="1472" w:type="dxa"/>
            <w:vAlign w:val="center"/>
          </w:tcPr>
          <w:p w14:paraId="116F2DFA" w14:textId="77777777" w:rsidR="002959BC" w:rsidRPr="00D233D6" w:rsidRDefault="002959BC" w:rsidP="00131C6C">
            <w:pPr>
              <w:spacing w:line="216" w:lineRule="auto"/>
              <w:jc w:val="both"/>
              <w:rPr>
                <w:sz w:val="26"/>
                <w:szCs w:val="26"/>
              </w:rPr>
            </w:pPr>
            <w:r w:rsidRPr="00D233D6">
              <w:rPr>
                <w:sz w:val="26"/>
                <w:szCs w:val="26"/>
              </w:rPr>
              <w:t>1996/1997</w:t>
            </w:r>
          </w:p>
        </w:tc>
        <w:tc>
          <w:tcPr>
            <w:tcW w:w="1038" w:type="dxa"/>
            <w:vAlign w:val="bottom"/>
          </w:tcPr>
          <w:p w14:paraId="71437A87"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39.19</w:t>
            </w:r>
          </w:p>
        </w:tc>
        <w:tc>
          <w:tcPr>
            <w:tcW w:w="1039" w:type="dxa"/>
            <w:vAlign w:val="bottom"/>
          </w:tcPr>
          <w:p w14:paraId="44C07B6A"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3.40</w:t>
            </w:r>
          </w:p>
        </w:tc>
        <w:tc>
          <w:tcPr>
            <w:tcW w:w="1040" w:type="dxa"/>
            <w:vAlign w:val="bottom"/>
          </w:tcPr>
          <w:p w14:paraId="274B5A6A"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0.50</w:t>
            </w:r>
          </w:p>
        </w:tc>
        <w:tc>
          <w:tcPr>
            <w:tcW w:w="1039" w:type="dxa"/>
            <w:vAlign w:val="bottom"/>
          </w:tcPr>
          <w:p w14:paraId="10D8643C"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-1.58</w:t>
            </w:r>
          </w:p>
        </w:tc>
        <w:tc>
          <w:tcPr>
            <w:tcW w:w="1039" w:type="dxa"/>
            <w:vAlign w:val="bottom"/>
          </w:tcPr>
          <w:p w14:paraId="588A0F76"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189.14</w:t>
            </w:r>
          </w:p>
        </w:tc>
        <w:tc>
          <w:tcPr>
            <w:tcW w:w="925" w:type="dxa"/>
            <w:vAlign w:val="bottom"/>
          </w:tcPr>
          <w:p w14:paraId="43800E83"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78.64</w:t>
            </w:r>
          </w:p>
        </w:tc>
        <w:tc>
          <w:tcPr>
            <w:tcW w:w="890" w:type="dxa"/>
            <w:vAlign w:val="bottom"/>
          </w:tcPr>
          <w:p w14:paraId="22B99FF8"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3.39</w:t>
            </w:r>
          </w:p>
        </w:tc>
        <w:tc>
          <w:tcPr>
            <w:tcW w:w="805" w:type="dxa"/>
            <w:vAlign w:val="center"/>
          </w:tcPr>
          <w:p w14:paraId="463AA18B" w14:textId="77777777" w:rsidR="002959BC" w:rsidRPr="00D233D6" w:rsidRDefault="002959BC" w:rsidP="00131C6C">
            <w:pPr>
              <w:spacing w:line="216" w:lineRule="auto"/>
              <w:jc w:val="center"/>
              <w:rPr>
                <w:sz w:val="26"/>
                <w:szCs w:val="26"/>
              </w:rPr>
            </w:pPr>
            <w:r w:rsidRPr="00D233D6">
              <w:rPr>
                <w:rFonts w:ascii="Arial" w:hAnsi="Arial" w:cs="Arial"/>
                <w:color w:val="000000"/>
                <w:sz w:val="26"/>
                <w:szCs w:val="26"/>
              </w:rPr>
              <w:t>0</w:t>
            </w:r>
          </w:p>
        </w:tc>
      </w:tr>
      <w:tr w:rsidR="002959BC" w:rsidRPr="00554632" w14:paraId="778F7EB2" w14:textId="77777777" w:rsidTr="00270E6A">
        <w:trPr>
          <w:trHeight w:val="317"/>
        </w:trPr>
        <w:tc>
          <w:tcPr>
            <w:tcW w:w="1472" w:type="dxa"/>
            <w:vAlign w:val="center"/>
          </w:tcPr>
          <w:p w14:paraId="02E9CA17" w14:textId="77777777" w:rsidR="002959BC" w:rsidRPr="00D233D6" w:rsidRDefault="002959BC" w:rsidP="00131C6C">
            <w:pPr>
              <w:spacing w:line="216" w:lineRule="auto"/>
              <w:jc w:val="both"/>
              <w:rPr>
                <w:sz w:val="26"/>
                <w:szCs w:val="26"/>
              </w:rPr>
            </w:pPr>
            <w:r w:rsidRPr="00D233D6">
              <w:rPr>
                <w:sz w:val="26"/>
                <w:szCs w:val="26"/>
              </w:rPr>
              <w:t>1997/1998</w:t>
            </w:r>
          </w:p>
        </w:tc>
        <w:tc>
          <w:tcPr>
            <w:tcW w:w="1038" w:type="dxa"/>
            <w:vAlign w:val="bottom"/>
          </w:tcPr>
          <w:p w14:paraId="5DFA8116"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41.00</w:t>
            </w:r>
          </w:p>
        </w:tc>
        <w:tc>
          <w:tcPr>
            <w:tcW w:w="1039" w:type="dxa"/>
            <w:vAlign w:val="bottom"/>
          </w:tcPr>
          <w:p w14:paraId="6E3713B1"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1.93</w:t>
            </w:r>
          </w:p>
        </w:tc>
        <w:tc>
          <w:tcPr>
            <w:tcW w:w="1040" w:type="dxa"/>
            <w:vAlign w:val="bottom"/>
          </w:tcPr>
          <w:p w14:paraId="51FB50F4"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2.22</w:t>
            </w:r>
          </w:p>
        </w:tc>
        <w:tc>
          <w:tcPr>
            <w:tcW w:w="1039" w:type="dxa"/>
            <w:vAlign w:val="bottom"/>
          </w:tcPr>
          <w:p w14:paraId="315D90F6"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-1.33</w:t>
            </w:r>
          </w:p>
        </w:tc>
        <w:tc>
          <w:tcPr>
            <w:tcW w:w="1039" w:type="dxa"/>
            <w:vAlign w:val="bottom"/>
          </w:tcPr>
          <w:p w14:paraId="6D8EEB8E"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199.17</w:t>
            </w:r>
          </w:p>
        </w:tc>
        <w:tc>
          <w:tcPr>
            <w:tcW w:w="925" w:type="dxa"/>
            <w:vAlign w:val="bottom"/>
          </w:tcPr>
          <w:p w14:paraId="1EEF9DA6"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75.15</w:t>
            </w:r>
          </w:p>
        </w:tc>
        <w:tc>
          <w:tcPr>
            <w:tcW w:w="890" w:type="dxa"/>
            <w:vAlign w:val="bottom"/>
          </w:tcPr>
          <w:p w14:paraId="697FB4E8"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3.39</w:t>
            </w:r>
          </w:p>
        </w:tc>
        <w:tc>
          <w:tcPr>
            <w:tcW w:w="805" w:type="dxa"/>
            <w:vAlign w:val="center"/>
          </w:tcPr>
          <w:p w14:paraId="634C0CAF" w14:textId="77777777" w:rsidR="002959BC" w:rsidRPr="00D233D6" w:rsidRDefault="002959BC" w:rsidP="00131C6C">
            <w:pPr>
              <w:spacing w:line="216" w:lineRule="auto"/>
              <w:jc w:val="center"/>
              <w:rPr>
                <w:sz w:val="26"/>
                <w:szCs w:val="26"/>
              </w:rPr>
            </w:pPr>
            <w:r w:rsidRPr="00D233D6">
              <w:rPr>
                <w:rFonts w:ascii="Arial" w:hAnsi="Arial" w:cs="Arial"/>
                <w:color w:val="000000"/>
                <w:sz w:val="26"/>
                <w:szCs w:val="26"/>
              </w:rPr>
              <w:t>0</w:t>
            </w:r>
          </w:p>
        </w:tc>
      </w:tr>
      <w:tr w:rsidR="002959BC" w:rsidRPr="00585E80" w14:paraId="67D13408" w14:textId="77777777" w:rsidTr="00270E6A">
        <w:trPr>
          <w:trHeight w:val="317"/>
        </w:trPr>
        <w:tc>
          <w:tcPr>
            <w:tcW w:w="1472" w:type="dxa"/>
            <w:vAlign w:val="center"/>
          </w:tcPr>
          <w:p w14:paraId="56FC6CCC" w14:textId="77777777" w:rsidR="002959BC" w:rsidRPr="00D233D6" w:rsidRDefault="002959BC" w:rsidP="00131C6C">
            <w:pPr>
              <w:spacing w:line="216" w:lineRule="auto"/>
              <w:jc w:val="both"/>
              <w:rPr>
                <w:sz w:val="26"/>
                <w:szCs w:val="26"/>
              </w:rPr>
            </w:pPr>
            <w:r w:rsidRPr="00D233D6">
              <w:rPr>
                <w:sz w:val="26"/>
                <w:szCs w:val="26"/>
              </w:rPr>
              <w:t>1998/1999</w:t>
            </w:r>
          </w:p>
        </w:tc>
        <w:tc>
          <w:tcPr>
            <w:tcW w:w="1038" w:type="dxa"/>
            <w:vAlign w:val="bottom"/>
          </w:tcPr>
          <w:p w14:paraId="2CE6AAF2"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42.59</w:t>
            </w:r>
          </w:p>
        </w:tc>
        <w:tc>
          <w:tcPr>
            <w:tcW w:w="1039" w:type="dxa"/>
            <w:vAlign w:val="bottom"/>
          </w:tcPr>
          <w:p w14:paraId="2838E1C7"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8.90</w:t>
            </w:r>
          </w:p>
        </w:tc>
        <w:tc>
          <w:tcPr>
            <w:tcW w:w="1040" w:type="dxa"/>
            <w:vAlign w:val="bottom"/>
          </w:tcPr>
          <w:p w14:paraId="293A5D4C"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1.46</w:t>
            </w:r>
          </w:p>
        </w:tc>
        <w:tc>
          <w:tcPr>
            <w:tcW w:w="1039" w:type="dxa"/>
            <w:vAlign w:val="bottom"/>
          </w:tcPr>
          <w:p w14:paraId="3F19E375"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-2.00</w:t>
            </w:r>
          </w:p>
        </w:tc>
        <w:tc>
          <w:tcPr>
            <w:tcW w:w="1039" w:type="dxa"/>
            <w:vAlign w:val="bottom"/>
          </w:tcPr>
          <w:p w14:paraId="5F37D7D8"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202.62</w:t>
            </w:r>
          </w:p>
        </w:tc>
        <w:tc>
          <w:tcPr>
            <w:tcW w:w="925" w:type="dxa"/>
            <w:vAlign w:val="bottom"/>
          </w:tcPr>
          <w:p w14:paraId="7C605939"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77.03</w:t>
            </w:r>
          </w:p>
        </w:tc>
        <w:tc>
          <w:tcPr>
            <w:tcW w:w="890" w:type="dxa"/>
            <w:vAlign w:val="bottom"/>
          </w:tcPr>
          <w:p w14:paraId="174BE528"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3.39</w:t>
            </w:r>
          </w:p>
        </w:tc>
        <w:tc>
          <w:tcPr>
            <w:tcW w:w="805" w:type="dxa"/>
            <w:vAlign w:val="center"/>
          </w:tcPr>
          <w:p w14:paraId="55A2F656" w14:textId="77777777" w:rsidR="002959BC" w:rsidRPr="00D233D6" w:rsidRDefault="002959BC" w:rsidP="00131C6C">
            <w:pPr>
              <w:spacing w:line="216" w:lineRule="auto"/>
              <w:jc w:val="center"/>
              <w:rPr>
                <w:sz w:val="26"/>
                <w:szCs w:val="26"/>
              </w:rPr>
            </w:pPr>
            <w:r w:rsidRPr="00D233D6">
              <w:rPr>
                <w:rFonts w:ascii="Arial" w:hAnsi="Arial" w:cs="Arial"/>
                <w:color w:val="000000"/>
                <w:sz w:val="26"/>
                <w:szCs w:val="26"/>
              </w:rPr>
              <w:t>0</w:t>
            </w:r>
          </w:p>
        </w:tc>
      </w:tr>
      <w:tr w:rsidR="002959BC" w:rsidRPr="00585E80" w14:paraId="09FD7CA5" w14:textId="77777777" w:rsidTr="00270E6A">
        <w:trPr>
          <w:trHeight w:val="317"/>
        </w:trPr>
        <w:tc>
          <w:tcPr>
            <w:tcW w:w="1472" w:type="dxa"/>
            <w:vAlign w:val="center"/>
          </w:tcPr>
          <w:p w14:paraId="5FC5FB3C" w14:textId="77777777" w:rsidR="002959BC" w:rsidRPr="00D233D6" w:rsidRDefault="002959BC" w:rsidP="00131C6C">
            <w:pPr>
              <w:spacing w:line="216" w:lineRule="auto"/>
              <w:jc w:val="both"/>
              <w:rPr>
                <w:sz w:val="26"/>
                <w:szCs w:val="26"/>
              </w:rPr>
            </w:pPr>
            <w:r w:rsidRPr="00D233D6">
              <w:rPr>
                <w:sz w:val="26"/>
                <w:szCs w:val="26"/>
              </w:rPr>
              <w:t>1999/2000</w:t>
            </w:r>
          </w:p>
        </w:tc>
        <w:tc>
          <w:tcPr>
            <w:tcW w:w="1038" w:type="dxa"/>
            <w:vAlign w:val="bottom"/>
          </w:tcPr>
          <w:p w14:paraId="49440EF4"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43.90</w:t>
            </w:r>
          </w:p>
        </w:tc>
        <w:tc>
          <w:tcPr>
            <w:tcW w:w="1039" w:type="dxa"/>
            <w:vAlign w:val="bottom"/>
          </w:tcPr>
          <w:p w14:paraId="52FE7E88"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5.98</w:t>
            </w:r>
          </w:p>
        </w:tc>
        <w:tc>
          <w:tcPr>
            <w:tcW w:w="1040" w:type="dxa"/>
            <w:vAlign w:val="bottom"/>
          </w:tcPr>
          <w:p w14:paraId="084903B9"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10.86</w:t>
            </w:r>
          </w:p>
        </w:tc>
        <w:tc>
          <w:tcPr>
            <w:tcW w:w="1039" w:type="dxa"/>
            <w:vAlign w:val="bottom"/>
          </w:tcPr>
          <w:p w14:paraId="74207B4A"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-1.49</w:t>
            </w:r>
          </w:p>
        </w:tc>
        <w:tc>
          <w:tcPr>
            <w:tcW w:w="1039" w:type="dxa"/>
            <w:vAlign w:val="bottom"/>
          </w:tcPr>
          <w:p w14:paraId="1D26B0BC"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228.47</w:t>
            </w:r>
          </w:p>
        </w:tc>
        <w:tc>
          <w:tcPr>
            <w:tcW w:w="925" w:type="dxa"/>
            <w:vAlign w:val="bottom"/>
          </w:tcPr>
          <w:p w14:paraId="7056D0AB"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76.04</w:t>
            </w:r>
          </w:p>
        </w:tc>
        <w:tc>
          <w:tcPr>
            <w:tcW w:w="890" w:type="dxa"/>
            <w:vAlign w:val="bottom"/>
          </w:tcPr>
          <w:p w14:paraId="4D902F0D"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3.40</w:t>
            </w:r>
          </w:p>
        </w:tc>
        <w:tc>
          <w:tcPr>
            <w:tcW w:w="805" w:type="dxa"/>
            <w:vAlign w:val="center"/>
          </w:tcPr>
          <w:p w14:paraId="2F69D42D" w14:textId="77777777" w:rsidR="002959BC" w:rsidRPr="00D233D6" w:rsidRDefault="002959BC" w:rsidP="00131C6C">
            <w:pPr>
              <w:spacing w:line="216" w:lineRule="auto"/>
              <w:jc w:val="center"/>
              <w:rPr>
                <w:sz w:val="26"/>
                <w:szCs w:val="26"/>
              </w:rPr>
            </w:pPr>
            <w:r w:rsidRPr="00D233D6">
              <w:rPr>
                <w:rFonts w:ascii="Arial" w:hAnsi="Arial" w:cs="Arial"/>
                <w:color w:val="000000"/>
                <w:sz w:val="26"/>
                <w:szCs w:val="26"/>
              </w:rPr>
              <w:t>0</w:t>
            </w:r>
          </w:p>
        </w:tc>
      </w:tr>
      <w:tr w:rsidR="002959BC" w:rsidRPr="00585E80" w14:paraId="45F88AF0" w14:textId="77777777" w:rsidTr="00270E6A">
        <w:trPr>
          <w:trHeight w:val="317"/>
        </w:trPr>
        <w:tc>
          <w:tcPr>
            <w:tcW w:w="1472" w:type="dxa"/>
            <w:vAlign w:val="center"/>
          </w:tcPr>
          <w:p w14:paraId="5CA3858E" w14:textId="77777777" w:rsidR="002959BC" w:rsidRPr="00D233D6" w:rsidRDefault="002959BC" w:rsidP="00131C6C">
            <w:pPr>
              <w:spacing w:line="216" w:lineRule="auto"/>
              <w:jc w:val="both"/>
              <w:rPr>
                <w:sz w:val="26"/>
                <w:szCs w:val="26"/>
              </w:rPr>
            </w:pPr>
            <w:r w:rsidRPr="00D233D6">
              <w:rPr>
                <w:sz w:val="26"/>
                <w:szCs w:val="26"/>
              </w:rPr>
              <w:t>2000/2001</w:t>
            </w:r>
          </w:p>
        </w:tc>
        <w:tc>
          <w:tcPr>
            <w:tcW w:w="1038" w:type="dxa"/>
            <w:vAlign w:val="bottom"/>
          </w:tcPr>
          <w:p w14:paraId="08477A99"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45.08</w:t>
            </w:r>
          </w:p>
        </w:tc>
        <w:tc>
          <w:tcPr>
            <w:tcW w:w="1039" w:type="dxa"/>
            <w:vAlign w:val="bottom"/>
          </w:tcPr>
          <w:p w14:paraId="3936E32C"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23.72</w:t>
            </w:r>
          </w:p>
        </w:tc>
        <w:tc>
          <w:tcPr>
            <w:tcW w:w="1040" w:type="dxa"/>
            <w:vAlign w:val="bottom"/>
          </w:tcPr>
          <w:p w14:paraId="09B5F38B"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5.44</w:t>
            </w:r>
          </w:p>
        </w:tc>
        <w:tc>
          <w:tcPr>
            <w:tcW w:w="1039" w:type="dxa"/>
            <w:vAlign w:val="bottom"/>
          </w:tcPr>
          <w:p w14:paraId="244CC5D5"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-1.95</w:t>
            </w:r>
          </w:p>
        </w:tc>
        <w:tc>
          <w:tcPr>
            <w:tcW w:w="1039" w:type="dxa"/>
            <w:vAlign w:val="bottom"/>
          </w:tcPr>
          <w:p w14:paraId="304E47E8"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237.58</w:t>
            </w:r>
          </w:p>
        </w:tc>
        <w:tc>
          <w:tcPr>
            <w:tcW w:w="925" w:type="dxa"/>
            <w:vAlign w:val="bottom"/>
          </w:tcPr>
          <w:p w14:paraId="46296CB7"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76.74</w:t>
            </w:r>
          </w:p>
        </w:tc>
        <w:tc>
          <w:tcPr>
            <w:tcW w:w="890" w:type="dxa"/>
            <w:vAlign w:val="bottom"/>
          </w:tcPr>
          <w:p w14:paraId="3E3C95BA"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3.47</w:t>
            </w:r>
          </w:p>
        </w:tc>
        <w:tc>
          <w:tcPr>
            <w:tcW w:w="805" w:type="dxa"/>
            <w:vAlign w:val="center"/>
          </w:tcPr>
          <w:p w14:paraId="3548D3F7" w14:textId="77777777" w:rsidR="002959BC" w:rsidRPr="00D233D6" w:rsidRDefault="002959BC" w:rsidP="00131C6C">
            <w:pPr>
              <w:spacing w:line="216" w:lineRule="auto"/>
              <w:jc w:val="center"/>
              <w:rPr>
                <w:sz w:val="26"/>
                <w:szCs w:val="26"/>
              </w:rPr>
            </w:pPr>
            <w:r w:rsidRPr="00D233D6">
              <w:rPr>
                <w:rFonts w:ascii="Arial" w:hAnsi="Arial" w:cs="Arial"/>
                <w:color w:val="000000"/>
                <w:sz w:val="26"/>
                <w:szCs w:val="26"/>
              </w:rPr>
              <w:t>0</w:t>
            </w:r>
          </w:p>
        </w:tc>
      </w:tr>
      <w:tr w:rsidR="002959BC" w:rsidRPr="00EF6598" w14:paraId="2AE7DF67" w14:textId="77777777" w:rsidTr="00270E6A">
        <w:trPr>
          <w:trHeight w:val="317"/>
        </w:trPr>
        <w:tc>
          <w:tcPr>
            <w:tcW w:w="1472" w:type="dxa"/>
            <w:vAlign w:val="center"/>
          </w:tcPr>
          <w:p w14:paraId="6AF6FBB7" w14:textId="77777777" w:rsidR="002959BC" w:rsidRPr="00D233D6" w:rsidRDefault="002959BC" w:rsidP="00131C6C">
            <w:pPr>
              <w:spacing w:line="216" w:lineRule="auto"/>
              <w:jc w:val="both"/>
              <w:rPr>
                <w:sz w:val="26"/>
                <w:szCs w:val="26"/>
              </w:rPr>
            </w:pPr>
            <w:r w:rsidRPr="00D233D6">
              <w:rPr>
                <w:sz w:val="26"/>
                <w:szCs w:val="26"/>
              </w:rPr>
              <w:t>2001/2002</w:t>
            </w:r>
          </w:p>
        </w:tc>
        <w:tc>
          <w:tcPr>
            <w:tcW w:w="1038" w:type="dxa"/>
            <w:vAlign w:val="bottom"/>
          </w:tcPr>
          <w:p w14:paraId="20239637"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46.10</w:t>
            </w:r>
          </w:p>
        </w:tc>
        <w:tc>
          <w:tcPr>
            <w:tcW w:w="1039" w:type="dxa"/>
            <w:vAlign w:val="bottom"/>
          </w:tcPr>
          <w:p w14:paraId="104683D7"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14.39</w:t>
            </w:r>
          </w:p>
        </w:tc>
        <w:tc>
          <w:tcPr>
            <w:tcW w:w="1040" w:type="dxa"/>
            <w:vAlign w:val="bottom"/>
          </w:tcPr>
          <w:p w14:paraId="7C3C89FF"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16.31</w:t>
            </w:r>
          </w:p>
        </w:tc>
        <w:tc>
          <w:tcPr>
            <w:tcW w:w="1039" w:type="dxa"/>
            <w:vAlign w:val="bottom"/>
          </w:tcPr>
          <w:p w14:paraId="3986F300"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6.53</w:t>
            </w:r>
          </w:p>
        </w:tc>
        <w:tc>
          <w:tcPr>
            <w:tcW w:w="1039" w:type="dxa"/>
            <w:vAlign w:val="bottom"/>
          </w:tcPr>
          <w:p w14:paraId="0925081E"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234.91</w:t>
            </w:r>
          </w:p>
        </w:tc>
        <w:tc>
          <w:tcPr>
            <w:tcW w:w="925" w:type="dxa"/>
            <w:vAlign w:val="bottom"/>
          </w:tcPr>
          <w:p w14:paraId="6CB51474"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82.38</w:t>
            </w:r>
          </w:p>
        </w:tc>
        <w:tc>
          <w:tcPr>
            <w:tcW w:w="890" w:type="dxa"/>
            <w:vAlign w:val="bottom"/>
          </w:tcPr>
          <w:p w14:paraId="79DE90C3"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3.97</w:t>
            </w:r>
          </w:p>
        </w:tc>
        <w:tc>
          <w:tcPr>
            <w:tcW w:w="805" w:type="dxa"/>
            <w:vAlign w:val="center"/>
          </w:tcPr>
          <w:p w14:paraId="6A6474F6" w14:textId="77777777" w:rsidR="002959BC" w:rsidRPr="00D233D6" w:rsidRDefault="002959BC" w:rsidP="00131C6C">
            <w:pPr>
              <w:spacing w:line="216" w:lineRule="auto"/>
              <w:jc w:val="center"/>
              <w:rPr>
                <w:sz w:val="26"/>
                <w:szCs w:val="26"/>
              </w:rPr>
            </w:pPr>
            <w:r w:rsidRPr="00D233D6">
              <w:rPr>
                <w:rFonts w:ascii="Arial" w:hAnsi="Arial" w:cs="Arial"/>
                <w:color w:val="000000"/>
                <w:sz w:val="26"/>
                <w:szCs w:val="26"/>
              </w:rPr>
              <w:t>0</w:t>
            </w:r>
          </w:p>
        </w:tc>
      </w:tr>
      <w:tr w:rsidR="002959BC" w:rsidRPr="00EF6598" w14:paraId="2885DADE" w14:textId="77777777" w:rsidTr="00270E6A">
        <w:trPr>
          <w:trHeight w:val="317"/>
        </w:trPr>
        <w:tc>
          <w:tcPr>
            <w:tcW w:w="1472" w:type="dxa"/>
            <w:vAlign w:val="center"/>
          </w:tcPr>
          <w:p w14:paraId="1C724AB0" w14:textId="77777777" w:rsidR="002959BC" w:rsidRPr="00D233D6" w:rsidRDefault="002959BC" w:rsidP="00131C6C">
            <w:pPr>
              <w:spacing w:line="216" w:lineRule="auto"/>
              <w:jc w:val="both"/>
              <w:rPr>
                <w:sz w:val="26"/>
                <w:szCs w:val="26"/>
              </w:rPr>
            </w:pPr>
            <w:r w:rsidRPr="00D233D6">
              <w:rPr>
                <w:sz w:val="26"/>
                <w:szCs w:val="26"/>
              </w:rPr>
              <w:t>2002/2003</w:t>
            </w:r>
          </w:p>
        </w:tc>
        <w:tc>
          <w:tcPr>
            <w:tcW w:w="1038" w:type="dxa"/>
            <w:vAlign w:val="bottom"/>
          </w:tcPr>
          <w:p w14:paraId="67A7F45D"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47.36</w:t>
            </w:r>
          </w:p>
        </w:tc>
        <w:tc>
          <w:tcPr>
            <w:tcW w:w="1039" w:type="dxa"/>
            <w:vAlign w:val="bottom"/>
          </w:tcPr>
          <w:p w14:paraId="315676FE" w14:textId="77777777" w:rsidR="002959BC" w:rsidRPr="00D233D6" w:rsidRDefault="002959BC" w:rsidP="00131C6C">
            <w:pPr>
              <w:spacing w:line="216" w:lineRule="auto"/>
              <w:jc w:val="center"/>
              <w:rPr>
                <w:rFonts w:ascii="Arial" w:hAnsi="Arial" w:cs="Arial"/>
                <w:sz w:val="26"/>
                <w:szCs w:val="26"/>
              </w:rPr>
            </w:pPr>
            <w:r w:rsidRPr="00D233D6">
              <w:rPr>
                <w:rFonts w:ascii="Arial" w:hAnsi="Arial" w:cs="Arial"/>
                <w:sz w:val="26"/>
                <w:szCs w:val="26"/>
              </w:rPr>
              <w:t>19.29</w:t>
            </w:r>
          </w:p>
        </w:tc>
        <w:tc>
          <w:tcPr>
            <w:tcW w:w="1040" w:type="dxa"/>
            <w:vAlign w:val="bottom"/>
          </w:tcPr>
          <w:p w14:paraId="5D1FB4A1" w14:textId="77777777" w:rsidR="002959BC" w:rsidRPr="00D233D6" w:rsidRDefault="002959BC" w:rsidP="00131C6C">
            <w:pPr>
              <w:spacing w:line="216" w:lineRule="auto"/>
              <w:jc w:val="center"/>
              <w:rPr>
                <w:rFonts w:ascii="Arial" w:hAnsi="Arial" w:cs="Arial"/>
                <w:sz w:val="26"/>
                <w:szCs w:val="26"/>
              </w:rPr>
            </w:pPr>
            <w:r w:rsidRPr="00D233D6">
              <w:rPr>
                <w:rFonts w:ascii="Arial" w:hAnsi="Arial" w:cs="Arial"/>
                <w:sz w:val="26"/>
                <w:szCs w:val="26"/>
              </w:rPr>
              <w:t>16.65</w:t>
            </w:r>
          </w:p>
        </w:tc>
        <w:tc>
          <w:tcPr>
            <w:tcW w:w="1039" w:type="dxa"/>
            <w:vAlign w:val="bottom"/>
          </w:tcPr>
          <w:p w14:paraId="246173D5" w14:textId="77777777" w:rsidR="002959BC" w:rsidRPr="00D233D6" w:rsidRDefault="002959BC" w:rsidP="00131C6C">
            <w:pPr>
              <w:spacing w:line="216" w:lineRule="auto"/>
              <w:jc w:val="center"/>
              <w:rPr>
                <w:rFonts w:ascii="Arial" w:hAnsi="Arial" w:cs="Arial"/>
                <w:sz w:val="26"/>
                <w:szCs w:val="26"/>
              </w:rPr>
            </w:pPr>
            <w:r w:rsidRPr="00D233D6">
              <w:rPr>
                <w:rFonts w:ascii="Arial" w:hAnsi="Arial" w:cs="Arial"/>
                <w:sz w:val="26"/>
                <w:szCs w:val="26"/>
              </w:rPr>
              <w:t>5.58</w:t>
            </w:r>
          </w:p>
        </w:tc>
        <w:tc>
          <w:tcPr>
            <w:tcW w:w="1039" w:type="dxa"/>
            <w:vAlign w:val="bottom"/>
          </w:tcPr>
          <w:p w14:paraId="49A58912"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241.20</w:t>
            </w:r>
          </w:p>
        </w:tc>
        <w:tc>
          <w:tcPr>
            <w:tcW w:w="925" w:type="dxa"/>
            <w:vAlign w:val="bottom"/>
          </w:tcPr>
          <w:p w14:paraId="6E885772"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87.84</w:t>
            </w:r>
          </w:p>
        </w:tc>
        <w:tc>
          <w:tcPr>
            <w:tcW w:w="890" w:type="dxa"/>
            <w:vAlign w:val="bottom"/>
          </w:tcPr>
          <w:p w14:paraId="7F8F9D6E"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4.50</w:t>
            </w:r>
          </w:p>
        </w:tc>
        <w:tc>
          <w:tcPr>
            <w:tcW w:w="805" w:type="dxa"/>
            <w:vAlign w:val="center"/>
          </w:tcPr>
          <w:p w14:paraId="43979041" w14:textId="77777777" w:rsidR="002959BC" w:rsidRPr="00D233D6" w:rsidRDefault="002959BC" w:rsidP="00131C6C">
            <w:pPr>
              <w:spacing w:line="216" w:lineRule="auto"/>
              <w:jc w:val="center"/>
              <w:rPr>
                <w:sz w:val="26"/>
                <w:szCs w:val="26"/>
              </w:rPr>
            </w:pPr>
            <w:r w:rsidRPr="00D233D6">
              <w:rPr>
                <w:rFonts w:ascii="Arial" w:hAnsi="Arial" w:cs="Arial"/>
                <w:color w:val="000000"/>
                <w:sz w:val="26"/>
                <w:szCs w:val="26"/>
              </w:rPr>
              <w:t>0</w:t>
            </w:r>
          </w:p>
        </w:tc>
      </w:tr>
      <w:tr w:rsidR="002959BC" w:rsidRPr="00585E80" w14:paraId="38BC3CA9" w14:textId="77777777" w:rsidTr="00270E6A">
        <w:trPr>
          <w:trHeight w:val="317"/>
        </w:trPr>
        <w:tc>
          <w:tcPr>
            <w:tcW w:w="1472" w:type="dxa"/>
            <w:vAlign w:val="center"/>
          </w:tcPr>
          <w:p w14:paraId="322A348A" w14:textId="77777777" w:rsidR="002959BC" w:rsidRPr="00D233D6" w:rsidRDefault="002959BC" w:rsidP="00131C6C">
            <w:pPr>
              <w:spacing w:line="216" w:lineRule="auto"/>
              <w:jc w:val="both"/>
              <w:rPr>
                <w:sz w:val="26"/>
                <w:szCs w:val="26"/>
              </w:rPr>
            </w:pPr>
            <w:r w:rsidRPr="00D233D6">
              <w:rPr>
                <w:sz w:val="26"/>
                <w:szCs w:val="26"/>
              </w:rPr>
              <w:t>2003/2004</w:t>
            </w:r>
          </w:p>
        </w:tc>
        <w:tc>
          <w:tcPr>
            <w:tcW w:w="1038" w:type="dxa"/>
            <w:vAlign w:val="bottom"/>
          </w:tcPr>
          <w:p w14:paraId="182E6D53"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49.50</w:t>
            </w:r>
          </w:p>
        </w:tc>
        <w:tc>
          <w:tcPr>
            <w:tcW w:w="1039" w:type="dxa"/>
            <w:vAlign w:val="bottom"/>
          </w:tcPr>
          <w:p w14:paraId="4824BECD"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21.20</w:t>
            </w:r>
          </w:p>
        </w:tc>
        <w:tc>
          <w:tcPr>
            <w:tcW w:w="1040" w:type="dxa"/>
            <w:vAlign w:val="bottom"/>
          </w:tcPr>
          <w:p w14:paraId="44B89A69"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24.14</w:t>
            </w:r>
          </w:p>
        </w:tc>
        <w:tc>
          <w:tcPr>
            <w:tcW w:w="1039" w:type="dxa"/>
            <w:vAlign w:val="bottom"/>
          </w:tcPr>
          <w:p w14:paraId="7908831C"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0.50</w:t>
            </w:r>
          </w:p>
        </w:tc>
        <w:tc>
          <w:tcPr>
            <w:tcW w:w="1039" w:type="dxa"/>
            <w:vAlign w:val="bottom"/>
          </w:tcPr>
          <w:p w14:paraId="569AC8A0"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244.29</w:t>
            </w:r>
          </w:p>
        </w:tc>
        <w:tc>
          <w:tcPr>
            <w:tcW w:w="925" w:type="dxa"/>
            <w:vAlign w:val="bottom"/>
          </w:tcPr>
          <w:p w14:paraId="0B0F7AEB"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96.68</w:t>
            </w:r>
          </w:p>
        </w:tc>
        <w:tc>
          <w:tcPr>
            <w:tcW w:w="890" w:type="dxa"/>
            <w:vAlign w:val="bottom"/>
          </w:tcPr>
          <w:p w14:paraId="6BEB4636"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5.85</w:t>
            </w:r>
          </w:p>
        </w:tc>
        <w:tc>
          <w:tcPr>
            <w:tcW w:w="805" w:type="dxa"/>
            <w:vAlign w:val="center"/>
          </w:tcPr>
          <w:p w14:paraId="3BF17257" w14:textId="77777777" w:rsidR="002959BC" w:rsidRPr="00D233D6" w:rsidRDefault="002959BC" w:rsidP="00131C6C">
            <w:pPr>
              <w:spacing w:line="216" w:lineRule="auto"/>
              <w:jc w:val="center"/>
              <w:rPr>
                <w:sz w:val="26"/>
                <w:szCs w:val="26"/>
              </w:rPr>
            </w:pPr>
            <w:r w:rsidRPr="00D233D6">
              <w:rPr>
                <w:rFonts w:ascii="Arial" w:hAnsi="Arial" w:cs="Arial"/>
                <w:color w:val="000000"/>
                <w:sz w:val="26"/>
                <w:szCs w:val="26"/>
              </w:rPr>
              <w:t>0</w:t>
            </w:r>
          </w:p>
        </w:tc>
      </w:tr>
      <w:tr w:rsidR="002959BC" w:rsidRPr="00585E80" w14:paraId="196611F6" w14:textId="77777777" w:rsidTr="00270E6A">
        <w:trPr>
          <w:trHeight w:val="317"/>
        </w:trPr>
        <w:tc>
          <w:tcPr>
            <w:tcW w:w="1472" w:type="dxa"/>
            <w:vAlign w:val="center"/>
          </w:tcPr>
          <w:p w14:paraId="286FFD0F" w14:textId="77777777" w:rsidR="002959BC" w:rsidRPr="00D233D6" w:rsidRDefault="002959BC" w:rsidP="00131C6C">
            <w:pPr>
              <w:spacing w:line="216" w:lineRule="auto"/>
              <w:jc w:val="both"/>
              <w:rPr>
                <w:sz w:val="26"/>
                <w:szCs w:val="26"/>
              </w:rPr>
            </w:pPr>
            <w:r w:rsidRPr="00D233D6">
              <w:rPr>
                <w:sz w:val="26"/>
                <w:szCs w:val="26"/>
              </w:rPr>
              <w:t>2004/2005</w:t>
            </w:r>
          </w:p>
        </w:tc>
        <w:tc>
          <w:tcPr>
            <w:tcW w:w="1038" w:type="dxa"/>
            <w:vAlign w:val="bottom"/>
          </w:tcPr>
          <w:p w14:paraId="6B4BDDDF"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55.08</w:t>
            </w:r>
          </w:p>
        </w:tc>
        <w:tc>
          <w:tcPr>
            <w:tcW w:w="1039" w:type="dxa"/>
            <w:vAlign w:val="bottom"/>
          </w:tcPr>
          <w:p w14:paraId="588BA168"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29.82</w:t>
            </w:r>
          </w:p>
        </w:tc>
        <w:tc>
          <w:tcPr>
            <w:tcW w:w="1040" w:type="dxa"/>
            <w:vAlign w:val="bottom"/>
          </w:tcPr>
          <w:p w14:paraId="7FBBF41C"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33.75</w:t>
            </w:r>
          </w:p>
        </w:tc>
        <w:tc>
          <w:tcPr>
            <w:tcW w:w="1039" w:type="dxa"/>
            <w:vAlign w:val="bottom"/>
          </w:tcPr>
          <w:p w14:paraId="6890D480"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-4.24</w:t>
            </w:r>
          </w:p>
        </w:tc>
        <w:tc>
          <w:tcPr>
            <w:tcW w:w="1039" w:type="dxa"/>
            <w:vAlign w:val="bottom"/>
          </w:tcPr>
          <w:p w14:paraId="173515EF"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286.41</w:t>
            </w:r>
          </w:p>
        </w:tc>
        <w:tc>
          <w:tcPr>
            <w:tcW w:w="925" w:type="dxa"/>
            <w:vAlign w:val="bottom"/>
          </w:tcPr>
          <w:p w14:paraId="6A9726B9"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96.68</w:t>
            </w:r>
          </w:p>
        </w:tc>
        <w:tc>
          <w:tcPr>
            <w:tcW w:w="890" w:type="dxa"/>
            <w:vAlign w:val="bottom"/>
          </w:tcPr>
          <w:p w14:paraId="43B56A30"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6.20</w:t>
            </w:r>
          </w:p>
        </w:tc>
        <w:tc>
          <w:tcPr>
            <w:tcW w:w="805" w:type="dxa"/>
            <w:vAlign w:val="center"/>
          </w:tcPr>
          <w:p w14:paraId="21B78B41" w14:textId="77777777" w:rsidR="002959BC" w:rsidRPr="00D233D6" w:rsidRDefault="002959BC" w:rsidP="00131C6C">
            <w:pPr>
              <w:spacing w:line="216" w:lineRule="auto"/>
              <w:jc w:val="center"/>
              <w:rPr>
                <w:sz w:val="26"/>
                <w:szCs w:val="26"/>
              </w:rPr>
            </w:pPr>
            <w:r w:rsidRPr="00D233D6">
              <w:rPr>
                <w:rFonts w:ascii="Arial" w:hAnsi="Arial" w:cs="Arial"/>
                <w:color w:val="000000"/>
                <w:sz w:val="26"/>
                <w:szCs w:val="26"/>
              </w:rPr>
              <w:t>0</w:t>
            </w:r>
          </w:p>
        </w:tc>
      </w:tr>
      <w:tr w:rsidR="002959BC" w:rsidRPr="00585E80" w14:paraId="0AB96D0C" w14:textId="77777777" w:rsidTr="00270E6A">
        <w:trPr>
          <w:trHeight w:val="317"/>
        </w:trPr>
        <w:tc>
          <w:tcPr>
            <w:tcW w:w="1472" w:type="dxa"/>
            <w:vAlign w:val="center"/>
          </w:tcPr>
          <w:p w14:paraId="7BCBB992" w14:textId="77777777" w:rsidR="002959BC" w:rsidRPr="00D233D6" w:rsidRDefault="002959BC" w:rsidP="00131C6C">
            <w:pPr>
              <w:spacing w:line="216" w:lineRule="auto"/>
              <w:jc w:val="both"/>
              <w:rPr>
                <w:sz w:val="26"/>
                <w:szCs w:val="26"/>
              </w:rPr>
            </w:pPr>
            <w:r w:rsidRPr="00D233D6">
              <w:rPr>
                <w:sz w:val="26"/>
                <w:szCs w:val="26"/>
              </w:rPr>
              <w:t>2005/2006</w:t>
            </w:r>
          </w:p>
        </w:tc>
        <w:tc>
          <w:tcPr>
            <w:tcW w:w="1038" w:type="dxa"/>
            <w:vAlign w:val="bottom"/>
          </w:tcPr>
          <w:p w14:paraId="519B0083"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57.76</w:t>
            </w:r>
          </w:p>
        </w:tc>
        <w:tc>
          <w:tcPr>
            <w:tcW w:w="1039" w:type="dxa"/>
            <w:vAlign w:val="bottom"/>
          </w:tcPr>
          <w:p w14:paraId="426F7FC6" w14:textId="77777777" w:rsidR="002959BC" w:rsidRPr="00D233D6" w:rsidRDefault="002959BC" w:rsidP="00131C6C">
            <w:pPr>
              <w:spacing w:line="216" w:lineRule="auto"/>
              <w:jc w:val="center"/>
              <w:rPr>
                <w:rFonts w:ascii="Arial" w:hAnsi="Arial" w:cs="Arial"/>
                <w:sz w:val="26"/>
                <w:szCs w:val="26"/>
              </w:rPr>
            </w:pPr>
            <w:r w:rsidRPr="00D233D6">
              <w:rPr>
                <w:rFonts w:ascii="Arial" w:hAnsi="Arial" w:cs="Arial"/>
                <w:sz w:val="26"/>
                <w:szCs w:val="26"/>
              </w:rPr>
              <w:t>17.63</w:t>
            </w:r>
          </w:p>
        </w:tc>
        <w:tc>
          <w:tcPr>
            <w:tcW w:w="1040" w:type="dxa"/>
            <w:vAlign w:val="bottom"/>
          </w:tcPr>
          <w:p w14:paraId="4A85B522" w14:textId="77777777" w:rsidR="002959BC" w:rsidRPr="00D233D6" w:rsidRDefault="002959BC" w:rsidP="00131C6C">
            <w:pPr>
              <w:spacing w:line="216" w:lineRule="auto"/>
              <w:jc w:val="center"/>
              <w:rPr>
                <w:rFonts w:ascii="Arial" w:hAnsi="Arial" w:cs="Arial"/>
                <w:sz w:val="26"/>
                <w:szCs w:val="26"/>
              </w:rPr>
            </w:pPr>
            <w:r w:rsidRPr="00D233D6">
              <w:rPr>
                <w:rFonts w:ascii="Arial" w:hAnsi="Arial" w:cs="Arial"/>
                <w:sz w:val="26"/>
                <w:szCs w:val="26"/>
              </w:rPr>
              <w:t>36.75</w:t>
            </w:r>
          </w:p>
        </w:tc>
        <w:tc>
          <w:tcPr>
            <w:tcW w:w="1039" w:type="dxa"/>
            <w:vAlign w:val="bottom"/>
          </w:tcPr>
          <w:p w14:paraId="0682A9E7" w14:textId="77777777" w:rsidR="002959BC" w:rsidRPr="00D233D6" w:rsidRDefault="002959BC" w:rsidP="00131C6C">
            <w:pPr>
              <w:spacing w:line="216" w:lineRule="auto"/>
              <w:jc w:val="center"/>
              <w:rPr>
                <w:rFonts w:ascii="Arial" w:hAnsi="Arial" w:cs="Arial"/>
                <w:sz w:val="26"/>
                <w:szCs w:val="26"/>
              </w:rPr>
            </w:pPr>
            <w:r w:rsidRPr="00D233D6">
              <w:rPr>
                <w:rFonts w:ascii="Arial" w:hAnsi="Arial" w:cs="Arial"/>
                <w:sz w:val="26"/>
                <w:szCs w:val="26"/>
              </w:rPr>
              <w:t>3.64</w:t>
            </w:r>
          </w:p>
        </w:tc>
        <w:tc>
          <w:tcPr>
            <w:tcW w:w="1039" w:type="dxa"/>
            <w:vAlign w:val="bottom"/>
          </w:tcPr>
          <w:p w14:paraId="5DBCC082"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354.64</w:t>
            </w:r>
          </w:p>
        </w:tc>
        <w:tc>
          <w:tcPr>
            <w:tcW w:w="925" w:type="dxa"/>
            <w:vAlign w:val="bottom"/>
          </w:tcPr>
          <w:p w14:paraId="2D3220E8"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97.14</w:t>
            </w:r>
          </w:p>
        </w:tc>
        <w:tc>
          <w:tcPr>
            <w:tcW w:w="890" w:type="dxa"/>
            <w:vAlign w:val="bottom"/>
          </w:tcPr>
          <w:p w14:paraId="77252A69"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5.78</w:t>
            </w:r>
          </w:p>
        </w:tc>
        <w:tc>
          <w:tcPr>
            <w:tcW w:w="805" w:type="dxa"/>
            <w:vAlign w:val="center"/>
          </w:tcPr>
          <w:p w14:paraId="67D8FEF2" w14:textId="77777777" w:rsidR="002959BC" w:rsidRPr="00D233D6" w:rsidRDefault="002959BC" w:rsidP="00131C6C">
            <w:pPr>
              <w:spacing w:line="216" w:lineRule="auto"/>
              <w:jc w:val="center"/>
              <w:rPr>
                <w:sz w:val="26"/>
                <w:szCs w:val="26"/>
              </w:rPr>
            </w:pPr>
            <w:r w:rsidRPr="00D233D6">
              <w:rPr>
                <w:rFonts w:ascii="Arial" w:hAnsi="Arial" w:cs="Arial"/>
                <w:color w:val="000000"/>
                <w:sz w:val="26"/>
                <w:szCs w:val="26"/>
              </w:rPr>
              <w:t>0</w:t>
            </w:r>
          </w:p>
        </w:tc>
      </w:tr>
      <w:tr w:rsidR="002959BC" w:rsidRPr="00585E80" w14:paraId="6AD484E8" w14:textId="77777777" w:rsidTr="00270E6A">
        <w:trPr>
          <w:trHeight w:val="317"/>
        </w:trPr>
        <w:tc>
          <w:tcPr>
            <w:tcW w:w="1472" w:type="dxa"/>
            <w:vAlign w:val="center"/>
          </w:tcPr>
          <w:p w14:paraId="069924C1" w14:textId="77777777" w:rsidR="002959BC" w:rsidRPr="00D233D6" w:rsidRDefault="002959BC" w:rsidP="00131C6C">
            <w:pPr>
              <w:spacing w:line="216" w:lineRule="auto"/>
              <w:jc w:val="both"/>
              <w:rPr>
                <w:sz w:val="26"/>
                <w:szCs w:val="26"/>
              </w:rPr>
            </w:pPr>
            <w:r w:rsidRPr="00D233D6">
              <w:rPr>
                <w:sz w:val="26"/>
                <w:szCs w:val="26"/>
              </w:rPr>
              <w:t>2006/2007</w:t>
            </w:r>
          </w:p>
        </w:tc>
        <w:tc>
          <w:tcPr>
            <w:tcW w:w="1038" w:type="dxa"/>
            <w:vAlign w:val="bottom"/>
          </w:tcPr>
          <w:p w14:paraId="3C23A6DA"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62.17</w:t>
            </w:r>
          </w:p>
        </w:tc>
        <w:tc>
          <w:tcPr>
            <w:tcW w:w="1039" w:type="dxa"/>
            <w:vAlign w:val="bottom"/>
          </w:tcPr>
          <w:p w14:paraId="3EC4CF83"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-20.93</w:t>
            </w:r>
          </w:p>
        </w:tc>
        <w:tc>
          <w:tcPr>
            <w:tcW w:w="1040" w:type="dxa"/>
            <w:vAlign w:val="bottom"/>
          </w:tcPr>
          <w:p w14:paraId="1F59B806"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54.21</w:t>
            </w:r>
          </w:p>
        </w:tc>
        <w:tc>
          <w:tcPr>
            <w:tcW w:w="1039" w:type="dxa"/>
            <w:vAlign w:val="bottom"/>
          </w:tcPr>
          <w:p w14:paraId="4FF57314"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3.58</w:t>
            </w:r>
          </w:p>
        </w:tc>
        <w:tc>
          <w:tcPr>
            <w:tcW w:w="1039" w:type="dxa"/>
            <w:vAlign w:val="bottom"/>
          </w:tcPr>
          <w:p w14:paraId="164CA940"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431.86</w:t>
            </w:r>
          </w:p>
        </w:tc>
        <w:tc>
          <w:tcPr>
            <w:tcW w:w="925" w:type="dxa"/>
            <w:vAlign w:val="bottom"/>
          </w:tcPr>
          <w:p w14:paraId="1605ADB5"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97.39</w:t>
            </w:r>
          </w:p>
        </w:tc>
        <w:tc>
          <w:tcPr>
            <w:tcW w:w="890" w:type="dxa"/>
            <w:vAlign w:val="bottom"/>
          </w:tcPr>
          <w:p w14:paraId="72E5A7BB"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5.73</w:t>
            </w:r>
          </w:p>
        </w:tc>
        <w:tc>
          <w:tcPr>
            <w:tcW w:w="805" w:type="dxa"/>
            <w:vAlign w:val="center"/>
          </w:tcPr>
          <w:p w14:paraId="6F60ACDD" w14:textId="77777777" w:rsidR="002959BC" w:rsidRPr="00D233D6" w:rsidRDefault="002959BC" w:rsidP="00131C6C">
            <w:pPr>
              <w:spacing w:line="216" w:lineRule="auto"/>
              <w:jc w:val="center"/>
              <w:rPr>
                <w:sz w:val="26"/>
                <w:szCs w:val="26"/>
              </w:rPr>
            </w:pPr>
            <w:r w:rsidRPr="00D233D6">
              <w:rPr>
                <w:rFonts w:ascii="Arial" w:hAnsi="Arial" w:cs="Arial"/>
                <w:color w:val="000000"/>
                <w:sz w:val="26"/>
                <w:szCs w:val="26"/>
              </w:rPr>
              <w:t>0</w:t>
            </w:r>
          </w:p>
        </w:tc>
      </w:tr>
      <w:tr w:rsidR="002959BC" w:rsidRPr="00585E80" w14:paraId="1004125A" w14:textId="77777777" w:rsidTr="00270E6A">
        <w:trPr>
          <w:trHeight w:val="317"/>
        </w:trPr>
        <w:tc>
          <w:tcPr>
            <w:tcW w:w="1472" w:type="dxa"/>
            <w:vAlign w:val="center"/>
          </w:tcPr>
          <w:p w14:paraId="75FBA466" w14:textId="77777777" w:rsidR="002959BC" w:rsidRPr="00D233D6" w:rsidRDefault="002959BC" w:rsidP="00131C6C">
            <w:pPr>
              <w:spacing w:line="216" w:lineRule="auto"/>
              <w:jc w:val="both"/>
              <w:rPr>
                <w:sz w:val="26"/>
                <w:szCs w:val="26"/>
              </w:rPr>
            </w:pPr>
            <w:r w:rsidRPr="00D233D6">
              <w:rPr>
                <w:sz w:val="26"/>
                <w:szCs w:val="26"/>
              </w:rPr>
              <w:t>2007/2008</w:t>
            </w:r>
          </w:p>
        </w:tc>
        <w:tc>
          <w:tcPr>
            <w:tcW w:w="1038" w:type="dxa"/>
            <w:vAlign w:val="bottom"/>
          </w:tcPr>
          <w:p w14:paraId="51DEE174"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67.97</w:t>
            </w:r>
          </w:p>
        </w:tc>
        <w:tc>
          <w:tcPr>
            <w:tcW w:w="1039" w:type="dxa"/>
            <w:vAlign w:val="bottom"/>
          </w:tcPr>
          <w:p w14:paraId="6E7BF77B"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-3.19</w:t>
            </w:r>
          </w:p>
        </w:tc>
        <w:tc>
          <w:tcPr>
            <w:tcW w:w="1040" w:type="dxa"/>
            <w:vAlign w:val="bottom"/>
          </w:tcPr>
          <w:p w14:paraId="24D20972"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3.71</w:t>
            </w:r>
          </w:p>
        </w:tc>
        <w:tc>
          <w:tcPr>
            <w:tcW w:w="1039" w:type="dxa"/>
            <w:vAlign w:val="bottom"/>
          </w:tcPr>
          <w:p w14:paraId="28C11349"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11.44</w:t>
            </w:r>
          </w:p>
        </w:tc>
        <w:tc>
          <w:tcPr>
            <w:tcW w:w="1039" w:type="dxa"/>
            <w:vAlign w:val="bottom"/>
          </w:tcPr>
          <w:p w14:paraId="120DAC31"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556.25</w:t>
            </w:r>
          </w:p>
        </w:tc>
        <w:tc>
          <w:tcPr>
            <w:tcW w:w="925" w:type="dxa"/>
            <w:vAlign w:val="bottom"/>
          </w:tcPr>
          <w:p w14:paraId="31939105"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96.21</w:t>
            </w:r>
          </w:p>
        </w:tc>
        <w:tc>
          <w:tcPr>
            <w:tcW w:w="890" w:type="dxa"/>
            <w:vAlign w:val="bottom"/>
          </w:tcPr>
          <w:p w14:paraId="052F2FA8"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5.64</w:t>
            </w:r>
          </w:p>
        </w:tc>
        <w:tc>
          <w:tcPr>
            <w:tcW w:w="805" w:type="dxa"/>
            <w:vAlign w:val="center"/>
          </w:tcPr>
          <w:p w14:paraId="7E43F467" w14:textId="77777777" w:rsidR="002959BC" w:rsidRPr="00D233D6" w:rsidRDefault="002959BC" w:rsidP="00131C6C">
            <w:pPr>
              <w:spacing w:line="216" w:lineRule="auto"/>
              <w:jc w:val="center"/>
              <w:rPr>
                <w:sz w:val="26"/>
                <w:szCs w:val="26"/>
              </w:rPr>
            </w:pPr>
            <w:r w:rsidRPr="00D233D6">
              <w:rPr>
                <w:rFonts w:ascii="Arial" w:hAnsi="Arial" w:cs="Arial"/>
                <w:color w:val="000000"/>
                <w:sz w:val="26"/>
                <w:szCs w:val="26"/>
              </w:rPr>
              <w:t>0</w:t>
            </w:r>
          </w:p>
        </w:tc>
      </w:tr>
      <w:tr w:rsidR="002959BC" w:rsidRPr="00585E80" w14:paraId="49A5F3F9" w14:textId="77777777" w:rsidTr="00270E6A">
        <w:trPr>
          <w:trHeight w:val="317"/>
        </w:trPr>
        <w:tc>
          <w:tcPr>
            <w:tcW w:w="1472" w:type="dxa"/>
            <w:vAlign w:val="center"/>
          </w:tcPr>
          <w:p w14:paraId="0740AEC9" w14:textId="77777777" w:rsidR="002959BC" w:rsidRPr="00D233D6" w:rsidRDefault="002959BC" w:rsidP="00131C6C">
            <w:pPr>
              <w:spacing w:line="216" w:lineRule="auto"/>
              <w:jc w:val="both"/>
              <w:rPr>
                <w:sz w:val="26"/>
                <w:szCs w:val="26"/>
              </w:rPr>
            </w:pPr>
            <w:r w:rsidRPr="00D233D6">
              <w:rPr>
                <w:sz w:val="26"/>
                <w:szCs w:val="26"/>
              </w:rPr>
              <w:t>2008/2009</w:t>
            </w:r>
          </w:p>
        </w:tc>
        <w:tc>
          <w:tcPr>
            <w:tcW w:w="1038" w:type="dxa"/>
            <w:vAlign w:val="bottom"/>
          </w:tcPr>
          <w:p w14:paraId="577E0F50"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80.42</w:t>
            </w:r>
          </w:p>
        </w:tc>
        <w:tc>
          <w:tcPr>
            <w:tcW w:w="1039" w:type="dxa"/>
            <w:vAlign w:val="bottom"/>
          </w:tcPr>
          <w:p w14:paraId="1A1E560B" w14:textId="77777777" w:rsidR="002959BC" w:rsidRPr="00D233D6" w:rsidRDefault="002959BC" w:rsidP="00131C6C">
            <w:pPr>
              <w:spacing w:line="216" w:lineRule="auto"/>
              <w:jc w:val="center"/>
              <w:rPr>
                <w:rFonts w:ascii="Arial" w:hAnsi="Arial" w:cs="Arial"/>
                <w:sz w:val="26"/>
                <w:szCs w:val="26"/>
              </w:rPr>
            </w:pPr>
            <w:r w:rsidRPr="00D233D6">
              <w:rPr>
                <w:rFonts w:ascii="Arial" w:hAnsi="Arial" w:cs="Arial"/>
                <w:sz w:val="26"/>
                <w:szCs w:val="26"/>
              </w:rPr>
              <w:t>98.82</w:t>
            </w:r>
          </w:p>
        </w:tc>
        <w:tc>
          <w:tcPr>
            <w:tcW w:w="1040" w:type="dxa"/>
            <w:vAlign w:val="bottom"/>
          </w:tcPr>
          <w:p w14:paraId="18D79FA4" w14:textId="77777777" w:rsidR="002959BC" w:rsidRPr="00D233D6" w:rsidRDefault="002959BC" w:rsidP="00131C6C">
            <w:pPr>
              <w:spacing w:line="216" w:lineRule="auto"/>
              <w:jc w:val="center"/>
              <w:rPr>
                <w:rFonts w:ascii="Arial" w:hAnsi="Arial" w:cs="Arial"/>
                <w:sz w:val="26"/>
                <w:szCs w:val="26"/>
              </w:rPr>
            </w:pPr>
            <w:r w:rsidRPr="00D233D6">
              <w:rPr>
                <w:rFonts w:ascii="Arial" w:hAnsi="Arial" w:cs="Arial"/>
                <w:sz w:val="26"/>
                <w:szCs w:val="26"/>
              </w:rPr>
              <w:t>-15.19</w:t>
            </w:r>
          </w:p>
        </w:tc>
        <w:tc>
          <w:tcPr>
            <w:tcW w:w="1039" w:type="dxa"/>
            <w:vAlign w:val="bottom"/>
          </w:tcPr>
          <w:p w14:paraId="23142089" w14:textId="77777777" w:rsidR="002959BC" w:rsidRPr="00D233D6" w:rsidRDefault="002959BC" w:rsidP="00131C6C">
            <w:pPr>
              <w:spacing w:line="216" w:lineRule="auto"/>
              <w:jc w:val="center"/>
              <w:rPr>
                <w:rFonts w:ascii="Arial" w:hAnsi="Arial" w:cs="Arial"/>
                <w:sz w:val="26"/>
                <w:szCs w:val="26"/>
              </w:rPr>
            </w:pPr>
            <w:r w:rsidRPr="00D233D6">
              <w:rPr>
                <w:rFonts w:ascii="Arial" w:hAnsi="Arial" w:cs="Arial"/>
                <w:sz w:val="26"/>
                <w:szCs w:val="26"/>
              </w:rPr>
              <w:t>-1.81</w:t>
            </w:r>
          </w:p>
        </w:tc>
        <w:tc>
          <w:tcPr>
            <w:tcW w:w="1039" w:type="dxa"/>
            <w:vAlign w:val="bottom"/>
          </w:tcPr>
          <w:p w14:paraId="5630E5F6"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702.49</w:t>
            </w:r>
          </w:p>
        </w:tc>
        <w:tc>
          <w:tcPr>
            <w:tcW w:w="925" w:type="dxa"/>
            <w:vAlign w:val="bottom"/>
          </w:tcPr>
          <w:p w14:paraId="2CF2DF11"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88.40</w:t>
            </w:r>
          </w:p>
        </w:tc>
        <w:tc>
          <w:tcPr>
            <w:tcW w:w="890" w:type="dxa"/>
            <w:vAlign w:val="bottom"/>
          </w:tcPr>
          <w:p w14:paraId="7C645AB3"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5.43</w:t>
            </w:r>
          </w:p>
        </w:tc>
        <w:tc>
          <w:tcPr>
            <w:tcW w:w="805" w:type="dxa"/>
            <w:vAlign w:val="center"/>
          </w:tcPr>
          <w:p w14:paraId="30F888D4" w14:textId="77777777" w:rsidR="002959BC" w:rsidRPr="00D233D6" w:rsidRDefault="002959BC" w:rsidP="00131C6C">
            <w:pPr>
              <w:spacing w:line="216" w:lineRule="auto"/>
              <w:jc w:val="center"/>
              <w:rPr>
                <w:sz w:val="26"/>
                <w:szCs w:val="26"/>
              </w:rPr>
            </w:pPr>
            <w:r w:rsidRPr="00D233D6">
              <w:rPr>
                <w:rFonts w:ascii="Arial" w:hAnsi="Arial" w:cs="Arial"/>
                <w:color w:val="000000"/>
                <w:sz w:val="26"/>
                <w:szCs w:val="26"/>
              </w:rPr>
              <w:t>0</w:t>
            </w:r>
          </w:p>
        </w:tc>
      </w:tr>
      <w:tr w:rsidR="002959BC" w:rsidRPr="00585E80" w14:paraId="7DCA0B08" w14:textId="77777777" w:rsidTr="00270E6A">
        <w:trPr>
          <w:trHeight w:val="317"/>
        </w:trPr>
        <w:tc>
          <w:tcPr>
            <w:tcW w:w="1472" w:type="dxa"/>
            <w:vAlign w:val="center"/>
          </w:tcPr>
          <w:p w14:paraId="7E8D71D1" w14:textId="77777777" w:rsidR="002959BC" w:rsidRPr="00D233D6" w:rsidRDefault="002959BC" w:rsidP="00131C6C">
            <w:pPr>
              <w:spacing w:line="216" w:lineRule="auto"/>
              <w:jc w:val="both"/>
              <w:rPr>
                <w:sz w:val="26"/>
                <w:szCs w:val="26"/>
              </w:rPr>
            </w:pPr>
            <w:r w:rsidRPr="00D233D6">
              <w:rPr>
                <w:sz w:val="26"/>
                <w:szCs w:val="26"/>
              </w:rPr>
              <w:t>2009/2010</w:t>
            </w:r>
          </w:p>
        </w:tc>
        <w:tc>
          <w:tcPr>
            <w:tcW w:w="1038" w:type="dxa"/>
            <w:vAlign w:val="bottom"/>
          </w:tcPr>
          <w:p w14:paraId="13546161"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89.88</w:t>
            </w:r>
          </w:p>
        </w:tc>
        <w:tc>
          <w:tcPr>
            <w:tcW w:w="1039" w:type="dxa"/>
            <w:vAlign w:val="bottom"/>
          </w:tcPr>
          <w:p w14:paraId="272882DB"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40.26</w:t>
            </w:r>
          </w:p>
        </w:tc>
        <w:tc>
          <w:tcPr>
            <w:tcW w:w="1040" w:type="dxa"/>
            <w:vAlign w:val="bottom"/>
          </w:tcPr>
          <w:p w14:paraId="5830E360"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61.23</w:t>
            </w:r>
          </w:p>
        </w:tc>
        <w:tc>
          <w:tcPr>
            <w:tcW w:w="1039" w:type="dxa"/>
            <w:vAlign w:val="bottom"/>
          </w:tcPr>
          <w:p w14:paraId="668FAF37"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2.46</w:t>
            </w:r>
          </w:p>
        </w:tc>
        <w:tc>
          <w:tcPr>
            <w:tcW w:w="1039" w:type="dxa"/>
            <w:vAlign w:val="bottom"/>
          </w:tcPr>
          <w:p w14:paraId="3141CCEA"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576.83</w:t>
            </w:r>
          </w:p>
        </w:tc>
        <w:tc>
          <w:tcPr>
            <w:tcW w:w="925" w:type="dxa"/>
            <w:vAlign w:val="bottom"/>
          </w:tcPr>
          <w:p w14:paraId="445EF11E"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83.16</w:t>
            </w:r>
          </w:p>
        </w:tc>
        <w:tc>
          <w:tcPr>
            <w:tcW w:w="890" w:type="dxa"/>
            <w:vAlign w:val="bottom"/>
          </w:tcPr>
          <w:p w14:paraId="0954EA03"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5.54</w:t>
            </w:r>
          </w:p>
        </w:tc>
        <w:tc>
          <w:tcPr>
            <w:tcW w:w="805" w:type="dxa"/>
            <w:vAlign w:val="center"/>
          </w:tcPr>
          <w:p w14:paraId="19A22DF7" w14:textId="77777777" w:rsidR="002959BC" w:rsidRPr="00D233D6" w:rsidRDefault="002959BC" w:rsidP="00131C6C">
            <w:pPr>
              <w:spacing w:line="216" w:lineRule="auto"/>
              <w:jc w:val="center"/>
              <w:rPr>
                <w:sz w:val="26"/>
                <w:szCs w:val="26"/>
              </w:rPr>
            </w:pPr>
            <w:r w:rsidRPr="00D233D6">
              <w:rPr>
                <w:rFonts w:ascii="Arial" w:hAnsi="Arial" w:cs="Arial"/>
                <w:color w:val="000000"/>
                <w:sz w:val="26"/>
                <w:szCs w:val="26"/>
              </w:rPr>
              <w:t>0</w:t>
            </w:r>
          </w:p>
        </w:tc>
      </w:tr>
      <w:tr w:rsidR="002959BC" w:rsidRPr="00585E80" w14:paraId="4BE42819" w14:textId="77777777" w:rsidTr="00270E6A">
        <w:trPr>
          <w:trHeight w:val="317"/>
        </w:trPr>
        <w:tc>
          <w:tcPr>
            <w:tcW w:w="1472" w:type="dxa"/>
            <w:vAlign w:val="center"/>
          </w:tcPr>
          <w:p w14:paraId="4B163BD9" w14:textId="77777777" w:rsidR="002959BC" w:rsidRPr="00D233D6" w:rsidRDefault="002959BC" w:rsidP="00131C6C">
            <w:pPr>
              <w:spacing w:line="216" w:lineRule="auto"/>
              <w:jc w:val="both"/>
              <w:rPr>
                <w:sz w:val="26"/>
                <w:szCs w:val="26"/>
              </w:rPr>
            </w:pPr>
            <w:r w:rsidRPr="00D233D6">
              <w:rPr>
                <w:sz w:val="26"/>
                <w:szCs w:val="26"/>
              </w:rPr>
              <w:t>2010/2011</w:t>
            </w:r>
          </w:p>
        </w:tc>
        <w:tc>
          <w:tcPr>
            <w:tcW w:w="1038" w:type="dxa"/>
            <w:vAlign w:val="bottom"/>
          </w:tcPr>
          <w:p w14:paraId="2F02DD1C"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100.00</w:t>
            </w:r>
          </w:p>
        </w:tc>
        <w:tc>
          <w:tcPr>
            <w:tcW w:w="1039" w:type="dxa"/>
            <w:vAlign w:val="bottom"/>
          </w:tcPr>
          <w:p w14:paraId="1BE93685"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109.58</w:t>
            </w:r>
          </w:p>
        </w:tc>
        <w:tc>
          <w:tcPr>
            <w:tcW w:w="1040" w:type="dxa"/>
            <w:vAlign w:val="bottom"/>
          </w:tcPr>
          <w:p w14:paraId="5CDD3A65"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34.71</w:t>
            </w:r>
          </w:p>
        </w:tc>
        <w:tc>
          <w:tcPr>
            <w:tcW w:w="1039" w:type="dxa"/>
            <w:vAlign w:val="bottom"/>
          </w:tcPr>
          <w:p w14:paraId="2E1629BB"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5.02</w:t>
            </w:r>
          </w:p>
        </w:tc>
        <w:tc>
          <w:tcPr>
            <w:tcW w:w="1039" w:type="dxa"/>
            <w:vAlign w:val="bottom"/>
          </w:tcPr>
          <w:p w14:paraId="234BBA23"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558.61</w:t>
            </w:r>
          </w:p>
        </w:tc>
        <w:tc>
          <w:tcPr>
            <w:tcW w:w="925" w:type="dxa"/>
            <w:vAlign w:val="bottom"/>
          </w:tcPr>
          <w:p w14:paraId="2B3083F8"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80.75</w:t>
            </w:r>
          </w:p>
        </w:tc>
        <w:tc>
          <w:tcPr>
            <w:tcW w:w="890" w:type="dxa"/>
            <w:vAlign w:val="bottom"/>
          </w:tcPr>
          <w:p w14:paraId="7F437DDB"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5.62</w:t>
            </w:r>
          </w:p>
        </w:tc>
        <w:tc>
          <w:tcPr>
            <w:tcW w:w="805" w:type="dxa"/>
            <w:vAlign w:val="bottom"/>
          </w:tcPr>
          <w:p w14:paraId="5B4046AC"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0</w:t>
            </w:r>
          </w:p>
        </w:tc>
      </w:tr>
      <w:tr w:rsidR="002959BC" w:rsidRPr="00585E80" w14:paraId="074F3CBC" w14:textId="77777777" w:rsidTr="00270E6A">
        <w:trPr>
          <w:trHeight w:val="317"/>
        </w:trPr>
        <w:tc>
          <w:tcPr>
            <w:tcW w:w="1472" w:type="dxa"/>
            <w:vAlign w:val="center"/>
          </w:tcPr>
          <w:p w14:paraId="0AE32B57" w14:textId="77777777" w:rsidR="002959BC" w:rsidRPr="00D233D6" w:rsidRDefault="002959BC" w:rsidP="00131C6C">
            <w:pPr>
              <w:spacing w:line="216" w:lineRule="auto"/>
              <w:jc w:val="both"/>
              <w:rPr>
                <w:sz w:val="26"/>
                <w:szCs w:val="26"/>
              </w:rPr>
            </w:pPr>
            <w:r w:rsidRPr="00D233D6">
              <w:rPr>
                <w:sz w:val="26"/>
                <w:szCs w:val="26"/>
              </w:rPr>
              <w:t>2011/2012</w:t>
            </w:r>
          </w:p>
        </w:tc>
        <w:tc>
          <w:tcPr>
            <w:tcW w:w="1038" w:type="dxa"/>
            <w:vAlign w:val="bottom"/>
          </w:tcPr>
          <w:p w14:paraId="48025D6E"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110.05</w:t>
            </w:r>
          </w:p>
        </w:tc>
        <w:tc>
          <w:tcPr>
            <w:tcW w:w="1039" w:type="dxa"/>
            <w:vAlign w:val="bottom"/>
          </w:tcPr>
          <w:p w14:paraId="1DC720FA" w14:textId="77777777" w:rsidR="002959BC" w:rsidRPr="00D233D6" w:rsidRDefault="002959BC" w:rsidP="00131C6C">
            <w:pPr>
              <w:spacing w:line="216" w:lineRule="auto"/>
              <w:jc w:val="center"/>
              <w:rPr>
                <w:rFonts w:ascii="Arial" w:hAnsi="Arial" w:cs="Arial"/>
                <w:sz w:val="26"/>
                <w:szCs w:val="26"/>
              </w:rPr>
            </w:pPr>
            <w:r w:rsidRPr="00D233D6">
              <w:rPr>
                <w:rFonts w:ascii="Arial" w:hAnsi="Arial" w:cs="Arial"/>
                <w:sz w:val="26"/>
                <w:szCs w:val="26"/>
              </w:rPr>
              <w:t>146.37</w:t>
            </w:r>
          </w:p>
        </w:tc>
        <w:tc>
          <w:tcPr>
            <w:tcW w:w="1040" w:type="dxa"/>
            <w:vAlign w:val="bottom"/>
          </w:tcPr>
          <w:p w14:paraId="7B48CC64" w14:textId="77777777" w:rsidR="002959BC" w:rsidRPr="00D233D6" w:rsidRDefault="002959BC" w:rsidP="00131C6C">
            <w:pPr>
              <w:spacing w:line="216" w:lineRule="auto"/>
              <w:jc w:val="center"/>
              <w:rPr>
                <w:rFonts w:ascii="Arial" w:hAnsi="Arial" w:cs="Arial"/>
                <w:sz w:val="26"/>
                <w:szCs w:val="26"/>
              </w:rPr>
            </w:pPr>
            <w:r w:rsidRPr="00D233D6">
              <w:rPr>
                <w:rFonts w:ascii="Arial" w:hAnsi="Arial" w:cs="Arial"/>
                <w:sz w:val="26"/>
                <w:szCs w:val="26"/>
              </w:rPr>
              <w:t>35.84</w:t>
            </w:r>
          </w:p>
        </w:tc>
        <w:tc>
          <w:tcPr>
            <w:tcW w:w="1039" w:type="dxa"/>
            <w:vAlign w:val="bottom"/>
          </w:tcPr>
          <w:p w14:paraId="32D613A9" w14:textId="77777777" w:rsidR="002959BC" w:rsidRPr="00D233D6" w:rsidRDefault="002959BC" w:rsidP="00131C6C">
            <w:pPr>
              <w:spacing w:line="216" w:lineRule="auto"/>
              <w:jc w:val="center"/>
              <w:rPr>
                <w:rFonts w:ascii="Arial" w:hAnsi="Arial" w:cs="Arial"/>
                <w:sz w:val="26"/>
                <w:szCs w:val="26"/>
              </w:rPr>
            </w:pPr>
            <w:r w:rsidRPr="00D233D6">
              <w:rPr>
                <w:rFonts w:ascii="Arial" w:hAnsi="Arial" w:cs="Arial"/>
                <w:sz w:val="26"/>
                <w:szCs w:val="26"/>
              </w:rPr>
              <w:t>-9.06</w:t>
            </w:r>
          </w:p>
        </w:tc>
        <w:tc>
          <w:tcPr>
            <w:tcW w:w="1039" w:type="dxa"/>
            <w:vAlign w:val="bottom"/>
          </w:tcPr>
          <w:p w14:paraId="59BD13A2"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605.57</w:t>
            </w:r>
          </w:p>
        </w:tc>
        <w:tc>
          <w:tcPr>
            <w:tcW w:w="925" w:type="dxa"/>
            <w:vAlign w:val="bottom"/>
          </w:tcPr>
          <w:p w14:paraId="45A71481"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75.79</w:t>
            </w:r>
          </w:p>
        </w:tc>
        <w:tc>
          <w:tcPr>
            <w:tcW w:w="890" w:type="dxa"/>
            <w:vAlign w:val="bottom"/>
          </w:tcPr>
          <w:p w14:paraId="35CA6CDC"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5.93</w:t>
            </w:r>
          </w:p>
        </w:tc>
        <w:tc>
          <w:tcPr>
            <w:tcW w:w="805" w:type="dxa"/>
            <w:vAlign w:val="bottom"/>
          </w:tcPr>
          <w:p w14:paraId="31BEFF27"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w:t>
            </w:r>
          </w:p>
        </w:tc>
      </w:tr>
      <w:tr w:rsidR="002959BC" w:rsidRPr="00585E80" w14:paraId="431882F1" w14:textId="77777777" w:rsidTr="00270E6A">
        <w:trPr>
          <w:trHeight w:val="317"/>
        </w:trPr>
        <w:tc>
          <w:tcPr>
            <w:tcW w:w="1472" w:type="dxa"/>
            <w:vAlign w:val="center"/>
          </w:tcPr>
          <w:p w14:paraId="05D9A94E" w14:textId="77777777" w:rsidR="002959BC" w:rsidRPr="00D233D6" w:rsidRDefault="002959BC" w:rsidP="00131C6C">
            <w:pPr>
              <w:spacing w:line="216" w:lineRule="auto"/>
              <w:jc w:val="both"/>
              <w:rPr>
                <w:sz w:val="26"/>
                <w:szCs w:val="26"/>
              </w:rPr>
            </w:pPr>
            <w:r w:rsidRPr="00D233D6">
              <w:rPr>
                <w:sz w:val="26"/>
                <w:szCs w:val="26"/>
              </w:rPr>
              <w:t>2012/2013</w:t>
            </w:r>
          </w:p>
        </w:tc>
        <w:tc>
          <w:tcPr>
            <w:tcW w:w="1038" w:type="dxa"/>
            <w:vAlign w:val="bottom"/>
          </w:tcPr>
          <w:p w14:paraId="0A40C0DF"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117.89</w:t>
            </w:r>
          </w:p>
        </w:tc>
        <w:tc>
          <w:tcPr>
            <w:tcW w:w="1039" w:type="dxa"/>
            <w:vAlign w:val="bottom"/>
          </w:tcPr>
          <w:p w14:paraId="7133F2F1"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221.34</w:t>
            </w:r>
          </w:p>
        </w:tc>
        <w:tc>
          <w:tcPr>
            <w:tcW w:w="1040" w:type="dxa"/>
            <w:vAlign w:val="bottom"/>
          </w:tcPr>
          <w:p w14:paraId="70FBEFC6"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49.29</w:t>
            </w:r>
          </w:p>
        </w:tc>
        <w:tc>
          <w:tcPr>
            <w:tcW w:w="1039" w:type="dxa"/>
            <w:vAlign w:val="bottom"/>
          </w:tcPr>
          <w:p w14:paraId="0C2A723F"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20.27</w:t>
            </w:r>
          </w:p>
        </w:tc>
        <w:tc>
          <w:tcPr>
            <w:tcW w:w="1039" w:type="dxa"/>
            <w:vAlign w:val="bottom"/>
          </w:tcPr>
          <w:p w14:paraId="536DA357"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670.97</w:t>
            </w:r>
          </w:p>
        </w:tc>
        <w:tc>
          <w:tcPr>
            <w:tcW w:w="925" w:type="dxa"/>
            <w:vAlign w:val="bottom"/>
          </w:tcPr>
          <w:p w14:paraId="3020333F"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69.72</w:t>
            </w:r>
          </w:p>
        </w:tc>
        <w:tc>
          <w:tcPr>
            <w:tcW w:w="890" w:type="dxa"/>
            <w:vAlign w:val="bottom"/>
          </w:tcPr>
          <w:p w14:paraId="5E5ACE47"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6.06</w:t>
            </w:r>
          </w:p>
        </w:tc>
        <w:tc>
          <w:tcPr>
            <w:tcW w:w="805" w:type="dxa"/>
            <w:vAlign w:val="bottom"/>
          </w:tcPr>
          <w:p w14:paraId="5CA86431"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w:t>
            </w:r>
          </w:p>
        </w:tc>
      </w:tr>
      <w:tr w:rsidR="002959BC" w:rsidRPr="00585E80" w14:paraId="3AB722C1" w14:textId="77777777" w:rsidTr="00270E6A">
        <w:trPr>
          <w:trHeight w:val="317"/>
        </w:trPr>
        <w:tc>
          <w:tcPr>
            <w:tcW w:w="1472" w:type="dxa"/>
            <w:vAlign w:val="center"/>
          </w:tcPr>
          <w:p w14:paraId="1E643AE8" w14:textId="77777777" w:rsidR="002959BC" w:rsidRPr="00D233D6" w:rsidRDefault="002959BC" w:rsidP="00131C6C">
            <w:pPr>
              <w:spacing w:line="216" w:lineRule="auto"/>
              <w:jc w:val="both"/>
              <w:rPr>
                <w:sz w:val="26"/>
                <w:szCs w:val="26"/>
              </w:rPr>
            </w:pPr>
            <w:r w:rsidRPr="00D233D6">
              <w:rPr>
                <w:sz w:val="26"/>
                <w:szCs w:val="26"/>
              </w:rPr>
              <w:t>2013/2014</w:t>
            </w:r>
          </w:p>
        </w:tc>
        <w:tc>
          <w:tcPr>
            <w:tcW w:w="1038" w:type="dxa"/>
            <w:vAlign w:val="bottom"/>
          </w:tcPr>
          <w:p w14:paraId="0634AA94"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128.99</w:t>
            </w:r>
          </w:p>
        </w:tc>
        <w:tc>
          <w:tcPr>
            <w:tcW w:w="1039" w:type="dxa"/>
            <w:vAlign w:val="bottom"/>
          </w:tcPr>
          <w:p w14:paraId="2D80B081"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244.36</w:t>
            </w:r>
          </w:p>
        </w:tc>
        <w:tc>
          <w:tcPr>
            <w:tcW w:w="1040" w:type="dxa"/>
            <w:vAlign w:val="bottom"/>
          </w:tcPr>
          <w:p w14:paraId="3D001C4E"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32.96</w:t>
            </w:r>
          </w:p>
        </w:tc>
        <w:tc>
          <w:tcPr>
            <w:tcW w:w="1039" w:type="dxa"/>
            <w:vAlign w:val="bottom"/>
          </w:tcPr>
          <w:p w14:paraId="484AB533"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4.02</w:t>
            </w:r>
          </w:p>
        </w:tc>
        <w:tc>
          <w:tcPr>
            <w:tcW w:w="1039" w:type="dxa"/>
            <w:vAlign w:val="bottom"/>
          </w:tcPr>
          <w:p w14:paraId="75164FB3"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674.92</w:t>
            </w:r>
          </w:p>
        </w:tc>
        <w:tc>
          <w:tcPr>
            <w:tcW w:w="925" w:type="dxa"/>
            <w:vAlign w:val="bottom"/>
          </w:tcPr>
          <w:p w14:paraId="73FC6EA0"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74.61</w:t>
            </w:r>
          </w:p>
        </w:tc>
        <w:tc>
          <w:tcPr>
            <w:tcW w:w="890" w:type="dxa"/>
            <w:vAlign w:val="bottom"/>
          </w:tcPr>
          <w:p w14:paraId="362CDFD8"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6.87</w:t>
            </w:r>
          </w:p>
        </w:tc>
        <w:tc>
          <w:tcPr>
            <w:tcW w:w="805" w:type="dxa"/>
            <w:vAlign w:val="bottom"/>
          </w:tcPr>
          <w:p w14:paraId="729434B6"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w:t>
            </w:r>
          </w:p>
        </w:tc>
      </w:tr>
      <w:tr w:rsidR="002959BC" w:rsidRPr="00585E80" w14:paraId="5E14F7CC" w14:textId="77777777" w:rsidTr="00270E6A">
        <w:trPr>
          <w:trHeight w:val="317"/>
        </w:trPr>
        <w:tc>
          <w:tcPr>
            <w:tcW w:w="1472" w:type="dxa"/>
            <w:vAlign w:val="center"/>
          </w:tcPr>
          <w:p w14:paraId="1EBD0AAD" w14:textId="77777777" w:rsidR="002959BC" w:rsidRPr="00D233D6" w:rsidRDefault="002959BC" w:rsidP="00131C6C">
            <w:pPr>
              <w:spacing w:line="216" w:lineRule="auto"/>
              <w:jc w:val="both"/>
              <w:rPr>
                <w:sz w:val="26"/>
                <w:szCs w:val="26"/>
              </w:rPr>
            </w:pPr>
            <w:r w:rsidRPr="00D233D6">
              <w:rPr>
                <w:sz w:val="26"/>
                <w:szCs w:val="26"/>
              </w:rPr>
              <w:t>2014/2015</w:t>
            </w:r>
          </w:p>
        </w:tc>
        <w:tc>
          <w:tcPr>
            <w:tcW w:w="1038" w:type="dxa"/>
            <w:vAlign w:val="bottom"/>
          </w:tcPr>
          <w:p w14:paraId="554F4A0A"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142.08</w:t>
            </w:r>
          </w:p>
        </w:tc>
        <w:tc>
          <w:tcPr>
            <w:tcW w:w="1039" w:type="dxa"/>
            <w:vAlign w:val="bottom"/>
          </w:tcPr>
          <w:p w14:paraId="5DD84E81"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248.45</w:t>
            </w:r>
          </w:p>
        </w:tc>
        <w:tc>
          <w:tcPr>
            <w:tcW w:w="1040" w:type="dxa"/>
            <w:vAlign w:val="bottom"/>
          </w:tcPr>
          <w:p w14:paraId="4E4881C8"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79.27</w:t>
            </w:r>
          </w:p>
        </w:tc>
        <w:tc>
          <w:tcPr>
            <w:tcW w:w="1039" w:type="dxa"/>
            <w:vAlign w:val="bottom"/>
          </w:tcPr>
          <w:p w14:paraId="4EA7A41B"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-25.12</w:t>
            </w:r>
          </w:p>
        </w:tc>
        <w:tc>
          <w:tcPr>
            <w:tcW w:w="1039" w:type="dxa"/>
            <w:vAlign w:val="bottom"/>
          </w:tcPr>
          <w:p w14:paraId="104F8078"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675.58</w:t>
            </w:r>
          </w:p>
        </w:tc>
        <w:tc>
          <w:tcPr>
            <w:tcW w:w="925" w:type="dxa"/>
            <w:vAlign w:val="bottom"/>
          </w:tcPr>
          <w:p w14:paraId="55003B35"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75.44</w:t>
            </w:r>
          </w:p>
        </w:tc>
        <w:tc>
          <w:tcPr>
            <w:tcW w:w="890" w:type="dxa"/>
            <w:vAlign w:val="bottom"/>
          </w:tcPr>
          <w:p w14:paraId="04EC4244"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7.08</w:t>
            </w:r>
          </w:p>
        </w:tc>
        <w:tc>
          <w:tcPr>
            <w:tcW w:w="805" w:type="dxa"/>
            <w:vAlign w:val="bottom"/>
          </w:tcPr>
          <w:p w14:paraId="76B6CE4B"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w:t>
            </w:r>
          </w:p>
        </w:tc>
      </w:tr>
      <w:tr w:rsidR="002959BC" w:rsidRPr="00921384" w14:paraId="7CBABBB0" w14:textId="77777777" w:rsidTr="00270E6A">
        <w:trPr>
          <w:trHeight w:val="317"/>
        </w:trPr>
        <w:tc>
          <w:tcPr>
            <w:tcW w:w="1472" w:type="dxa"/>
            <w:vAlign w:val="center"/>
          </w:tcPr>
          <w:p w14:paraId="65734451" w14:textId="77777777" w:rsidR="002959BC" w:rsidRPr="00D233D6" w:rsidRDefault="002959BC" w:rsidP="00131C6C">
            <w:pPr>
              <w:spacing w:line="216" w:lineRule="auto"/>
              <w:jc w:val="both"/>
              <w:rPr>
                <w:sz w:val="26"/>
                <w:szCs w:val="26"/>
              </w:rPr>
            </w:pPr>
            <w:r w:rsidRPr="00D233D6">
              <w:rPr>
                <w:sz w:val="26"/>
                <w:szCs w:val="26"/>
              </w:rPr>
              <w:t>2015/2016</w:t>
            </w:r>
          </w:p>
        </w:tc>
        <w:tc>
          <w:tcPr>
            <w:tcW w:w="1038" w:type="dxa"/>
            <w:vAlign w:val="bottom"/>
          </w:tcPr>
          <w:p w14:paraId="1210D742"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156.80</w:t>
            </w:r>
          </w:p>
        </w:tc>
        <w:tc>
          <w:tcPr>
            <w:tcW w:w="1039" w:type="dxa"/>
            <w:vAlign w:val="bottom"/>
          </w:tcPr>
          <w:p w14:paraId="2B1EADCF"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 </w:t>
            </w:r>
          </w:p>
        </w:tc>
        <w:tc>
          <w:tcPr>
            <w:tcW w:w="1040" w:type="dxa"/>
            <w:vAlign w:val="bottom"/>
          </w:tcPr>
          <w:p w14:paraId="52FEA5D4"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 </w:t>
            </w:r>
          </w:p>
        </w:tc>
        <w:tc>
          <w:tcPr>
            <w:tcW w:w="1039" w:type="dxa"/>
            <w:vAlign w:val="bottom"/>
          </w:tcPr>
          <w:p w14:paraId="0E2CA8BC"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 </w:t>
            </w:r>
          </w:p>
        </w:tc>
        <w:tc>
          <w:tcPr>
            <w:tcW w:w="1039" w:type="dxa"/>
            <w:vAlign w:val="bottom"/>
          </w:tcPr>
          <w:p w14:paraId="6251EB4B"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682.01</w:t>
            </w:r>
          </w:p>
        </w:tc>
        <w:tc>
          <w:tcPr>
            <w:tcW w:w="925" w:type="dxa"/>
            <w:vAlign w:val="bottom"/>
          </w:tcPr>
          <w:p w14:paraId="7BBC8285"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77.99</w:t>
            </w:r>
          </w:p>
        </w:tc>
        <w:tc>
          <w:tcPr>
            <w:tcW w:w="890" w:type="dxa"/>
            <w:vAlign w:val="bottom"/>
          </w:tcPr>
          <w:p w14:paraId="09E82633"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7.69</w:t>
            </w:r>
          </w:p>
        </w:tc>
        <w:tc>
          <w:tcPr>
            <w:tcW w:w="805" w:type="dxa"/>
            <w:vAlign w:val="bottom"/>
          </w:tcPr>
          <w:p w14:paraId="2A0E2C00"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0</w:t>
            </w:r>
          </w:p>
        </w:tc>
      </w:tr>
      <w:tr w:rsidR="002959BC" w:rsidRPr="00CB3AB5" w14:paraId="2E44A3AD" w14:textId="77777777" w:rsidTr="00270E6A">
        <w:trPr>
          <w:trHeight w:val="317"/>
        </w:trPr>
        <w:tc>
          <w:tcPr>
            <w:tcW w:w="1472" w:type="dxa"/>
            <w:vAlign w:val="center"/>
          </w:tcPr>
          <w:p w14:paraId="22BF37EA" w14:textId="77777777" w:rsidR="002959BC" w:rsidRPr="00D233D6" w:rsidRDefault="002959BC" w:rsidP="00131C6C">
            <w:pPr>
              <w:spacing w:line="216" w:lineRule="auto"/>
              <w:jc w:val="both"/>
              <w:rPr>
                <w:sz w:val="26"/>
                <w:szCs w:val="26"/>
              </w:rPr>
            </w:pPr>
            <w:r w:rsidRPr="00D233D6">
              <w:rPr>
                <w:sz w:val="26"/>
                <w:szCs w:val="26"/>
              </w:rPr>
              <w:t>2016/2017</w:t>
            </w:r>
          </w:p>
        </w:tc>
        <w:tc>
          <w:tcPr>
            <w:tcW w:w="1038" w:type="dxa"/>
            <w:vAlign w:val="bottom"/>
          </w:tcPr>
          <w:p w14:paraId="1CD0D1EB"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178.46</w:t>
            </w:r>
          </w:p>
        </w:tc>
        <w:tc>
          <w:tcPr>
            <w:tcW w:w="1039" w:type="dxa"/>
            <w:vAlign w:val="bottom"/>
          </w:tcPr>
          <w:p w14:paraId="1211E9E8"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206.05</w:t>
            </w:r>
          </w:p>
        </w:tc>
        <w:tc>
          <w:tcPr>
            <w:tcW w:w="1040" w:type="dxa"/>
            <w:vAlign w:val="bottom"/>
          </w:tcPr>
          <w:p w14:paraId="54473256"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192.74</w:t>
            </w:r>
          </w:p>
        </w:tc>
        <w:tc>
          <w:tcPr>
            <w:tcW w:w="1039" w:type="dxa"/>
            <w:vAlign w:val="bottom"/>
          </w:tcPr>
          <w:p w14:paraId="4A62EAE7"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188.21</w:t>
            </w:r>
          </w:p>
        </w:tc>
        <w:tc>
          <w:tcPr>
            <w:tcW w:w="1039" w:type="dxa"/>
            <w:vAlign w:val="bottom"/>
          </w:tcPr>
          <w:p w14:paraId="4FDA7BB4"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666.85</w:t>
            </w:r>
          </w:p>
        </w:tc>
        <w:tc>
          <w:tcPr>
            <w:tcW w:w="925" w:type="dxa"/>
            <w:vAlign w:val="bottom"/>
          </w:tcPr>
          <w:p w14:paraId="0BC895CA"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98.14</w:t>
            </w:r>
          </w:p>
        </w:tc>
        <w:tc>
          <w:tcPr>
            <w:tcW w:w="890" w:type="dxa"/>
            <w:vAlign w:val="bottom"/>
          </w:tcPr>
          <w:p w14:paraId="2927215A"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10.03</w:t>
            </w:r>
          </w:p>
        </w:tc>
        <w:tc>
          <w:tcPr>
            <w:tcW w:w="805" w:type="dxa"/>
            <w:vAlign w:val="bottom"/>
          </w:tcPr>
          <w:p w14:paraId="5D3751A9"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0</w:t>
            </w:r>
          </w:p>
        </w:tc>
      </w:tr>
      <w:tr w:rsidR="002959BC" w:rsidRPr="00CB3AB5" w14:paraId="14A303E0" w14:textId="77777777" w:rsidTr="00270E6A">
        <w:trPr>
          <w:trHeight w:val="317"/>
        </w:trPr>
        <w:tc>
          <w:tcPr>
            <w:tcW w:w="1472" w:type="dxa"/>
            <w:vAlign w:val="center"/>
          </w:tcPr>
          <w:p w14:paraId="1A47F12D" w14:textId="77777777" w:rsidR="002959BC" w:rsidRPr="00D233D6" w:rsidRDefault="002959BC" w:rsidP="00131C6C">
            <w:pPr>
              <w:spacing w:line="216" w:lineRule="auto"/>
              <w:jc w:val="both"/>
              <w:rPr>
                <w:sz w:val="26"/>
                <w:szCs w:val="26"/>
              </w:rPr>
            </w:pPr>
            <w:r w:rsidRPr="003C4D76">
              <w:rPr>
                <w:sz w:val="26"/>
                <w:szCs w:val="26"/>
              </w:rPr>
              <w:t>2017/2018</w:t>
            </w:r>
          </w:p>
        </w:tc>
        <w:tc>
          <w:tcPr>
            <w:tcW w:w="1038" w:type="dxa"/>
            <w:vAlign w:val="bottom"/>
          </w:tcPr>
          <w:p w14:paraId="54FC1035" w14:textId="77777777" w:rsidR="002959BC" w:rsidRPr="00D233D6" w:rsidRDefault="002959BC" w:rsidP="00131C6C">
            <w:pPr>
              <w:spacing w:line="216" w:lineRule="auto"/>
              <w:jc w:val="center"/>
              <w:rPr>
                <w:rFonts w:ascii="Arial" w:hAnsi="Arial" w:cs="Arial"/>
                <w:color w:val="000000"/>
                <w:sz w:val="26"/>
                <w:szCs w:val="26"/>
              </w:rPr>
            </w:pPr>
            <w:r w:rsidRPr="003C4D76">
              <w:rPr>
                <w:rFonts w:ascii="Arial" w:hAnsi="Arial" w:cs="Arial"/>
                <w:color w:val="000000"/>
                <w:sz w:val="26"/>
                <w:szCs w:val="26"/>
              </w:rPr>
              <w:t>231.09</w:t>
            </w:r>
          </w:p>
        </w:tc>
        <w:tc>
          <w:tcPr>
            <w:tcW w:w="1039" w:type="dxa"/>
            <w:vAlign w:val="bottom"/>
          </w:tcPr>
          <w:p w14:paraId="65069852" w14:textId="77777777" w:rsidR="002959BC" w:rsidRPr="00D233D6" w:rsidRDefault="002959BC" w:rsidP="00131C6C">
            <w:pPr>
              <w:spacing w:line="216" w:lineRule="auto"/>
              <w:jc w:val="center"/>
              <w:rPr>
                <w:rFonts w:ascii="Arial" w:hAnsi="Arial" w:cs="Arial"/>
                <w:color w:val="000000"/>
                <w:sz w:val="26"/>
                <w:szCs w:val="26"/>
              </w:rPr>
            </w:pPr>
            <w:r w:rsidRPr="003C4D76">
              <w:rPr>
                <w:rFonts w:ascii="Arial" w:hAnsi="Arial" w:cs="Arial"/>
                <w:color w:val="000000"/>
                <w:sz w:val="26"/>
                <w:szCs w:val="26"/>
              </w:rPr>
              <w:t>176.20</w:t>
            </w:r>
          </w:p>
        </w:tc>
        <w:tc>
          <w:tcPr>
            <w:tcW w:w="1040" w:type="dxa"/>
            <w:vAlign w:val="bottom"/>
          </w:tcPr>
          <w:p w14:paraId="490E5E2D" w14:textId="77777777" w:rsidR="002959BC" w:rsidRPr="00D233D6" w:rsidRDefault="002959BC" w:rsidP="00131C6C">
            <w:pPr>
              <w:spacing w:line="216" w:lineRule="auto"/>
              <w:jc w:val="center"/>
              <w:rPr>
                <w:rFonts w:ascii="Arial" w:hAnsi="Arial" w:cs="Arial"/>
                <w:color w:val="000000"/>
                <w:sz w:val="26"/>
                <w:szCs w:val="26"/>
              </w:rPr>
            </w:pPr>
            <w:r w:rsidRPr="003C4D76">
              <w:rPr>
                <w:rFonts w:ascii="Arial" w:hAnsi="Arial" w:cs="Arial"/>
                <w:color w:val="000000"/>
                <w:sz w:val="26"/>
                <w:szCs w:val="26"/>
              </w:rPr>
              <w:t>253.58</w:t>
            </w:r>
          </w:p>
        </w:tc>
        <w:tc>
          <w:tcPr>
            <w:tcW w:w="1039" w:type="dxa"/>
            <w:vAlign w:val="bottom"/>
          </w:tcPr>
          <w:p w14:paraId="473FBCC3" w14:textId="77777777" w:rsidR="002959BC" w:rsidRPr="00D233D6" w:rsidRDefault="002959BC" w:rsidP="00131C6C">
            <w:pPr>
              <w:spacing w:line="216" w:lineRule="auto"/>
              <w:jc w:val="center"/>
              <w:rPr>
                <w:rFonts w:ascii="Arial" w:hAnsi="Arial" w:cs="Arial"/>
                <w:color w:val="000000"/>
                <w:sz w:val="26"/>
                <w:szCs w:val="26"/>
              </w:rPr>
            </w:pPr>
            <w:r w:rsidRPr="003C4D76">
              <w:rPr>
                <w:rFonts w:ascii="Arial" w:hAnsi="Arial" w:cs="Arial"/>
                <w:color w:val="000000"/>
                <w:sz w:val="26"/>
                <w:szCs w:val="26"/>
              </w:rPr>
              <w:t>230.33</w:t>
            </w:r>
          </w:p>
        </w:tc>
        <w:tc>
          <w:tcPr>
            <w:tcW w:w="1039" w:type="dxa"/>
            <w:vAlign w:val="bottom"/>
          </w:tcPr>
          <w:p w14:paraId="73396B90" w14:textId="77777777" w:rsidR="002959BC" w:rsidRPr="00D233D6" w:rsidRDefault="002959BC" w:rsidP="00131C6C">
            <w:pPr>
              <w:spacing w:line="216" w:lineRule="auto"/>
              <w:jc w:val="center"/>
              <w:rPr>
                <w:rFonts w:ascii="Arial" w:hAnsi="Arial" w:cs="Arial"/>
                <w:color w:val="000000"/>
                <w:sz w:val="26"/>
                <w:szCs w:val="26"/>
              </w:rPr>
            </w:pPr>
            <w:r w:rsidRPr="003C4D76">
              <w:rPr>
                <w:rFonts w:ascii="Arial" w:hAnsi="Arial" w:cs="Arial"/>
                <w:color w:val="000000"/>
                <w:sz w:val="26"/>
                <w:szCs w:val="26"/>
              </w:rPr>
              <w:t>1017.00</w:t>
            </w:r>
          </w:p>
        </w:tc>
        <w:tc>
          <w:tcPr>
            <w:tcW w:w="925" w:type="dxa"/>
            <w:vAlign w:val="bottom"/>
          </w:tcPr>
          <w:p w14:paraId="7CE074A3" w14:textId="77777777" w:rsidR="002959BC" w:rsidRPr="00D233D6" w:rsidRDefault="002959BC" w:rsidP="00131C6C">
            <w:pPr>
              <w:spacing w:line="216" w:lineRule="auto"/>
              <w:jc w:val="center"/>
              <w:rPr>
                <w:rFonts w:ascii="Arial" w:hAnsi="Arial" w:cs="Arial"/>
                <w:color w:val="000000"/>
                <w:sz w:val="26"/>
                <w:szCs w:val="26"/>
              </w:rPr>
            </w:pPr>
            <w:r w:rsidRPr="003C4D76">
              <w:rPr>
                <w:rFonts w:ascii="Arial" w:hAnsi="Arial" w:cs="Arial"/>
                <w:color w:val="000000"/>
                <w:sz w:val="26"/>
                <w:szCs w:val="26"/>
              </w:rPr>
              <w:t>92.30</w:t>
            </w:r>
          </w:p>
        </w:tc>
        <w:tc>
          <w:tcPr>
            <w:tcW w:w="890" w:type="dxa"/>
            <w:vAlign w:val="bottom"/>
          </w:tcPr>
          <w:p w14:paraId="49E77ED6" w14:textId="77777777" w:rsidR="002959BC" w:rsidRPr="00D233D6" w:rsidRDefault="002959BC" w:rsidP="00131C6C">
            <w:pPr>
              <w:spacing w:line="216" w:lineRule="auto"/>
              <w:jc w:val="center"/>
              <w:rPr>
                <w:rFonts w:ascii="Arial" w:hAnsi="Arial" w:cs="Arial"/>
                <w:color w:val="000000"/>
                <w:sz w:val="26"/>
                <w:szCs w:val="26"/>
              </w:rPr>
            </w:pPr>
            <w:r w:rsidRPr="003C4D76">
              <w:rPr>
                <w:rFonts w:ascii="Arial" w:hAnsi="Arial" w:cs="Arial"/>
                <w:color w:val="000000"/>
                <w:sz w:val="26"/>
                <w:szCs w:val="26"/>
              </w:rPr>
              <w:t>17.78</w:t>
            </w:r>
          </w:p>
        </w:tc>
        <w:tc>
          <w:tcPr>
            <w:tcW w:w="805" w:type="dxa"/>
            <w:vAlign w:val="bottom"/>
          </w:tcPr>
          <w:p w14:paraId="50F9A7B1"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0</w:t>
            </w:r>
          </w:p>
        </w:tc>
      </w:tr>
      <w:tr w:rsidR="002959BC" w:rsidRPr="00CB3AB5" w14:paraId="0447B90D" w14:textId="77777777" w:rsidTr="00270E6A">
        <w:trPr>
          <w:trHeight w:val="317"/>
        </w:trPr>
        <w:tc>
          <w:tcPr>
            <w:tcW w:w="1472" w:type="dxa"/>
            <w:vAlign w:val="center"/>
          </w:tcPr>
          <w:p w14:paraId="4CD8624B" w14:textId="77777777" w:rsidR="002959BC" w:rsidRPr="00D233D6" w:rsidRDefault="002959BC" w:rsidP="00131C6C">
            <w:pPr>
              <w:spacing w:line="216" w:lineRule="auto"/>
              <w:jc w:val="both"/>
              <w:rPr>
                <w:sz w:val="26"/>
                <w:szCs w:val="26"/>
              </w:rPr>
            </w:pPr>
            <w:r w:rsidRPr="003C4D76">
              <w:rPr>
                <w:sz w:val="26"/>
                <w:szCs w:val="26"/>
              </w:rPr>
              <w:t>2018/2019</w:t>
            </w:r>
          </w:p>
        </w:tc>
        <w:tc>
          <w:tcPr>
            <w:tcW w:w="1038" w:type="dxa"/>
            <w:vAlign w:val="bottom"/>
          </w:tcPr>
          <w:p w14:paraId="243FC0BF" w14:textId="77777777" w:rsidR="002959BC" w:rsidRPr="00D233D6" w:rsidRDefault="002959BC" w:rsidP="00131C6C">
            <w:pPr>
              <w:spacing w:line="216" w:lineRule="auto"/>
              <w:jc w:val="center"/>
              <w:rPr>
                <w:rFonts w:ascii="Arial" w:hAnsi="Arial" w:cs="Arial"/>
                <w:color w:val="000000"/>
                <w:sz w:val="26"/>
                <w:szCs w:val="26"/>
              </w:rPr>
            </w:pPr>
            <w:r w:rsidRPr="003C4D76">
              <w:rPr>
                <w:rFonts w:ascii="Arial" w:hAnsi="Arial" w:cs="Arial"/>
                <w:color w:val="000000"/>
                <w:sz w:val="26"/>
                <w:szCs w:val="26"/>
              </w:rPr>
              <w:t>264.30</w:t>
            </w:r>
          </w:p>
        </w:tc>
        <w:tc>
          <w:tcPr>
            <w:tcW w:w="1039" w:type="dxa"/>
            <w:vAlign w:val="bottom"/>
          </w:tcPr>
          <w:p w14:paraId="3CD22FA3" w14:textId="77777777" w:rsidR="002959BC" w:rsidRPr="00D233D6" w:rsidRDefault="002959BC" w:rsidP="00131C6C">
            <w:pPr>
              <w:spacing w:line="216" w:lineRule="auto"/>
              <w:jc w:val="center"/>
              <w:rPr>
                <w:rFonts w:ascii="Arial" w:hAnsi="Arial" w:cs="Arial"/>
                <w:color w:val="000000"/>
                <w:sz w:val="26"/>
                <w:szCs w:val="26"/>
              </w:rPr>
            </w:pPr>
            <w:r w:rsidRPr="003C4D76">
              <w:rPr>
                <w:rFonts w:ascii="Arial" w:hAnsi="Arial" w:cs="Arial"/>
                <w:color w:val="000000"/>
                <w:sz w:val="26"/>
                <w:szCs w:val="26"/>
              </w:rPr>
              <w:t>203.43</w:t>
            </w:r>
          </w:p>
        </w:tc>
        <w:tc>
          <w:tcPr>
            <w:tcW w:w="1040" w:type="dxa"/>
            <w:vAlign w:val="bottom"/>
          </w:tcPr>
          <w:p w14:paraId="667A484B" w14:textId="77777777" w:rsidR="002959BC" w:rsidRPr="00D233D6" w:rsidRDefault="002959BC" w:rsidP="00131C6C">
            <w:pPr>
              <w:spacing w:line="216" w:lineRule="auto"/>
              <w:jc w:val="center"/>
              <w:rPr>
                <w:rFonts w:ascii="Arial" w:hAnsi="Arial" w:cs="Arial"/>
                <w:color w:val="000000"/>
                <w:sz w:val="26"/>
                <w:szCs w:val="26"/>
              </w:rPr>
            </w:pPr>
            <w:r w:rsidRPr="003C4D76">
              <w:rPr>
                <w:rFonts w:ascii="Arial" w:hAnsi="Arial" w:cs="Arial"/>
                <w:color w:val="000000"/>
                <w:sz w:val="26"/>
                <w:szCs w:val="26"/>
              </w:rPr>
              <w:t>264.52</w:t>
            </w:r>
          </w:p>
        </w:tc>
        <w:tc>
          <w:tcPr>
            <w:tcW w:w="1039" w:type="dxa"/>
            <w:vAlign w:val="bottom"/>
          </w:tcPr>
          <w:p w14:paraId="7C345B68" w14:textId="77777777" w:rsidR="002959BC" w:rsidRPr="00D233D6" w:rsidRDefault="002959BC" w:rsidP="00131C6C">
            <w:pPr>
              <w:spacing w:line="216" w:lineRule="auto"/>
              <w:jc w:val="center"/>
              <w:rPr>
                <w:rFonts w:ascii="Arial" w:hAnsi="Arial" w:cs="Arial"/>
                <w:color w:val="000000"/>
                <w:sz w:val="26"/>
                <w:szCs w:val="26"/>
              </w:rPr>
            </w:pPr>
            <w:r w:rsidRPr="003C4D76">
              <w:rPr>
                <w:rFonts w:ascii="Arial" w:hAnsi="Arial" w:cs="Arial"/>
                <w:color w:val="000000"/>
                <w:sz w:val="26"/>
                <w:szCs w:val="26"/>
              </w:rPr>
              <w:t>178.65</w:t>
            </w:r>
          </w:p>
        </w:tc>
        <w:tc>
          <w:tcPr>
            <w:tcW w:w="1039" w:type="dxa"/>
            <w:vAlign w:val="bottom"/>
          </w:tcPr>
          <w:p w14:paraId="7FA38FC6" w14:textId="77777777" w:rsidR="002959BC" w:rsidRPr="00D233D6" w:rsidRDefault="002959BC" w:rsidP="00131C6C">
            <w:pPr>
              <w:spacing w:line="216" w:lineRule="auto"/>
              <w:jc w:val="center"/>
              <w:rPr>
                <w:rFonts w:ascii="Arial" w:hAnsi="Arial" w:cs="Arial"/>
                <w:color w:val="000000"/>
                <w:sz w:val="26"/>
                <w:szCs w:val="26"/>
              </w:rPr>
            </w:pPr>
            <w:r w:rsidRPr="003C4D76">
              <w:rPr>
                <w:rFonts w:ascii="Arial" w:hAnsi="Arial" w:cs="Arial"/>
                <w:color w:val="000000"/>
                <w:sz w:val="26"/>
                <w:szCs w:val="26"/>
              </w:rPr>
              <w:t>1131.00</w:t>
            </w:r>
          </w:p>
        </w:tc>
        <w:tc>
          <w:tcPr>
            <w:tcW w:w="925" w:type="dxa"/>
            <w:vAlign w:val="bottom"/>
          </w:tcPr>
          <w:p w14:paraId="40CFADD1" w14:textId="77777777" w:rsidR="002959BC" w:rsidRPr="00D233D6" w:rsidRDefault="002959BC" w:rsidP="00131C6C">
            <w:pPr>
              <w:spacing w:line="216" w:lineRule="auto"/>
              <w:jc w:val="center"/>
              <w:rPr>
                <w:rFonts w:ascii="Arial" w:hAnsi="Arial" w:cs="Arial"/>
                <w:color w:val="000000"/>
                <w:sz w:val="26"/>
                <w:szCs w:val="26"/>
              </w:rPr>
            </w:pPr>
            <w:r w:rsidRPr="003C4D76">
              <w:rPr>
                <w:rFonts w:ascii="Arial" w:hAnsi="Arial" w:cs="Arial"/>
                <w:color w:val="000000"/>
                <w:sz w:val="26"/>
                <w:szCs w:val="26"/>
              </w:rPr>
              <w:t>81.77</w:t>
            </w:r>
          </w:p>
        </w:tc>
        <w:tc>
          <w:tcPr>
            <w:tcW w:w="890" w:type="dxa"/>
            <w:vAlign w:val="bottom"/>
          </w:tcPr>
          <w:p w14:paraId="7A4C13BF" w14:textId="77777777" w:rsidR="002959BC" w:rsidRPr="00D233D6" w:rsidRDefault="002959BC" w:rsidP="00131C6C">
            <w:pPr>
              <w:spacing w:line="216" w:lineRule="auto"/>
              <w:jc w:val="center"/>
              <w:rPr>
                <w:rFonts w:ascii="Arial" w:hAnsi="Arial" w:cs="Arial"/>
                <w:color w:val="000000"/>
                <w:sz w:val="26"/>
                <w:szCs w:val="26"/>
              </w:rPr>
            </w:pPr>
            <w:r w:rsidRPr="003C4D76">
              <w:rPr>
                <w:rFonts w:ascii="Arial" w:hAnsi="Arial" w:cs="Arial"/>
                <w:color w:val="000000"/>
                <w:sz w:val="26"/>
                <w:szCs w:val="26"/>
              </w:rPr>
              <w:t>17.76</w:t>
            </w:r>
          </w:p>
        </w:tc>
        <w:tc>
          <w:tcPr>
            <w:tcW w:w="805" w:type="dxa"/>
            <w:vAlign w:val="bottom"/>
          </w:tcPr>
          <w:p w14:paraId="539E8B02" w14:textId="77777777" w:rsidR="002959BC" w:rsidRPr="00D233D6" w:rsidRDefault="002959BC" w:rsidP="00131C6C">
            <w:pPr>
              <w:spacing w:line="216" w:lineRule="auto"/>
              <w:jc w:val="center"/>
              <w:rPr>
                <w:rFonts w:ascii="Arial" w:hAnsi="Arial" w:cs="Arial"/>
                <w:color w:val="000000"/>
                <w:sz w:val="26"/>
                <w:szCs w:val="26"/>
              </w:rPr>
            </w:pPr>
            <w:r w:rsidRPr="00D233D6">
              <w:rPr>
                <w:rFonts w:ascii="Arial" w:hAnsi="Arial" w:cs="Arial"/>
                <w:color w:val="000000"/>
                <w:sz w:val="26"/>
                <w:szCs w:val="26"/>
              </w:rPr>
              <w:t>0</w:t>
            </w:r>
          </w:p>
        </w:tc>
      </w:tr>
    </w:tbl>
    <w:p w14:paraId="4E92DBB9" w14:textId="77777777" w:rsidR="002959BC" w:rsidRPr="00E854C2" w:rsidRDefault="002959BC" w:rsidP="002959BC">
      <w:pPr>
        <w:spacing w:line="216" w:lineRule="auto"/>
        <w:rPr>
          <w:rFonts w:ascii="Simplified Arabic" w:hAnsi="Simplified Arabic" w:cs="Simplified Arabic"/>
          <w:sz w:val="24"/>
          <w:szCs w:val="24"/>
          <w:rtl/>
        </w:rPr>
      </w:pPr>
      <w:r w:rsidRPr="00E854C2">
        <w:rPr>
          <w:rFonts w:ascii="Simplified Arabic" w:hAnsi="Simplified Arabic" w:cs="Simplified Arabic"/>
          <w:sz w:val="24"/>
          <w:szCs w:val="24"/>
          <w:rtl/>
        </w:rPr>
        <w:t>المصدر: بيانات البنك الدولي. ووزارة المالية البيان المالي الشهري. أعداد مختلفة.</w:t>
      </w:r>
    </w:p>
    <w:p w14:paraId="7304244B" w14:textId="77777777" w:rsidR="002959BC" w:rsidRPr="00E854C2" w:rsidRDefault="002959BC" w:rsidP="002959BC">
      <w:pPr>
        <w:spacing w:line="216" w:lineRule="auto"/>
        <w:jc w:val="center"/>
        <w:rPr>
          <w:rFonts w:ascii="Simplified Arabic" w:hAnsi="Simplified Arabic" w:cs="Simplified Arabic"/>
          <w:sz w:val="28"/>
          <w:szCs w:val="28"/>
          <w:rtl/>
        </w:rPr>
      </w:pPr>
    </w:p>
    <w:p w14:paraId="00F13428" w14:textId="77777777" w:rsidR="002959BC" w:rsidRPr="00A34ECB" w:rsidRDefault="002959BC" w:rsidP="002959BC">
      <w:pPr>
        <w:jc w:val="center"/>
        <w:rPr>
          <w:rFonts w:ascii="Simplified Arabic" w:hAnsi="Simplified Arabic" w:cs="Simplified Arabic"/>
          <w:b/>
          <w:bCs/>
          <w:color w:val="000000" w:themeColor="text1"/>
          <w:sz w:val="24"/>
          <w:szCs w:val="24"/>
          <w:rtl/>
        </w:rPr>
      </w:pPr>
      <w:r w:rsidRPr="00A34ECB">
        <w:rPr>
          <w:rFonts w:ascii="Simplified Arabic" w:hAnsi="Simplified Arabic" w:cs="Simplified Arabic"/>
          <w:b/>
          <w:bCs/>
          <w:color w:val="000000" w:themeColor="text1"/>
          <w:sz w:val="24"/>
          <w:szCs w:val="24"/>
          <w:rtl/>
        </w:rPr>
        <w:t>جدول رقم (4-6)</w:t>
      </w:r>
    </w:p>
    <w:p w14:paraId="406A8D04" w14:textId="77777777" w:rsidR="002959BC" w:rsidRPr="00A34ECB" w:rsidRDefault="002959BC" w:rsidP="002959BC">
      <w:pPr>
        <w:jc w:val="center"/>
        <w:rPr>
          <w:rFonts w:ascii="Simplified Arabic" w:hAnsi="Simplified Arabic" w:cs="Simplified Arabic"/>
          <w:b/>
          <w:bCs/>
          <w:color w:val="000000" w:themeColor="text1"/>
          <w:sz w:val="24"/>
          <w:szCs w:val="24"/>
          <w:rtl/>
        </w:rPr>
      </w:pPr>
      <w:r w:rsidRPr="00A34ECB">
        <w:rPr>
          <w:rFonts w:ascii="Simplified Arabic" w:hAnsi="Simplified Arabic" w:cs="Simplified Arabic"/>
          <w:b/>
          <w:bCs/>
          <w:color w:val="000000" w:themeColor="text1"/>
          <w:sz w:val="24"/>
          <w:szCs w:val="24"/>
          <w:rtl/>
        </w:rPr>
        <w:t>مصفوفة المقاييس الإحصائية الهامة لمتغيرات النموذج القياسي</w:t>
      </w:r>
    </w:p>
    <w:tbl>
      <w:tblPr>
        <w:tblW w:w="88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89"/>
        <w:gridCol w:w="907"/>
        <w:gridCol w:w="907"/>
        <w:gridCol w:w="907"/>
        <w:gridCol w:w="907"/>
        <w:gridCol w:w="907"/>
        <w:gridCol w:w="907"/>
        <w:gridCol w:w="907"/>
        <w:gridCol w:w="907"/>
      </w:tblGrid>
      <w:tr w:rsidR="002959BC" w:rsidRPr="005A061F" w14:paraId="236255FD" w14:textId="77777777" w:rsidTr="00270E6A">
        <w:trPr>
          <w:trHeight w:val="510"/>
          <w:jc w:val="center"/>
        </w:trPr>
        <w:tc>
          <w:tcPr>
            <w:tcW w:w="1589" w:type="dxa"/>
            <w:shd w:val="clear" w:color="auto" w:fill="auto"/>
            <w:noWrap/>
            <w:vAlign w:val="center"/>
            <w:hideMark/>
          </w:tcPr>
          <w:p w14:paraId="52B0ABEB" w14:textId="77777777" w:rsidR="002959BC" w:rsidRPr="005A061F" w:rsidRDefault="002959BC" w:rsidP="00270E6A">
            <w:pPr>
              <w:jc w:val="center"/>
              <w:rPr>
                <w:rFonts w:asciiTheme="majorHAnsi" w:hAnsiTheme="majorHAnsi" w:cs="Times New Roman"/>
                <w:sz w:val="24"/>
                <w:szCs w:val="24"/>
              </w:rPr>
            </w:pPr>
          </w:p>
        </w:tc>
        <w:tc>
          <w:tcPr>
            <w:tcW w:w="907" w:type="dxa"/>
            <w:shd w:val="clear" w:color="auto" w:fill="auto"/>
            <w:noWrap/>
            <w:vAlign w:val="center"/>
            <w:hideMark/>
          </w:tcPr>
          <w:p w14:paraId="5EC03707"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CPI</w:t>
            </w:r>
          </w:p>
        </w:tc>
        <w:tc>
          <w:tcPr>
            <w:tcW w:w="907" w:type="dxa"/>
            <w:shd w:val="clear" w:color="auto" w:fill="auto"/>
            <w:noWrap/>
            <w:vAlign w:val="center"/>
            <w:hideMark/>
          </w:tcPr>
          <w:p w14:paraId="0F0BED86"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DB</w:t>
            </w:r>
          </w:p>
        </w:tc>
        <w:tc>
          <w:tcPr>
            <w:tcW w:w="907" w:type="dxa"/>
            <w:shd w:val="clear" w:color="auto" w:fill="auto"/>
            <w:noWrap/>
            <w:vAlign w:val="center"/>
            <w:hideMark/>
          </w:tcPr>
          <w:p w14:paraId="57A3E952"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DNB</w:t>
            </w:r>
          </w:p>
        </w:tc>
        <w:tc>
          <w:tcPr>
            <w:tcW w:w="907" w:type="dxa"/>
            <w:shd w:val="clear" w:color="auto" w:fill="auto"/>
            <w:noWrap/>
            <w:vAlign w:val="center"/>
            <w:hideMark/>
          </w:tcPr>
          <w:p w14:paraId="463ADF1B"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XF</w:t>
            </w:r>
          </w:p>
        </w:tc>
        <w:tc>
          <w:tcPr>
            <w:tcW w:w="907" w:type="dxa"/>
            <w:shd w:val="clear" w:color="auto" w:fill="auto"/>
            <w:noWrap/>
            <w:vAlign w:val="center"/>
            <w:hideMark/>
          </w:tcPr>
          <w:p w14:paraId="5B8DF35C"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XP</w:t>
            </w:r>
          </w:p>
        </w:tc>
        <w:tc>
          <w:tcPr>
            <w:tcW w:w="907" w:type="dxa"/>
            <w:shd w:val="clear" w:color="auto" w:fill="auto"/>
            <w:noWrap/>
            <w:vAlign w:val="center"/>
            <w:hideMark/>
          </w:tcPr>
          <w:p w14:paraId="6FBE077B"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M</w:t>
            </w:r>
            <w:r>
              <w:rPr>
                <w:rFonts w:asciiTheme="majorHAnsi" w:hAnsiTheme="majorHAnsi" w:cs="Arial"/>
                <w:color w:val="000000"/>
                <w:sz w:val="24"/>
                <w:szCs w:val="24"/>
              </w:rPr>
              <w:t>2</w:t>
            </w:r>
          </w:p>
        </w:tc>
        <w:tc>
          <w:tcPr>
            <w:tcW w:w="907" w:type="dxa"/>
            <w:shd w:val="clear" w:color="auto" w:fill="auto"/>
            <w:noWrap/>
            <w:vAlign w:val="center"/>
            <w:hideMark/>
          </w:tcPr>
          <w:p w14:paraId="6831EB93"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EX</w:t>
            </w:r>
          </w:p>
        </w:tc>
        <w:tc>
          <w:tcPr>
            <w:tcW w:w="907" w:type="dxa"/>
            <w:shd w:val="clear" w:color="auto" w:fill="auto"/>
            <w:noWrap/>
            <w:vAlign w:val="center"/>
            <w:hideMark/>
          </w:tcPr>
          <w:p w14:paraId="5E2743D6"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PS</w:t>
            </w:r>
          </w:p>
        </w:tc>
      </w:tr>
      <w:tr w:rsidR="002959BC" w:rsidRPr="005A061F" w14:paraId="6A5B9B6D" w14:textId="77777777" w:rsidTr="00270E6A">
        <w:trPr>
          <w:trHeight w:val="454"/>
          <w:jc w:val="center"/>
        </w:trPr>
        <w:tc>
          <w:tcPr>
            <w:tcW w:w="1589" w:type="dxa"/>
            <w:shd w:val="clear" w:color="auto" w:fill="auto"/>
            <w:noWrap/>
            <w:vAlign w:val="center"/>
            <w:hideMark/>
          </w:tcPr>
          <w:p w14:paraId="0E899E4F"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Mean</w:t>
            </w:r>
          </w:p>
        </w:tc>
        <w:tc>
          <w:tcPr>
            <w:tcW w:w="907" w:type="dxa"/>
            <w:shd w:val="clear" w:color="auto" w:fill="auto"/>
            <w:noWrap/>
            <w:vAlign w:val="center"/>
            <w:hideMark/>
          </w:tcPr>
          <w:p w14:paraId="508AF68B"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71.10</w:t>
            </w:r>
          </w:p>
        </w:tc>
        <w:tc>
          <w:tcPr>
            <w:tcW w:w="907" w:type="dxa"/>
            <w:shd w:val="clear" w:color="auto" w:fill="auto"/>
            <w:noWrap/>
            <w:vAlign w:val="center"/>
            <w:hideMark/>
          </w:tcPr>
          <w:p w14:paraId="7E211506"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57.36</w:t>
            </w:r>
          </w:p>
        </w:tc>
        <w:tc>
          <w:tcPr>
            <w:tcW w:w="907" w:type="dxa"/>
            <w:shd w:val="clear" w:color="auto" w:fill="auto"/>
            <w:noWrap/>
            <w:vAlign w:val="center"/>
            <w:hideMark/>
          </w:tcPr>
          <w:p w14:paraId="563081E9"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28.00</w:t>
            </w:r>
          </w:p>
        </w:tc>
        <w:tc>
          <w:tcPr>
            <w:tcW w:w="907" w:type="dxa"/>
            <w:shd w:val="clear" w:color="auto" w:fill="auto"/>
            <w:noWrap/>
            <w:vAlign w:val="center"/>
            <w:hideMark/>
          </w:tcPr>
          <w:p w14:paraId="1DF4B5DE"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8.14</w:t>
            </w:r>
          </w:p>
        </w:tc>
        <w:tc>
          <w:tcPr>
            <w:tcW w:w="907" w:type="dxa"/>
            <w:shd w:val="clear" w:color="auto" w:fill="auto"/>
            <w:noWrap/>
            <w:vAlign w:val="center"/>
            <w:hideMark/>
          </w:tcPr>
          <w:p w14:paraId="4FF1C08B"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388.9</w:t>
            </w:r>
          </w:p>
        </w:tc>
        <w:tc>
          <w:tcPr>
            <w:tcW w:w="907" w:type="dxa"/>
            <w:shd w:val="clear" w:color="auto" w:fill="auto"/>
            <w:noWrap/>
            <w:vAlign w:val="center"/>
            <w:hideMark/>
          </w:tcPr>
          <w:p w14:paraId="0874657F"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84.01</w:t>
            </w:r>
          </w:p>
        </w:tc>
        <w:tc>
          <w:tcPr>
            <w:tcW w:w="907" w:type="dxa"/>
            <w:shd w:val="clear" w:color="auto" w:fill="auto"/>
            <w:noWrap/>
            <w:vAlign w:val="center"/>
            <w:hideMark/>
          </w:tcPr>
          <w:p w14:paraId="74667A2C"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5.06</w:t>
            </w:r>
          </w:p>
        </w:tc>
        <w:tc>
          <w:tcPr>
            <w:tcW w:w="907" w:type="dxa"/>
            <w:shd w:val="clear" w:color="auto" w:fill="auto"/>
            <w:noWrap/>
            <w:vAlign w:val="center"/>
            <w:hideMark/>
          </w:tcPr>
          <w:p w14:paraId="1A69DD4D"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0.15</w:t>
            </w:r>
          </w:p>
        </w:tc>
      </w:tr>
      <w:tr w:rsidR="002959BC" w:rsidRPr="005A061F" w14:paraId="463DF2B9" w14:textId="77777777" w:rsidTr="00270E6A">
        <w:trPr>
          <w:trHeight w:val="454"/>
          <w:jc w:val="center"/>
        </w:trPr>
        <w:tc>
          <w:tcPr>
            <w:tcW w:w="1589" w:type="dxa"/>
            <w:shd w:val="clear" w:color="auto" w:fill="auto"/>
            <w:noWrap/>
            <w:vAlign w:val="center"/>
            <w:hideMark/>
          </w:tcPr>
          <w:p w14:paraId="5766973D"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Median</w:t>
            </w:r>
          </w:p>
        </w:tc>
        <w:tc>
          <w:tcPr>
            <w:tcW w:w="907" w:type="dxa"/>
            <w:shd w:val="clear" w:color="auto" w:fill="auto"/>
            <w:noWrap/>
            <w:vAlign w:val="center"/>
            <w:hideMark/>
          </w:tcPr>
          <w:p w14:paraId="15C4D58E"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52.29</w:t>
            </w:r>
          </w:p>
        </w:tc>
        <w:tc>
          <w:tcPr>
            <w:tcW w:w="907" w:type="dxa"/>
            <w:shd w:val="clear" w:color="auto" w:fill="auto"/>
            <w:noWrap/>
            <w:vAlign w:val="center"/>
            <w:hideMark/>
          </w:tcPr>
          <w:p w14:paraId="3B416C9F"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17.63</w:t>
            </w:r>
          </w:p>
        </w:tc>
        <w:tc>
          <w:tcPr>
            <w:tcW w:w="907" w:type="dxa"/>
            <w:shd w:val="clear" w:color="auto" w:fill="auto"/>
            <w:noWrap/>
            <w:vAlign w:val="center"/>
            <w:hideMark/>
          </w:tcPr>
          <w:p w14:paraId="57F0E6E7"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16.31</w:t>
            </w:r>
          </w:p>
        </w:tc>
        <w:tc>
          <w:tcPr>
            <w:tcW w:w="907" w:type="dxa"/>
            <w:shd w:val="clear" w:color="auto" w:fill="auto"/>
            <w:noWrap/>
            <w:vAlign w:val="center"/>
            <w:hideMark/>
          </w:tcPr>
          <w:p w14:paraId="4FD70F46"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0.46</w:t>
            </w:r>
          </w:p>
        </w:tc>
        <w:tc>
          <w:tcPr>
            <w:tcW w:w="907" w:type="dxa"/>
            <w:shd w:val="clear" w:color="auto" w:fill="auto"/>
            <w:noWrap/>
            <w:vAlign w:val="center"/>
            <w:hideMark/>
          </w:tcPr>
          <w:p w14:paraId="0871C4BA"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265.3</w:t>
            </w:r>
          </w:p>
        </w:tc>
        <w:tc>
          <w:tcPr>
            <w:tcW w:w="907" w:type="dxa"/>
            <w:shd w:val="clear" w:color="auto" w:fill="auto"/>
            <w:noWrap/>
            <w:vAlign w:val="center"/>
            <w:hideMark/>
          </w:tcPr>
          <w:p w14:paraId="0F94D450"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82.77</w:t>
            </w:r>
          </w:p>
        </w:tc>
        <w:tc>
          <w:tcPr>
            <w:tcW w:w="907" w:type="dxa"/>
            <w:shd w:val="clear" w:color="auto" w:fill="auto"/>
            <w:noWrap/>
            <w:vAlign w:val="center"/>
            <w:hideMark/>
          </w:tcPr>
          <w:p w14:paraId="5BA1B224"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5.49</w:t>
            </w:r>
          </w:p>
        </w:tc>
        <w:tc>
          <w:tcPr>
            <w:tcW w:w="907" w:type="dxa"/>
            <w:shd w:val="clear" w:color="auto" w:fill="auto"/>
            <w:noWrap/>
            <w:vAlign w:val="center"/>
            <w:hideMark/>
          </w:tcPr>
          <w:p w14:paraId="653BE7F1"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0.00</w:t>
            </w:r>
          </w:p>
        </w:tc>
      </w:tr>
      <w:tr w:rsidR="002959BC" w:rsidRPr="005A061F" w14:paraId="292D5DA7" w14:textId="77777777" w:rsidTr="00270E6A">
        <w:trPr>
          <w:trHeight w:val="454"/>
          <w:jc w:val="center"/>
        </w:trPr>
        <w:tc>
          <w:tcPr>
            <w:tcW w:w="1589" w:type="dxa"/>
            <w:shd w:val="clear" w:color="auto" w:fill="auto"/>
            <w:noWrap/>
            <w:vAlign w:val="center"/>
            <w:hideMark/>
          </w:tcPr>
          <w:p w14:paraId="51958BCE"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Maximum</w:t>
            </w:r>
          </w:p>
        </w:tc>
        <w:tc>
          <w:tcPr>
            <w:tcW w:w="907" w:type="dxa"/>
            <w:shd w:val="clear" w:color="auto" w:fill="auto"/>
            <w:noWrap/>
            <w:vAlign w:val="center"/>
            <w:hideMark/>
          </w:tcPr>
          <w:p w14:paraId="71214D8D"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178.4</w:t>
            </w:r>
          </w:p>
        </w:tc>
        <w:tc>
          <w:tcPr>
            <w:tcW w:w="907" w:type="dxa"/>
            <w:shd w:val="clear" w:color="auto" w:fill="auto"/>
            <w:noWrap/>
            <w:vAlign w:val="center"/>
            <w:hideMark/>
          </w:tcPr>
          <w:p w14:paraId="25A913C2"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248.4</w:t>
            </w:r>
          </w:p>
        </w:tc>
        <w:tc>
          <w:tcPr>
            <w:tcW w:w="907" w:type="dxa"/>
            <w:shd w:val="clear" w:color="auto" w:fill="auto"/>
            <w:noWrap/>
            <w:vAlign w:val="center"/>
            <w:hideMark/>
          </w:tcPr>
          <w:p w14:paraId="6267C4ED"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192.7</w:t>
            </w:r>
          </w:p>
        </w:tc>
        <w:tc>
          <w:tcPr>
            <w:tcW w:w="907" w:type="dxa"/>
            <w:shd w:val="clear" w:color="auto" w:fill="auto"/>
            <w:noWrap/>
            <w:vAlign w:val="center"/>
            <w:hideMark/>
          </w:tcPr>
          <w:p w14:paraId="41FAB4EE"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188.2</w:t>
            </w:r>
          </w:p>
        </w:tc>
        <w:tc>
          <w:tcPr>
            <w:tcW w:w="907" w:type="dxa"/>
            <w:shd w:val="clear" w:color="auto" w:fill="auto"/>
            <w:noWrap/>
            <w:vAlign w:val="center"/>
            <w:hideMark/>
          </w:tcPr>
          <w:p w14:paraId="49FBD977"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702.4</w:t>
            </w:r>
          </w:p>
        </w:tc>
        <w:tc>
          <w:tcPr>
            <w:tcW w:w="907" w:type="dxa"/>
            <w:shd w:val="clear" w:color="auto" w:fill="auto"/>
            <w:noWrap/>
            <w:vAlign w:val="center"/>
            <w:hideMark/>
          </w:tcPr>
          <w:p w14:paraId="5DD27D40"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98.14</w:t>
            </w:r>
          </w:p>
        </w:tc>
        <w:tc>
          <w:tcPr>
            <w:tcW w:w="907" w:type="dxa"/>
            <w:shd w:val="clear" w:color="auto" w:fill="auto"/>
            <w:noWrap/>
            <w:vAlign w:val="center"/>
            <w:hideMark/>
          </w:tcPr>
          <w:p w14:paraId="6F1BE3FA"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10.03</w:t>
            </w:r>
          </w:p>
        </w:tc>
        <w:tc>
          <w:tcPr>
            <w:tcW w:w="907" w:type="dxa"/>
            <w:shd w:val="clear" w:color="auto" w:fill="auto"/>
            <w:noWrap/>
            <w:vAlign w:val="center"/>
            <w:hideMark/>
          </w:tcPr>
          <w:p w14:paraId="1C05E4F5"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1.00</w:t>
            </w:r>
          </w:p>
        </w:tc>
      </w:tr>
      <w:tr w:rsidR="002959BC" w:rsidRPr="005A061F" w14:paraId="6BF94ED7" w14:textId="77777777" w:rsidTr="00270E6A">
        <w:trPr>
          <w:trHeight w:val="454"/>
          <w:jc w:val="center"/>
        </w:trPr>
        <w:tc>
          <w:tcPr>
            <w:tcW w:w="1589" w:type="dxa"/>
            <w:shd w:val="clear" w:color="auto" w:fill="auto"/>
            <w:noWrap/>
            <w:vAlign w:val="center"/>
            <w:hideMark/>
          </w:tcPr>
          <w:p w14:paraId="4C6E908E"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Minimum</w:t>
            </w:r>
          </w:p>
        </w:tc>
        <w:tc>
          <w:tcPr>
            <w:tcW w:w="907" w:type="dxa"/>
            <w:shd w:val="clear" w:color="auto" w:fill="auto"/>
            <w:noWrap/>
            <w:vAlign w:val="center"/>
            <w:hideMark/>
          </w:tcPr>
          <w:p w14:paraId="48AC7CF7"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22.93</w:t>
            </w:r>
          </w:p>
        </w:tc>
        <w:tc>
          <w:tcPr>
            <w:tcW w:w="907" w:type="dxa"/>
            <w:shd w:val="clear" w:color="auto" w:fill="auto"/>
            <w:noWrap/>
            <w:vAlign w:val="center"/>
            <w:hideMark/>
          </w:tcPr>
          <w:p w14:paraId="1C42E05B"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-20.93</w:t>
            </w:r>
          </w:p>
        </w:tc>
        <w:tc>
          <w:tcPr>
            <w:tcW w:w="907" w:type="dxa"/>
            <w:shd w:val="clear" w:color="auto" w:fill="auto"/>
            <w:noWrap/>
            <w:vAlign w:val="center"/>
            <w:hideMark/>
          </w:tcPr>
          <w:p w14:paraId="4CA5C79E"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-15.19</w:t>
            </w:r>
          </w:p>
        </w:tc>
        <w:tc>
          <w:tcPr>
            <w:tcW w:w="907" w:type="dxa"/>
            <w:shd w:val="clear" w:color="auto" w:fill="auto"/>
            <w:noWrap/>
            <w:vAlign w:val="center"/>
            <w:hideMark/>
          </w:tcPr>
          <w:p w14:paraId="0EE7D9F5"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-25.12</w:t>
            </w:r>
          </w:p>
        </w:tc>
        <w:tc>
          <w:tcPr>
            <w:tcW w:w="907" w:type="dxa"/>
            <w:shd w:val="clear" w:color="auto" w:fill="auto"/>
            <w:noWrap/>
            <w:vAlign w:val="center"/>
            <w:hideMark/>
          </w:tcPr>
          <w:p w14:paraId="6FA15282"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162.0</w:t>
            </w:r>
          </w:p>
        </w:tc>
        <w:tc>
          <w:tcPr>
            <w:tcW w:w="907" w:type="dxa"/>
            <w:shd w:val="clear" w:color="auto" w:fill="auto"/>
            <w:noWrap/>
            <w:vAlign w:val="center"/>
            <w:hideMark/>
          </w:tcPr>
          <w:p w14:paraId="1AE74282"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69.72</w:t>
            </w:r>
          </w:p>
        </w:tc>
        <w:tc>
          <w:tcPr>
            <w:tcW w:w="907" w:type="dxa"/>
            <w:shd w:val="clear" w:color="auto" w:fill="auto"/>
            <w:noWrap/>
            <w:vAlign w:val="center"/>
            <w:hideMark/>
          </w:tcPr>
          <w:p w14:paraId="34EF43AD"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3.14</w:t>
            </w:r>
          </w:p>
        </w:tc>
        <w:tc>
          <w:tcPr>
            <w:tcW w:w="907" w:type="dxa"/>
            <w:shd w:val="clear" w:color="auto" w:fill="auto"/>
            <w:noWrap/>
            <w:vAlign w:val="center"/>
            <w:hideMark/>
          </w:tcPr>
          <w:p w14:paraId="5A042481"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0.00</w:t>
            </w:r>
          </w:p>
        </w:tc>
      </w:tr>
      <w:tr w:rsidR="002959BC" w:rsidRPr="005A061F" w14:paraId="558ED5A9" w14:textId="77777777" w:rsidTr="00270E6A">
        <w:trPr>
          <w:trHeight w:val="454"/>
          <w:jc w:val="center"/>
        </w:trPr>
        <w:tc>
          <w:tcPr>
            <w:tcW w:w="1589" w:type="dxa"/>
            <w:shd w:val="clear" w:color="auto" w:fill="auto"/>
            <w:noWrap/>
            <w:vAlign w:val="center"/>
            <w:hideMark/>
          </w:tcPr>
          <w:p w14:paraId="5652701C"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Std. Dev.</w:t>
            </w:r>
          </w:p>
        </w:tc>
        <w:tc>
          <w:tcPr>
            <w:tcW w:w="907" w:type="dxa"/>
            <w:shd w:val="clear" w:color="auto" w:fill="auto"/>
            <w:noWrap/>
            <w:vAlign w:val="center"/>
            <w:hideMark/>
          </w:tcPr>
          <w:p w14:paraId="33A3D27E"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43.56</w:t>
            </w:r>
          </w:p>
        </w:tc>
        <w:tc>
          <w:tcPr>
            <w:tcW w:w="907" w:type="dxa"/>
            <w:shd w:val="clear" w:color="auto" w:fill="auto"/>
            <w:noWrap/>
            <w:vAlign w:val="center"/>
            <w:hideMark/>
          </w:tcPr>
          <w:p w14:paraId="2ECEE9F7"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86.33</w:t>
            </w:r>
          </w:p>
        </w:tc>
        <w:tc>
          <w:tcPr>
            <w:tcW w:w="907" w:type="dxa"/>
            <w:shd w:val="clear" w:color="auto" w:fill="auto"/>
            <w:noWrap/>
            <w:vAlign w:val="center"/>
            <w:hideMark/>
          </w:tcPr>
          <w:p w14:paraId="52F2796D"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41.18</w:t>
            </w:r>
          </w:p>
        </w:tc>
        <w:tc>
          <w:tcPr>
            <w:tcW w:w="907" w:type="dxa"/>
            <w:shd w:val="clear" w:color="auto" w:fill="auto"/>
            <w:noWrap/>
            <w:vAlign w:val="center"/>
            <w:hideMark/>
          </w:tcPr>
          <w:p w14:paraId="3B293C7D"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38.30</w:t>
            </w:r>
          </w:p>
        </w:tc>
        <w:tc>
          <w:tcPr>
            <w:tcW w:w="907" w:type="dxa"/>
            <w:shd w:val="clear" w:color="auto" w:fill="auto"/>
            <w:noWrap/>
            <w:vAlign w:val="center"/>
            <w:hideMark/>
          </w:tcPr>
          <w:p w14:paraId="380264D9"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210.3</w:t>
            </w:r>
          </w:p>
        </w:tc>
        <w:tc>
          <w:tcPr>
            <w:tcW w:w="907" w:type="dxa"/>
            <w:shd w:val="clear" w:color="auto" w:fill="auto"/>
            <w:noWrap/>
            <w:vAlign w:val="center"/>
            <w:hideMark/>
          </w:tcPr>
          <w:p w14:paraId="4EE39FB7"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8.59</w:t>
            </w:r>
          </w:p>
        </w:tc>
        <w:tc>
          <w:tcPr>
            <w:tcW w:w="907" w:type="dxa"/>
            <w:shd w:val="clear" w:color="auto" w:fill="auto"/>
            <w:noWrap/>
            <w:vAlign w:val="center"/>
            <w:hideMark/>
          </w:tcPr>
          <w:p w14:paraId="0D7302E1"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1.73</w:t>
            </w:r>
          </w:p>
        </w:tc>
        <w:tc>
          <w:tcPr>
            <w:tcW w:w="907" w:type="dxa"/>
            <w:shd w:val="clear" w:color="auto" w:fill="auto"/>
            <w:noWrap/>
            <w:vAlign w:val="center"/>
            <w:hideMark/>
          </w:tcPr>
          <w:p w14:paraId="10422B96"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0.37</w:t>
            </w:r>
          </w:p>
        </w:tc>
      </w:tr>
      <w:tr w:rsidR="002959BC" w:rsidRPr="005A061F" w14:paraId="3F491945" w14:textId="77777777" w:rsidTr="00270E6A">
        <w:trPr>
          <w:trHeight w:val="454"/>
          <w:jc w:val="center"/>
        </w:trPr>
        <w:tc>
          <w:tcPr>
            <w:tcW w:w="1589" w:type="dxa"/>
            <w:shd w:val="clear" w:color="auto" w:fill="auto"/>
            <w:noWrap/>
            <w:vAlign w:val="center"/>
            <w:hideMark/>
          </w:tcPr>
          <w:p w14:paraId="63A788C3"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Sum</w:t>
            </w:r>
          </w:p>
        </w:tc>
        <w:tc>
          <w:tcPr>
            <w:tcW w:w="907" w:type="dxa"/>
            <w:shd w:val="clear" w:color="auto" w:fill="auto"/>
            <w:noWrap/>
            <w:vAlign w:val="center"/>
            <w:hideMark/>
          </w:tcPr>
          <w:p w14:paraId="2D368EE9" w14:textId="77777777" w:rsidR="002959BC" w:rsidRPr="005A061F" w:rsidRDefault="002959BC" w:rsidP="00270E6A">
            <w:pPr>
              <w:jc w:val="center"/>
              <w:rPr>
                <w:rFonts w:asciiTheme="majorHAnsi" w:hAnsiTheme="majorHAnsi" w:cs="Arial"/>
                <w:color w:val="000000"/>
                <w:sz w:val="24"/>
                <w:szCs w:val="24"/>
              </w:rPr>
            </w:pPr>
            <w:r>
              <w:rPr>
                <w:rFonts w:asciiTheme="majorHAnsi" w:hAnsiTheme="majorHAnsi" w:cs="Arial"/>
                <w:color w:val="000000"/>
                <w:sz w:val="24"/>
                <w:szCs w:val="24"/>
              </w:rPr>
              <w:t>1848</w:t>
            </w:r>
          </w:p>
        </w:tc>
        <w:tc>
          <w:tcPr>
            <w:tcW w:w="907" w:type="dxa"/>
            <w:shd w:val="clear" w:color="auto" w:fill="auto"/>
            <w:noWrap/>
            <w:vAlign w:val="center"/>
            <w:hideMark/>
          </w:tcPr>
          <w:p w14:paraId="211553F8" w14:textId="77777777" w:rsidR="002959BC" w:rsidRPr="005A061F" w:rsidRDefault="002959BC" w:rsidP="00270E6A">
            <w:pPr>
              <w:jc w:val="center"/>
              <w:rPr>
                <w:rFonts w:asciiTheme="majorHAnsi" w:hAnsiTheme="majorHAnsi" w:cs="Arial"/>
                <w:color w:val="000000"/>
                <w:sz w:val="24"/>
                <w:szCs w:val="24"/>
              </w:rPr>
            </w:pPr>
            <w:r>
              <w:rPr>
                <w:rFonts w:asciiTheme="majorHAnsi" w:hAnsiTheme="majorHAnsi" w:cs="Arial"/>
                <w:color w:val="000000"/>
                <w:sz w:val="24"/>
                <w:szCs w:val="24"/>
              </w:rPr>
              <w:t>1433</w:t>
            </w:r>
          </w:p>
        </w:tc>
        <w:tc>
          <w:tcPr>
            <w:tcW w:w="907" w:type="dxa"/>
            <w:shd w:val="clear" w:color="auto" w:fill="auto"/>
            <w:noWrap/>
            <w:vAlign w:val="center"/>
            <w:hideMark/>
          </w:tcPr>
          <w:p w14:paraId="4A4303F8"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700.0</w:t>
            </w:r>
          </w:p>
        </w:tc>
        <w:tc>
          <w:tcPr>
            <w:tcW w:w="907" w:type="dxa"/>
            <w:shd w:val="clear" w:color="auto" w:fill="auto"/>
            <w:noWrap/>
            <w:vAlign w:val="center"/>
            <w:hideMark/>
          </w:tcPr>
          <w:p w14:paraId="07FC27C0"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203.6</w:t>
            </w:r>
          </w:p>
        </w:tc>
        <w:tc>
          <w:tcPr>
            <w:tcW w:w="907" w:type="dxa"/>
            <w:shd w:val="clear" w:color="auto" w:fill="auto"/>
            <w:noWrap/>
            <w:vAlign w:val="center"/>
            <w:hideMark/>
          </w:tcPr>
          <w:p w14:paraId="6F8D9E61"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10111</w:t>
            </w:r>
          </w:p>
        </w:tc>
        <w:tc>
          <w:tcPr>
            <w:tcW w:w="907" w:type="dxa"/>
            <w:shd w:val="clear" w:color="auto" w:fill="auto"/>
            <w:noWrap/>
            <w:vAlign w:val="center"/>
            <w:hideMark/>
          </w:tcPr>
          <w:p w14:paraId="2701E0D5" w14:textId="77777777" w:rsidR="002959BC" w:rsidRPr="005A061F" w:rsidRDefault="002959BC" w:rsidP="00270E6A">
            <w:pPr>
              <w:jc w:val="center"/>
              <w:rPr>
                <w:rFonts w:asciiTheme="majorHAnsi" w:hAnsiTheme="majorHAnsi" w:cs="Arial"/>
                <w:color w:val="000000"/>
                <w:sz w:val="24"/>
                <w:szCs w:val="24"/>
              </w:rPr>
            </w:pPr>
            <w:r>
              <w:rPr>
                <w:rFonts w:asciiTheme="majorHAnsi" w:hAnsiTheme="majorHAnsi" w:cs="Arial"/>
                <w:color w:val="000000"/>
                <w:sz w:val="24"/>
                <w:szCs w:val="24"/>
              </w:rPr>
              <w:t>2184</w:t>
            </w:r>
          </w:p>
        </w:tc>
        <w:tc>
          <w:tcPr>
            <w:tcW w:w="907" w:type="dxa"/>
            <w:shd w:val="clear" w:color="auto" w:fill="auto"/>
            <w:noWrap/>
            <w:vAlign w:val="center"/>
            <w:hideMark/>
          </w:tcPr>
          <w:p w14:paraId="0E1B0CF2"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131.5</w:t>
            </w:r>
          </w:p>
        </w:tc>
        <w:tc>
          <w:tcPr>
            <w:tcW w:w="907" w:type="dxa"/>
            <w:shd w:val="clear" w:color="auto" w:fill="auto"/>
            <w:noWrap/>
            <w:vAlign w:val="center"/>
            <w:hideMark/>
          </w:tcPr>
          <w:p w14:paraId="3ECC50EB"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4.00</w:t>
            </w:r>
          </w:p>
        </w:tc>
      </w:tr>
      <w:tr w:rsidR="002959BC" w:rsidRPr="005A061F" w14:paraId="1E04FE42" w14:textId="77777777" w:rsidTr="00270E6A">
        <w:trPr>
          <w:trHeight w:val="454"/>
          <w:jc w:val="center"/>
        </w:trPr>
        <w:tc>
          <w:tcPr>
            <w:tcW w:w="1589" w:type="dxa"/>
            <w:shd w:val="clear" w:color="auto" w:fill="auto"/>
            <w:noWrap/>
            <w:vAlign w:val="center"/>
            <w:hideMark/>
          </w:tcPr>
          <w:p w14:paraId="725B33FF"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Observations</w:t>
            </w:r>
          </w:p>
        </w:tc>
        <w:tc>
          <w:tcPr>
            <w:tcW w:w="907" w:type="dxa"/>
            <w:shd w:val="clear" w:color="auto" w:fill="auto"/>
            <w:noWrap/>
            <w:vAlign w:val="center"/>
            <w:hideMark/>
          </w:tcPr>
          <w:p w14:paraId="2FE6A5DD"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26.00</w:t>
            </w:r>
          </w:p>
        </w:tc>
        <w:tc>
          <w:tcPr>
            <w:tcW w:w="907" w:type="dxa"/>
            <w:shd w:val="clear" w:color="auto" w:fill="auto"/>
            <w:noWrap/>
            <w:vAlign w:val="center"/>
            <w:hideMark/>
          </w:tcPr>
          <w:p w14:paraId="3E75DC3D"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25.00</w:t>
            </w:r>
          </w:p>
        </w:tc>
        <w:tc>
          <w:tcPr>
            <w:tcW w:w="907" w:type="dxa"/>
            <w:shd w:val="clear" w:color="auto" w:fill="auto"/>
            <w:noWrap/>
            <w:vAlign w:val="center"/>
            <w:hideMark/>
          </w:tcPr>
          <w:p w14:paraId="4A8ED88A"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25.00</w:t>
            </w:r>
          </w:p>
        </w:tc>
        <w:tc>
          <w:tcPr>
            <w:tcW w:w="907" w:type="dxa"/>
            <w:shd w:val="clear" w:color="auto" w:fill="auto"/>
            <w:noWrap/>
            <w:vAlign w:val="center"/>
            <w:hideMark/>
          </w:tcPr>
          <w:p w14:paraId="651611CE"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25.00</w:t>
            </w:r>
          </w:p>
        </w:tc>
        <w:tc>
          <w:tcPr>
            <w:tcW w:w="907" w:type="dxa"/>
            <w:shd w:val="clear" w:color="auto" w:fill="auto"/>
            <w:noWrap/>
            <w:vAlign w:val="center"/>
            <w:hideMark/>
          </w:tcPr>
          <w:p w14:paraId="1AB5E65A"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26.00</w:t>
            </w:r>
          </w:p>
        </w:tc>
        <w:tc>
          <w:tcPr>
            <w:tcW w:w="907" w:type="dxa"/>
            <w:shd w:val="clear" w:color="auto" w:fill="auto"/>
            <w:noWrap/>
            <w:vAlign w:val="center"/>
            <w:hideMark/>
          </w:tcPr>
          <w:p w14:paraId="4F52CE5B"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26.00</w:t>
            </w:r>
          </w:p>
        </w:tc>
        <w:tc>
          <w:tcPr>
            <w:tcW w:w="907" w:type="dxa"/>
            <w:shd w:val="clear" w:color="auto" w:fill="auto"/>
            <w:noWrap/>
            <w:vAlign w:val="center"/>
            <w:hideMark/>
          </w:tcPr>
          <w:p w14:paraId="36C353B9"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26.00</w:t>
            </w:r>
          </w:p>
        </w:tc>
        <w:tc>
          <w:tcPr>
            <w:tcW w:w="907" w:type="dxa"/>
            <w:shd w:val="clear" w:color="auto" w:fill="auto"/>
            <w:noWrap/>
            <w:vAlign w:val="center"/>
            <w:hideMark/>
          </w:tcPr>
          <w:p w14:paraId="7E6FB1CD" w14:textId="77777777" w:rsidR="002959BC" w:rsidRPr="005A061F" w:rsidRDefault="002959BC" w:rsidP="00270E6A">
            <w:pPr>
              <w:jc w:val="center"/>
              <w:rPr>
                <w:rFonts w:asciiTheme="majorHAnsi" w:hAnsiTheme="majorHAnsi" w:cs="Arial"/>
                <w:color w:val="000000"/>
                <w:sz w:val="24"/>
                <w:szCs w:val="24"/>
              </w:rPr>
            </w:pPr>
            <w:r w:rsidRPr="005A061F">
              <w:rPr>
                <w:rFonts w:asciiTheme="majorHAnsi" w:hAnsiTheme="majorHAnsi" w:cs="Arial"/>
                <w:color w:val="000000"/>
                <w:sz w:val="24"/>
                <w:szCs w:val="24"/>
              </w:rPr>
              <w:t>26.00</w:t>
            </w:r>
          </w:p>
        </w:tc>
      </w:tr>
    </w:tbl>
    <w:p w14:paraId="409AFC53" w14:textId="77777777" w:rsidR="002959BC" w:rsidRPr="00C67C5D" w:rsidRDefault="002959BC" w:rsidP="002959BC">
      <w:pPr>
        <w:autoSpaceDE w:val="0"/>
        <w:autoSpaceDN w:val="0"/>
        <w:adjustRightInd w:val="0"/>
        <w:spacing w:line="216" w:lineRule="auto"/>
        <w:ind w:left="140"/>
        <w:rPr>
          <w:rFonts w:ascii="Simplified Arabic" w:hAnsi="Simplified Arabic" w:cs="Simplified Arabic"/>
          <w:sz w:val="24"/>
          <w:szCs w:val="24"/>
          <w:rtl/>
        </w:rPr>
      </w:pPr>
      <w:r w:rsidRPr="00C67C5D">
        <w:rPr>
          <w:rFonts w:ascii="Simplified Arabic" w:hAnsi="Simplified Arabic" w:cs="Simplified Arabic"/>
          <w:sz w:val="24"/>
          <w:szCs w:val="24"/>
          <w:rtl/>
        </w:rPr>
        <w:t xml:space="preserve">المصدر: من إعداد الباحث باستخدام برنامج </w:t>
      </w:r>
      <w:r w:rsidRPr="00C67C5D">
        <w:rPr>
          <w:rFonts w:ascii="Simplified Arabic" w:hAnsi="Simplified Arabic" w:cs="Simplified Arabic"/>
          <w:sz w:val="24"/>
          <w:szCs w:val="24"/>
        </w:rPr>
        <w:t>EViews 10</w:t>
      </w:r>
      <w:r w:rsidRPr="00C67C5D">
        <w:rPr>
          <w:rFonts w:ascii="Simplified Arabic" w:hAnsi="Simplified Arabic" w:cs="Simplified Arabic"/>
          <w:sz w:val="24"/>
          <w:szCs w:val="24"/>
          <w:rtl/>
        </w:rPr>
        <w:t xml:space="preserve"> </w:t>
      </w:r>
      <w:r w:rsidRPr="00C67C5D">
        <w:rPr>
          <w:rFonts w:ascii="Simplified Arabic" w:hAnsi="Simplified Arabic" w:cs="Simplified Arabic"/>
          <w:sz w:val="24"/>
          <w:szCs w:val="24"/>
          <w:rtl/>
          <w:lang w:bidi="ar-EG"/>
        </w:rPr>
        <w:t>وب</w:t>
      </w:r>
      <w:r w:rsidRPr="00C67C5D">
        <w:rPr>
          <w:rFonts w:ascii="Simplified Arabic" w:hAnsi="Simplified Arabic" w:cs="Simplified Arabic"/>
          <w:sz w:val="24"/>
          <w:szCs w:val="24"/>
          <w:rtl/>
        </w:rPr>
        <w:t>الاعتماد على بيانات الجدول رقم (4-5).</w:t>
      </w:r>
    </w:p>
    <w:p w14:paraId="14CEC788" w14:textId="77777777" w:rsidR="002959BC" w:rsidRPr="00E854C2" w:rsidRDefault="002959BC" w:rsidP="002959BC">
      <w:pPr>
        <w:spacing w:line="216" w:lineRule="auto"/>
        <w:jc w:val="center"/>
        <w:rPr>
          <w:rFonts w:ascii="Simplified Arabic" w:hAnsi="Simplified Arabic" w:cs="Simplified Arabic"/>
          <w:sz w:val="28"/>
          <w:szCs w:val="28"/>
          <w:rtl/>
        </w:rPr>
      </w:pPr>
    </w:p>
    <w:p w14:paraId="7F1C84F5" w14:textId="2D2C74EF" w:rsidR="002959BC" w:rsidRDefault="002959BC">
      <w:pPr>
        <w:bidi w:val="0"/>
        <w:spacing w:after="160" w:line="259" w:lineRule="auto"/>
        <w:rPr>
          <w:rtl/>
          <w:lang w:bidi="ar-EG"/>
        </w:rPr>
      </w:pPr>
      <w:r>
        <w:rPr>
          <w:rtl/>
          <w:lang w:bidi="ar-EG"/>
        </w:rPr>
        <w:br w:type="page"/>
      </w:r>
    </w:p>
    <w:p w14:paraId="7BF62399" w14:textId="77777777" w:rsidR="002959BC" w:rsidRPr="003752C9" w:rsidRDefault="002959BC" w:rsidP="002959BC">
      <w:pPr>
        <w:jc w:val="both"/>
        <w:rPr>
          <w:rFonts w:asciiTheme="majorBidi" w:hAnsiTheme="majorBidi" w:cstheme="majorBidi"/>
          <w:strike/>
          <w:color w:val="FF0000"/>
          <w:sz w:val="28"/>
          <w:szCs w:val="28"/>
          <w:lang w:bidi="ar-EG"/>
        </w:rPr>
      </w:pPr>
    </w:p>
    <w:p w14:paraId="2CC09DE4" w14:textId="77777777" w:rsidR="002959BC" w:rsidRPr="003752C9" w:rsidRDefault="002959BC" w:rsidP="002959BC">
      <w:pPr>
        <w:jc w:val="both"/>
        <w:rPr>
          <w:rFonts w:asciiTheme="majorBidi" w:hAnsiTheme="majorBidi" w:cstheme="majorBidi"/>
          <w:b/>
          <w:bCs/>
          <w:sz w:val="28"/>
          <w:szCs w:val="28"/>
          <w:rtl/>
          <w:lang w:bidi="ar-EG"/>
        </w:rPr>
      </w:pPr>
    </w:p>
    <w:p w14:paraId="747610A9" w14:textId="77777777" w:rsidR="002959BC" w:rsidRPr="003752C9" w:rsidRDefault="002959BC" w:rsidP="002959BC">
      <w:pPr>
        <w:ind w:left="56" w:firstLine="56"/>
        <w:jc w:val="both"/>
        <w:rPr>
          <w:rFonts w:asciiTheme="majorBidi" w:hAnsiTheme="majorBidi" w:cstheme="majorBidi"/>
          <w:b/>
          <w:bCs/>
          <w:sz w:val="28"/>
          <w:szCs w:val="28"/>
          <w:rtl/>
          <w:lang w:bidi="ar-EG"/>
        </w:rPr>
      </w:pPr>
    </w:p>
    <w:p w14:paraId="706A259E" w14:textId="77777777" w:rsidR="002959BC" w:rsidRPr="003752C9" w:rsidRDefault="002959BC" w:rsidP="002959BC">
      <w:pPr>
        <w:ind w:left="56" w:firstLine="56"/>
        <w:jc w:val="both"/>
        <w:rPr>
          <w:rFonts w:asciiTheme="majorBidi" w:hAnsiTheme="majorBidi" w:cstheme="majorBidi"/>
          <w:b/>
          <w:bCs/>
          <w:sz w:val="28"/>
          <w:szCs w:val="28"/>
          <w:rtl/>
          <w:lang w:bidi="ar-EG"/>
        </w:rPr>
      </w:pPr>
    </w:p>
    <w:p w14:paraId="333212EA" w14:textId="77777777" w:rsidR="002959BC" w:rsidRPr="003752C9" w:rsidRDefault="002959BC" w:rsidP="002959BC">
      <w:pPr>
        <w:ind w:left="56" w:firstLine="56"/>
        <w:jc w:val="both"/>
        <w:rPr>
          <w:rFonts w:asciiTheme="majorBidi" w:hAnsiTheme="majorBidi" w:cstheme="majorBidi"/>
          <w:b/>
          <w:bCs/>
          <w:sz w:val="28"/>
          <w:szCs w:val="28"/>
          <w:rtl/>
          <w:lang w:bidi="ar-EG"/>
        </w:rPr>
      </w:pPr>
    </w:p>
    <w:p w14:paraId="230C5FDE" w14:textId="77777777" w:rsidR="002959BC" w:rsidRPr="003752C9" w:rsidRDefault="002959BC" w:rsidP="002959BC">
      <w:pPr>
        <w:jc w:val="both"/>
        <w:rPr>
          <w:rFonts w:asciiTheme="majorBidi" w:hAnsiTheme="majorBidi" w:cstheme="majorBidi"/>
          <w:sz w:val="28"/>
          <w:szCs w:val="28"/>
          <w:rtl/>
          <w:lang w:bidi="ar-EG"/>
        </w:rPr>
      </w:pPr>
    </w:p>
    <w:p w14:paraId="2CC69EB7" w14:textId="77777777" w:rsidR="002959BC" w:rsidRPr="003752C9" w:rsidRDefault="002959BC" w:rsidP="002959BC">
      <w:pPr>
        <w:jc w:val="both"/>
        <w:rPr>
          <w:rFonts w:asciiTheme="majorBidi" w:hAnsiTheme="majorBidi" w:cstheme="majorBidi"/>
          <w:sz w:val="28"/>
          <w:szCs w:val="28"/>
          <w:rtl/>
          <w:lang w:bidi="ar-EG"/>
        </w:rPr>
      </w:pPr>
    </w:p>
    <w:p w14:paraId="5AC3AEDE" w14:textId="77777777" w:rsidR="002959BC" w:rsidRPr="003752C9" w:rsidRDefault="002959BC" w:rsidP="002959BC">
      <w:pPr>
        <w:jc w:val="both"/>
        <w:rPr>
          <w:rFonts w:asciiTheme="majorBidi" w:hAnsiTheme="majorBidi" w:cstheme="majorBidi"/>
          <w:sz w:val="28"/>
          <w:szCs w:val="28"/>
          <w:rtl/>
          <w:lang w:bidi="ar-EG"/>
        </w:rPr>
      </w:pPr>
    </w:p>
    <w:p w14:paraId="20185311" w14:textId="77777777" w:rsidR="002959BC" w:rsidRPr="003752C9" w:rsidRDefault="002959BC" w:rsidP="002959BC">
      <w:pPr>
        <w:jc w:val="both"/>
        <w:rPr>
          <w:rFonts w:asciiTheme="majorBidi" w:hAnsiTheme="majorBidi" w:cstheme="majorBidi"/>
          <w:sz w:val="28"/>
          <w:szCs w:val="28"/>
          <w:rtl/>
          <w:lang w:bidi="ar-EG"/>
        </w:rPr>
      </w:pPr>
    </w:p>
    <w:p w14:paraId="6037738A" w14:textId="77777777" w:rsidR="002959BC" w:rsidRPr="003752C9" w:rsidRDefault="002959BC" w:rsidP="002959BC">
      <w:pPr>
        <w:jc w:val="both"/>
        <w:rPr>
          <w:rFonts w:asciiTheme="majorBidi" w:hAnsiTheme="majorBidi" w:cstheme="majorBidi"/>
          <w:sz w:val="28"/>
          <w:szCs w:val="28"/>
          <w:rtl/>
          <w:lang w:bidi="ar-EG"/>
        </w:rPr>
      </w:pPr>
    </w:p>
    <w:p w14:paraId="4A585018" w14:textId="77777777" w:rsidR="002959BC" w:rsidRPr="003752C9" w:rsidRDefault="002959BC" w:rsidP="002959BC">
      <w:pPr>
        <w:jc w:val="both"/>
        <w:rPr>
          <w:rFonts w:asciiTheme="majorBidi" w:hAnsiTheme="majorBidi" w:cstheme="majorBidi"/>
          <w:sz w:val="28"/>
          <w:szCs w:val="28"/>
          <w:rtl/>
          <w:lang w:bidi="ar-EG"/>
        </w:rPr>
      </w:pPr>
    </w:p>
    <w:p w14:paraId="39059631" w14:textId="77777777" w:rsidR="002959BC" w:rsidRPr="003752C9" w:rsidRDefault="002959BC" w:rsidP="002959BC">
      <w:pPr>
        <w:jc w:val="both"/>
        <w:rPr>
          <w:rFonts w:asciiTheme="majorBidi" w:hAnsiTheme="majorBidi" w:cstheme="majorBidi"/>
          <w:sz w:val="28"/>
          <w:szCs w:val="28"/>
          <w:rtl/>
          <w:lang w:bidi="ar-EG"/>
        </w:rPr>
      </w:pPr>
    </w:p>
    <w:p w14:paraId="265F97BD" w14:textId="77777777" w:rsidR="002959BC" w:rsidRPr="003752C9" w:rsidRDefault="002959BC" w:rsidP="002959BC">
      <w:pPr>
        <w:ind w:firstLine="567"/>
        <w:jc w:val="both"/>
        <w:rPr>
          <w:rFonts w:asciiTheme="majorBidi" w:hAnsiTheme="majorBidi" w:cstheme="majorBidi"/>
          <w:sz w:val="28"/>
          <w:szCs w:val="28"/>
          <w:rtl/>
          <w:lang w:bidi="ar-EG"/>
        </w:rPr>
      </w:pPr>
      <w:r w:rsidRPr="003752C9">
        <w:rPr>
          <w:rFonts w:asciiTheme="majorBidi" w:hAnsiTheme="majorBidi" w:cstheme="majorBidi"/>
          <w:b/>
          <w:bCs/>
          <w:sz w:val="28"/>
          <w:szCs w:val="28"/>
          <w:rtl/>
        </w:rPr>
        <mc:AlternateContent>
          <mc:Choice Requires="wps">
            <w:drawing>
              <wp:anchor distT="0" distB="0" distL="114300" distR="114300" simplePos="0" relativeHeight="251727872" behindDoc="0" locked="0" layoutInCell="1" allowOverlap="1" wp14:anchorId="6ADC2887" wp14:editId="1B0BBC5B">
                <wp:simplePos x="0" y="0"/>
                <wp:positionH relativeFrom="margin">
                  <wp:align>center</wp:align>
                </wp:positionH>
                <wp:positionV relativeFrom="margin">
                  <wp:align>center</wp:align>
                </wp:positionV>
                <wp:extent cx="5267325" cy="636105"/>
                <wp:effectExtent l="0" t="0" r="47625" b="50165"/>
                <wp:wrapNone/>
                <wp:docPr id="15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636105"/>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62378602" w14:textId="77777777" w:rsidR="00270E6A" w:rsidRPr="00382658" w:rsidRDefault="00270E6A" w:rsidP="002959BC">
                            <w:pPr>
                              <w:spacing w:before="120" w:after="120" w:line="288" w:lineRule="auto"/>
                              <w:jc w:val="center"/>
                              <w:rPr>
                                <w:rFonts w:asciiTheme="majorBidi" w:hAnsiTheme="majorBidi" w:cstheme="majorBidi"/>
                                <w:b/>
                                <w:bCs/>
                                <w:color w:val="222A35" w:themeColor="text2" w:themeShade="80"/>
                                <w:sz w:val="32"/>
                                <w:szCs w:val="32"/>
                                <w:lang w:bidi="ar-EG"/>
                              </w:rPr>
                            </w:pPr>
                            <w:r w:rsidRPr="00382658">
                              <w:rPr>
                                <w:rFonts w:asciiTheme="majorBidi" w:hAnsiTheme="majorBidi" w:cstheme="majorBidi"/>
                                <w:b/>
                                <w:bCs/>
                                <w:sz w:val="32"/>
                                <w:szCs w:val="32"/>
                                <w:lang w:bidi="ar-EG"/>
                              </w:rPr>
                              <w:t xml:space="preserve">SUMMARY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DC2887" id="AutoShape 4" o:spid="_x0000_s1139" style="position:absolute;left:0;text-align:left;margin-left:0;margin-top:0;width:414.75pt;height:50.1pt;z-index:2517278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" fillcolor="white [3201]" strokecolor="#c9c9c9 [1942]" strokeweight="1pt">
                <v:fill color2="#dbdbdb [1302]" focus="100%" type="gradient"/>
                <v:shadow on="t" color="#525252 [1606]" opacity=".5" offset="1pt"/>
                <v:textbox>
                  <w:txbxContent>
                    <w:p w14:paraId="62378602" w14:textId="77777777" w:rsidR="00270E6A" w:rsidRPr="00382658" w:rsidRDefault="00270E6A" w:rsidP="002959BC">
                      <w:pPr>
                        <w:spacing w:before="120" w:after="120" w:line="288" w:lineRule="auto"/>
                        <w:jc w:val="center"/>
                        <w:rPr>
                          <w:rFonts w:asciiTheme="majorBidi" w:hAnsiTheme="majorBidi" w:cstheme="majorBidi"/>
                          <w:b/>
                          <w:bCs/>
                          <w:color w:val="222A35" w:themeColor="text2" w:themeShade="80"/>
                          <w:sz w:val="32"/>
                          <w:szCs w:val="32"/>
                          <w:lang w:bidi="ar-EG"/>
                        </w:rPr>
                      </w:pPr>
                      <w:r w:rsidRPr="00382658">
                        <w:rPr>
                          <w:rFonts w:asciiTheme="majorBidi" w:hAnsiTheme="majorBidi" w:cstheme="majorBidi"/>
                          <w:b/>
                          <w:bCs/>
                          <w:sz w:val="32"/>
                          <w:szCs w:val="32"/>
                          <w:lang w:bidi="ar-EG"/>
                        </w:rPr>
                        <w:t xml:space="preserve">SUMMARY </w:t>
                      </w:r>
                    </w:p>
                  </w:txbxContent>
                </v:textbox>
                <w10:wrap anchorx="margin" anchory="margin"/>
              </v:roundrect>
            </w:pict>
          </mc:Fallback>
        </mc:AlternateContent>
      </w:r>
      <w:r w:rsidRPr="003752C9">
        <w:rPr>
          <w:rFonts w:asciiTheme="majorBidi" w:hAnsiTheme="majorBidi" w:cstheme="majorBidi"/>
          <w:sz w:val="28"/>
          <w:szCs w:val="28"/>
          <w:rtl/>
          <w:lang w:bidi="ar-EG"/>
        </w:rPr>
        <w:br w:type="page"/>
      </w:r>
    </w:p>
    <w:p w14:paraId="3C4D0181" w14:textId="77777777" w:rsidR="002959BC" w:rsidRPr="003752C9" w:rsidRDefault="002959BC" w:rsidP="002959BC">
      <w:pPr>
        <w:ind w:firstLine="426"/>
        <w:jc w:val="both"/>
        <w:rPr>
          <w:rFonts w:asciiTheme="majorBidi" w:hAnsiTheme="majorBidi" w:cstheme="majorBidi"/>
          <w:sz w:val="28"/>
          <w:szCs w:val="28"/>
        </w:rPr>
      </w:pPr>
      <w:r w:rsidRPr="003752C9">
        <w:rPr>
          <w:rFonts w:asciiTheme="majorBidi" w:hAnsiTheme="majorBidi" w:cstheme="majorBidi"/>
          <w:sz w:val="28"/>
          <w:szCs w:val="28"/>
        </w:rPr>
        <w:lastRenderedPageBreak/>
        <w:t>The importance of the study is due to the attempt to analyze and measure the impact of the financial mechanisms used to finance the public budget deficit of the State on inflation in Egypt since the commencement of the economic reform program during the fiscal year 1991/1992 until the fiscal year 2018/2019, in order to identify the mechanisms that Egypt followed to finance the public budget deficit of the State during that period and the impact of each of them on rising of inflationary pressures, then identifying the best alternatives to finance the public budget deficit of the State, which would have the least possible impact on rising of inflationary pressures, consequently enable the economic policy makers to take measures that would bring about positive effects to reduce and contain inflation, in order to achieve the objectives of the economic policy, so the study aims to:</w:t>
      </w:r>
    </w:p>
    <w:p w14:paraId="713F9584" w14:textId="77777777" w:rsidR="002959BC" w:rsidRPr="003752C9" w:rsidRDefault="002959BC" w:rsidP="0041332D">
      <w:pPr>
        <w:pStyle w:val="ListParagraph"/>
        <w:numPr>
          <w:ilvl w:val="0"/>
          <w:numId w:val="42"/>
        </w:numPr>
        <w:bidi w:val="0"/>
        <w:spacing w:after="0" w:line="240" w:lineRule="auto"/>
        <w:ind w:left="567" w:hanging="218"/>
        <w:contextualSpacing w:val="0"/>
        <w:jc w:val="both"/>
        <w:rPr>
          <w:rFonts w:asciiTheme="majorBidi" w:hAnsiTheme="majorBidi" w:cstheme="majorBidi"/>
          <w:sz w:val="28"/>
          <w:szCs w:val="28"/>
        </w:rPr>
      </w:pPr>
      <w:r w:rsidRPr="003752C9">
        <w:rPr>
          <w:rFonts w:asciiTheme="majorBidi" w:hAnsiTheme="majorBidi" w:cstheme="majorBidi"/>
          <w:sz w:val="28"/>
          <w:szCs w:val="28"/>
        </w:rPr>
        <w:t>Analyze the public budget deficit, its sources of financing, the risks of each and the development of inflation in Egypt during the period 1991-2019.</w:t>
      </w:r>
    </w:p>
    <w:p w14:paraId="2F57D91F" w14:textId="77777777" w:rsidR="002959BC" w:rsidRDefault="002959BC" w:rsidP="0041332D">
      <w:pPr>
        <w:pStyle w:val="ListParagraph"/>
        <w:numPr>
          <w:ilvl w:val="0"/>
          <w:numId w:val="42"/>
        </w:numPr>
        <w:bidi w:val="0"/>
        <w:spacing w:after="0" w:line="240" w:lineRule="auto"/>
        <w:ind w:left="567" w:hanging="218"/>
        <w:contextualSpacing w:val="0"/>
        <w:jc w:val="both"/>
        <w:rPr>
          <w:rFonts w:asciiTheme="majorBidi" w:hAnsiTheme="majorBidi" w:cstheme="majorBidi"/>
          <w:sz w:val="28"/>
          <w:szCs w:val="28"/>
        </w:rPr>
      </w:pPr>
      <w:r w:rsidRPr="003752C9">
        <w:rPr>
          <w:rFonts w:asciiTheme="majorBidi" w:hAnsiTheme="majorBidi" w:cstheme="majorBidi"/>
          <w:sz w:val="28"/>
          <w:szCs w:val="28"/>
        </w:rPr>
        <w:t>Measure the impact of the financial mechanisms for financing the public budget deficit of the State on inflation in Egypt during the study period.</w:t>
      </w:r>
      <w:r>
        <w:rPr>
          <w:rFonts w:asciiTheme="majorBidi" w:hAnsiTheme="majorBidi" w:cstheme="majorBidi"/>
          <w:sz w:val="28"/>
          <w:szCs w:val="28"/>
        </w:rPr>
        <w:t>\</w:t>
      </w:r>
    </w:p>
    <w:p w14:paraId="583150F4" w14:textId="77777777" w:rsidR="002959BC" w:rsidRPr="003752C9" w:rsidRDefault="002959BC" w:rsidP="002959BC">
      <w:pPr>
        <w:pStyle w:val="ListParagraph"/>
        <w:spacing w:after="0" w:line="240" w:lineRule="auto"/>
        <w:ind w:left="567"/>
        <w:contextualSpacing w:val="0"/>
        <w:jc w:val="both"/>
        <w:rPr>
          <w:rFonts w:asciiTheme="majorBidi" w:hAnsiTheme="majorBidi" w:cstheme="majorBidi"/>
          <w:sz w:val="28"/>
          <w:szCs w:val="28"/>
        </w:rPr>
      </w:pPr>
    </w:p>
    <w:p w14:paraId="76FB808C" w14:textId="77777777" w:rsidR="002959BC" w:rsidRPr="003752C9" w:rsidRDefault="002959BC" w:rsidP="002959BC">
      <w:pPr>
        <w:jc w:val="both"/>
        <w:rPr>
          <w:rFonts w:asciiTheme="majorBidi" w:hAnsiTheme="majorBidi" w:cstheme="majorBidi"/>
          <w:b/>
          <w:bCs/>
          <w:sz w:val="28"/>
          <w:szCs w:val="28"/>
        </w:rPr>
      </w:pPr>
      <w:r w:rsidRPr="003752C9">
        <w:rPr>
          <w:rFonts w:asciiTheme="majorBidi" w:hAnsiTheme="majorBidi" w:cstheme="majorBidi"/>
          <w:b/>
          <w:bCs/>
          <w:sz w:val="28"/>
          <w:szCs w:val="28"/>
        </w:rPr>
        <w:t>The study attempted to answer two main questions:</w:t>
      </w:r>
    </w:p>
    <w:p w14:paraId="297F67E2" w14:textId="77777777" w:rsidR="002959BC" w:rsidRPr="003752C9" w:rsidRDefault="002959BC" w:rsidP="0041332D">
      <w:pPr>
        <w:pStyle w:val="ListParagraph"/>
        <w:numPr>
          <w:ilvl w:val="0"/>
          <w:numId w:val="42"/>
        </w:numPr>
        <w:bidi w:val="0"/>
        <w:spacing w:after="0" w:line="240" w:lineRule="auto"/>
        <w:ind w:left="567" w:hanging="218"/>
        <w:contextualSpacing w:val="0"/>
        <w:jc w:val="both"/>
        <w:rPr>
          <w:rFonts w:asciiTheme="majorBidi" w:hAnsiTheme="majorBidi" w:cstheme="majorBidi"/>
          <w:sz w:val="28"/>
          <w:szCs w:val="28"/>
        </w:rPr>
      </w:pPr>
      <w:r w:rsidRPr="003752C9">
        <w:rPr>
          <w:rFonts w:asciiTheme="majorBidi" w:hAnsiTheme="majorBidi" w:cstheme="majorBidi"/>
          <w:sz w:val="28"/>
          <w:szCs w:val="28"/>
        </w:rPr>
        <w:t>Is there a relationship between the various financial mechanisms for financing the public budget deficit and inflation in Egypt during the study period?</w:t>
      </w:r>
    </w:p>
    <w:p w14:paraId="17C107AB" w14:textId="77777777" w:rsidR="002959BC" w:rsidRDefault="002959BC" w:rsidP="0041332D">
      <w:pPr>
        <w:pStyle w:val="ListParagraph"/>
        <w:numPr>
          <w:ilvl w:val="0"/>
          <w:numId w:val="42"/>
        </w:numPr>
        <w:bidi w:val="0"/>
        <w:spacing w:after="0" w:line="240" w:lineRule="auto"/>
        <w:ind w:left="567" w:hanging="218"/>
        <w:contextualSpacing w:val="0"/>
        <w:jc w:val="both"/>
        <w:rPr>
          <w:rFonts w:asciiTheme="majorBidi" w:hAnsiTheme="majorBidi" w:cstheme="majorBidi"/>
          <w:sz w:val="28"/>
          <w:szCs w:val="28"/>
        </w:rPr>
      </w:pPr>
      <w:r w:rsidRPr="003752C9">
        <w:rPr>
          <w:rFonts w:asciiTheme="majorBidi" w:hAnsiTheme="majorBidi" w:cstheme="majorBidi"/>
          <w:sz w:val="28"/>
          <w:szCs w:val="28"/>
        </w:rPr>
        <w:t>What is the strength and direction of the relationship between the various financial mechanisms for financing the public budget deficit and inflation in Egypt during the study period?</w:t>
      </w:r>
    </w:p>
    <w:p w14:paraId="634FF84C" w14:textId="77777777" w:rsidR="002959BC" w:rsidRPr="003752C9" w:rsidRDefault="002959BC" w:rsidP="002959BC">
      <w:pPr>
        <w:pStyle w:val="ListParagraph"/>
        <w:spacing w:after="0" w:line="240" w:lineRule="auto"/>
        <w:ind w:left="567"/>
        <w:contextualSpacing w:val="0"/>
        <w:jc w:val="both"/>
        <w:rPr>
          <w:rFonts w:asciiTheme="majorBidi" w:hAnsiTheme="majorBidi" w:cstheme="majorBidi"/>
          <w:sz w:val="28"/>
          <w:szCs w:val="28"/>
        </w:rPr>
      </w:pPr>
    </w:p>
    <w:p w14:paraId="0DF558E6" w14:textId="77777777" w:rsidR="002959BC" w:rsidRDefault="002959BC" w:rsidP="002959BC">
      <w:pPr>
        <w:ind w:firstLine="426"/>
        <w:jc w:val="both"/>
        <w:rPr>
          <w:rFonts w:asciiTheme="majorBidi" w:hAnsiTheme="majorBidi" w:cstheme="majorBidi"/>
          <w:sz w:val="28"/>
          <w:szCs w:val="28"/>
        </w:rPr>
      </w:pPr>
      <w:r w:rsidRPr="003752C9">
        <w:rPr>
          <w:rFonts w:asciiTheme="majorBidi" w:hAnsiTheme="majorBidi" w:cstheme="majorBidi"/>
          <w:sz w:val="28"/>
          <w:szCs w:val="28"/>
        </w:rPr>
        <w:t>The descriptive approach was used to review and analyze the data of the public budget deficit of the State in Egypt during the study period and the financial mechanisms used to finance such deficit. It also deals with the inflation data expressed in the consumer price index in Egypt during the same period and data of economic determinants that affect inflation. The standard analytical approach was also used to build standard model based on the economic theories and previous standard studies that dealt with the interrelationships between the public budget deficit of the State and inflation as the standard model includes inflation expressed in the consumer price index (as a dependent variable), and number of explanatory variables represented in the financial mechanisms used for financing the public budget deficit of the State, the import prices at fixed local prices, the money growth to gross domestic product rate, the exchange rate of Egyptian pound against US dollar in addition to an dummy variable that represents the political instability.</w:t>
      </w:r>
    </w:p>
    <w:p w14:paraId="18602881" w14:textId="77777777" w:rsidR="002959BC" w:rsidRPr="003752C9" w:rsidRDefault="002959BC" w:rsidP="002959BC">
      <w:pPr>
        <w:ind w:firstLine="426"/>
        <w:jc w:val="both"/>
        <w:rPr>
          <w:rFonts w:asciiTheme="majorBidi" w:hAnsiTheme="majorBidi" w:cstheme="majorBidi"/>
          <w:sz w:val="28"/>
          <w:szCs w:val="28"/>
        </w:rPr>
      </w:pPr>
    </w:p>
    <w:p w14:paraId="3BFE9223" w14:textId="77777777" w:rsidR="002959BC" w:rsidRDefault="002959BC" w:rsidP="002959BC">
      <w:pPr>
        <w:ind w:firstLine="426"/>
        <w:jc w:val="both"/>
        <w:rPr>
          <w:rFonts w:asciiTheme="majorBidi" w:hAnsiTheme="majorBidi" w:cstheme="majorBidi"/>
          <w:sz w:val="28"/>
          <w:szCs w:val="28"/>
        </w:rPr>
      </w:pPr>
      <w:r w:rsidRPr="003752C9">
        <w:rPr>
          <w:rFonts w:asciiTheme="majorBidi" w:hAnsiTheme="majorBidi" w:cstheme="majorBidi"/>
          <w:sz w:val="28"/>
          <w:szCs w:val="28"/>
        </w:rPr>
        <w:t xml:space="preserve">The study was divided into three chapters, where the first chapter dealt with the theoretical framework of the relationship between the mechanisms of financing the public budget deficit of the State and the phenomenon of inflation as the first theme included in some detail the phenomenon of inflation in terms of presenting its most </w:t>
      </w:r>
      <w:r w:rsidRPr="003752C9">
        <w:rPr>
          <w:rFonts w:asciiTheme="majorBidi" w:hAnsiTheme="majorBidi" w:cstheme="majorBidi"/>
          <w:sz w:val="28"/>
          <w:szCs w:val="28"/>
        </w:rPr>
        <w:lastRenderedPageBreak/>
        <w:t>important definitions and types. It also deals with the theories that explain the phenomenon of inflation, then identify its effects and remedial policies of inflation, while the second theme dealt with identifying the nature of the public budget deficit and its most important types and an synopsis of the most important causes of the public budget deficit in Egypt. Finally, the third theme included the financial mechanisms for financing the public budget deficit and the impact of each of these mechanisms on inflation.</w:t>
      </w:r>
    </w:p>
    <w:p w14:paraId="3039282D" w14:textId="77777777" w:rsidR="002959BC" w:rsidRPr="003752C9" w:rsidRDefault="002959BC" w:rsidP="002959BC">
      <w:pPr>
        <w:ind w:firstLine="426"/>
        <w:jc w:val="both"/>
        <w:rPr>
          <w:rFonts w:asciiTheme="majorBidi" w:hAnsiTheme="majorBidi" w:cstheme="majorBidi"/>
          <w:sz w:val="28"/>
          <w:szCs w:val="28"/>
        </w:rPr>
      </w:pPr>
    </w:p>
    <w:p w14:paraId="1BC70990" w14:textId="77777777" w:rsidR="002959BC" w:rsidRDefault="002959BC" w:rsidP="002959BC">
      <w:pPr>
        <w:ind w:firstLine="426"/>
        <w:jc w:val="both"/>
        <w:rPr>
          <w:rFonts w:asciiTheme="majorBidi" w:hAnsiTheme="majorBidi" w:cstheme="majorBidi"/>
          <w:sz w:val="28"/>
          <w:szCs w:val="28"/>
        </w:rPr>
      </w:pPr>
      <w:r w:rsidRPr="003752C9">
        <w:rPr>
          <w:rFonts w:asciiTheme="majorBidi" w:hAnsiTheme="majorBidi" w:cstheme="majorBidi"/>
          <w:sz w:val="28"/>
          <w:szCs w:val="28"/>
        </w:rPr>
        <w:t>The second chapter tackled the analysis of the relationship between the mechanisms of financing the public budget deficit of the State and inflation through clarifying the type and direction of that relationship, as the data of public budget deficit of the State and was reviewed, as well as tracking the financial mechanisms for financing the public budget deficit of the State and its relationship to the consumer price index in Egypt during the period from the fiscal year 1991/1992 to the fiscal year 2018/2019, using a time series covering the period under study, where the first theme tackled the analysis of the relationship between the mechanisms of financing the budget deficit and inflation during the study period, as this theme was divided into three time periods according to the followed fiscal policy. This is due to the adoption of different financial policies during those periods and according to some circumstances that formed distinguishing marks in the public financial situation, such as the implementation of reform programs provided by the International Monetary Fund since 1991, as well as according to some political circumstances that resulted from the January 2011 revolution, which affected considerably on the total economic conditions, at the heart of which are the public financial conditions, and in each of those three periods, the date of public budget deficit of the State was reviewed and analyzed and the data of financial mechanisms used for financing the budget deficit and the relative weight of each of them and the data inflation expressed in the consumer price index. With regard to the second theme, it includes measuring the statistically significant relationship between the mechanisms of financing the public budget deficit of the State and the consumer price index during the period of fiscal year 1991/ 1992 to the fiscal year 2018/2019 to show the extent to which there is a correlation between the various mechanisms for financing the budget deficit and inflation, and the strength and direction of such relationship. Finally, an overview was given to the public budget deficit, its financing mechanisms, and inflation expressed in the consumer price index during the period of fiscal year 1991/1992 to the fiscal year 2018/2019 to clarify the existing interrelationships between these variables during the entire study period.</w:t>
      </w:r>
    </w:p>
    <w:p w14:paraId="3DC68A2B" w14:textId="77777777" w:rsidR="002959BC" w:rsidRPr="003752C9" w:rsidRDefault="002959BC" w:rsidP="002959BC">
      <w:pPr>
        <w:ind w:firstLine="426"/>
        <w:jc w:val="both"/>
        <w:rPr>
          <w:rFonts w:asciiTheme="majorBidi" w:hAnsiTheme="majorBidi" w:cstheme="majorBidi"/>
          <w:sz w:val="28"/>
          <w:szCs w:val="28"/>
        </w:rPr>
      </w:pPr>
    </w:p>
    <w:p w14:paraId="04AF5796" w14:textId="77777777" w:rsidR="002959BC" w:rsidRDefault="002959BC" w:rsidP="002959BC">
      <w:pPr>
        <w:ind w:firstLine="426"/>
        <w:jc w:val="both"/>
        <w:rPr>
          <w:rFonts w:asciiTheme="majorBidi" w:hAnsiTheme="majorBidi" w:cstheme="majorBidi"/>
          <w:sz w:val="28"/>
          <w:szCs w:val="28"/>
        </w:rPr>
      </w:pPr>
      <w:r w:rsidRPr="003752C9">
        <w:rPr>
          <w:rFonts w:asciiTheme="majorBidi" w:hAnsiTheme="majorBidi" w:cstheme="majorBidi"/>
          <w:sz w:val="28"/>
          <w:szCs w:val="28"/>
        </w:rPr>
        <w:t xml:space="preserve">Finally, the third chapter dealt with the use of the standard approach to test the hypothesis of the relationship between the mechanisms of financing the public budget deficit of the State and inflation expressed in the consumer price index, where this chapter was divided into two themes. The first theme discussed the indicators of </w:t>
      </w:r>
      <w:r w:rsidRPr="003752C9">
        <w:rPr>
          <w:rFonts w:asciiTheme="majorBidi" w:hAnsiTheme="majorBidi" w:cstheme="majorBidi"/>
          <w:sz w:val="28"/>
          <w:szCs w:val="28"/>
        </w:rPr>
        <w:lastRenderedPageBreak/>
        <w:t>the most important determinants of inflation in Egypt during the study period, which is a set of factors that can bring about a change in the rate of inflation during a certain period of time, based on the economic theory and previous applied studies that dealt with the phenomenon of inflation in Egypt, while the second theme talked about the standard study of the relationship between the mechanisms of financing the public budget deficit of the State and inflation, where the standard model included inflation expressed in the consumer price index (as dependent variable) and the financial mechanisms used to finance the public budget deficit of the State (as independent variables), in addition to the other most important independent variables that affect inflation in Egypt during that period, i.e. the prices of imports at fixed domestic prices, the exchange rate of the Egyptian pound against US dollar, the money growth to gross domestic product ratio in addition to dummy variable indicating the political instability.</w:t>
      </w:r>
    </w:p>
    <w:p w14:paraId="55BFBF4D" w14:textId="77777777" w:rsidR="002959BC" w:rsidRPr="003752C9" w:rsidRDefault="002959BC" w:rsidP="002959BC">
      <w:pPr>
        <w:ind w:firstLine="426"/>
        <w:jc w:val="both"/>
        <w:rPr>
          <w:rFonts w:asciiTheme="majorBidi" w:hAnsiTheme="majorBidi" w:cstheme="majorBidi"/>
          <w:sz w:val="28"/>
          <w:szCs w:val="28"/>
        </w:rPr>
      </w:pPr>
    </w:p>
    <w:p w14:paraId="381AD473" w14:textId="77777777" w:rsidR="002959BC" w:rsidRPr="003752C9" w:rsidRDefault="002959BC" w:rsidP="002959BC">
      <w:pPr>
        <w:jc w:val="both"/>
        <w:rPr>
          <w:rFonts w:asciiTheme="majorBidi" w:hAnsiTheme="majorBidi" w:cstheme="majorBidi"/>
          <w:b/>
          <w:bCs/>
          <w:sz w:val="28"/>
          <w:szCs w:val="28"/>
        </w:rPr>
      </w:pPr>
      <w:r w:rsidRPr="003752C9">
        <w:rPr>
          <w:rFonts w:asciiTheme="majorBidi" w:hAnsiTheme="majorBidi" w:cstheme="majorBidi"/>
          <w:b/>
          <w:bCs/>
          <w:sz w:val="28"/>
          <w:szCs w:val="28"/>
        </w:rPr>
        <w:t>The most important results of the study can be summarized as follows:</w:t>
      </w:r>
    </w:p>
    <w:p w14:paraId="785513B2" w14:textId="77777777" w:rsidR="002959BC" w:rsidRPr="003752C9" w:rsidRDefault="002959BC" w:rsidP="0041332D">
      <w:pPr>
        <w:pStyle w:val="ListParagraph"/>
        <w:numPr>
          <w:ilvl w:val="0"/>
          <w:numId w:val="44"/>
        </w:numPr>
        <w:bidi w:val="0"/>
        <w:spacing w:after="0" w:line="240" w:lineRule="auto"/>
        <w:ind w:left="360"/>
        <w:contextualSpacing w:val="0"/>
        <w:jc w:val="both"/>
        <w:rPr>
          <w:rFonts w:asciiTheme="majorBidi" w:hAnsiTheme="majorBidi" w:cstheme="majorBidi"/>
          <w:sz w:val="28"/>
          <w:szCs w:val="28"/>
        </w:rPr>
      </w:pPr>
      <w:r w:rsidRPr="003752C9">
        <w:rPr>
          <w:rFonts w:asciiTheme="majorBidi" w:hAnsiTheme="majorBidi" w:cstheme="majorBidi"/>
          <w:sz w:val="28"/>
          <w:szCs w:val="28"/>
        </w:rPr>
        <w:t>The applied study proved that some of the financial mechanisms for financing the public budget deficit of the State are a reason for generating inflationary pressures in the Egyptian economy:</w:t>
      </w:r>
    </w:p>
    <w:p w14:paraId="72E17E49" w14:textId="77777777" w:rsidR="002959BC" w:rsidRPr="003752C9" w:rsidRDefault="002959BC" w:rsidP="0041332D">
      <w:pPr>
        <w:pStyle w:val="ListParagraph"/>
        <w:numPr>
          <w:ilvl w:val="0"/>
          <w:numId w:val="43"/>
        </w:numPr>
        <w:bidi w:val="0"/>
        <w:spacing w:after="0" w:line="240" w:lineRule="auto"/>
        <w:ind w:left="709"/>
        <w:contextualSpacing w:val="0"/>
        <w:jc w:val="both"/>
        <w:rPr>
          <w:rFonts w:asciiTheme="majorBidi" w:hAnsiTheme="majorBidi" w:cstheme="majorBidi"/>
          <w:sz w:val="28"/>
          <w:szCs w:val="28"/>
        </w:rPr>
      </w:pPr>
      <w:r w:rsidRPr="003752C9">
        <w:rPr>
          <w:rFonts w:asciiTheme="majorBidi" w:hAnsiTheme="majorBidi" w:cstheme="majorBidi"/>
          <w:sz w:val="28"/>
          <w:szCs w:val="28"/>
        </w:rPr>
        <w:t>There is statistically significant direct relationship between the banking domestic financing of the public budget deficit of the State and inflation expressed in the consumer price index in Egypt during the study period, which means that the use of banking domestic finance for the public budget deficit of the State increases the inflationary pressures in the Egyptian economy. This is consistent with the economic theory that attributes a large part of the inflationary pressures to the Central Bank’s increase in the money supply to cover the government’s needs to finance the public budget deficit. This result is also consistent with the analysis of the relationship between inflation data and banking domestic finance, which was clarified in the second chapter of this search.</w:t>
      </w:r>
    </w:p>
    <w:p w14:paraId="4FB6A2A4" w14:textId="77777777" w:rsidR="002959BC" w:rsidRPr="003752C9" w:rsidRDefault="002959BC" w:rsidP="0041332D">
      <w:pPr>
        <w:pStyle w:val="ListParagraph"/>
        <w:numPr>
          <w:ilvl w:val="0"/>
          <w:numId w:val="43"/>
        </w:numPr>
        <w:bidi w:val="0"/>
        <w:spacing w:after="0" w:line="240" w:lineRule="auto"/>
        <w:ind w:left="709"/>
        <w:contextualSpacing w:val="0"/>
        <w:jc w:val="both"/>
        <w:rPr>
          <w:rFonts w:asciiTheme="majorBidi" w:hAnsiTheme="majorBidi" w:cstheme="majorBidi"/>
          <w:sz w:val="28"/>
          <w:szCs w:val="28"/>
        </w:rPr>
      </w:pPr>
      <w:r w:rsidRPr="003752C9">
        <w:rPr>
          <w:rFonts w:asciiTheme="majorBidi" w:hAnsiTheme="majorBidi" w:cstheme="majorBidi"/>
          <w:sz w:val="28"/>
          <w:szCs w:val="28"/>
        </w:rPr>
        <w:t xml:space="preserve">There is statistically significant inverse relationship between non-bank domestic financing of the public budget deficit of the State and inflation expressed in the consumer price index in Egypt during the study period, which means that non-bank domestic financing can be used for the public budget deficit of the State to contribute to reducing inflationary pressures in the Egyptian economy. This is also consistent with the economic theory, which considers that the use of financial surpluses in the non-banking sector is an effective way to finance the budget deficit without the occurrence of inflationary waves. Therefore, this financing mechanism is used at a large-scale way within the capitalist economies of developed financial markets through which they are able to provide the funds needed to finance the budget deficit at low interest rates, which is a method that developing countries do not use at the required level due to the limited money markets and the </w:t>
      </w:r>
      <w:r w:rsidRPr="003752C9">
        <w:rPr>
          <w:rFonts w:asciiTheme="majorBidi" w:hAnsiTheme="majorBidi" w:cstheme="majorBidi"/>
          <w:sz w:val="28"/>
          <w:szCs w:val="28"/>
        </w:rPr>
        <w:lastRenderedPageBreak/>
        <w:t>shortcomings in the securities offered in them, as well as due to the lack of sufficient confidence of some developing country governments by individual dealers to lend to the governments of those countries. In this context, it is possible to develop financing means that attract citizens to participate in the process of financing development in their countries and that have a financial return in addition to the importance of taking citizens’ opinions into consideration when determining development projects implemented by the State and explaining the returns of those projects to society and to shareholders therein.</w:t>
      </w:r>
    </w:p>
    <w:p w14:paraId="2C8A4B9D" w14:textId="77777777" w:rsidR="002959BC" w:rsidRPr="003752C9" w:rsidRDefault="002959BC" w:rsidP="0041332D">
      <w:pPr>
        <w:pStyle w:val="ListParagraph"/>
        <w:numPr>
          <w:ilvl w:val="0"/>
          <w:numId w:val="43"/>
        </w:numPr>
        <w:bidi w:val="0"/>
        <w:spacing w:after="0" w:line="240" w:lineRule="auto"/>
        <w:ind w:left="709"/>
        <w:contextualSpacing w:val="0"/>
        <w:jc w:val="both"/>
        <w:rPr>
          <w:rFonts w:asciiTheme="majorBidi" w:hAnsiTheme="majorBidi" w:cstheme="majorBidi"/>
          <w:sz w:val="28"/>
          <w:szCs w:val="28"/>
        </w:rPr>
      </w:pPr>
      <w:r w:rsidRPr="003752C9">
        <w:rPr>
          <w:rFonts w:asciiTheme="majorBidi" w:hAnsiTheme="majorBidi" w:cstheme="majorBidi"/>
          <w:sz w:val="28"/>
          <w:szCs w:val="28"/>
        </w:rPr>
        <w:t>It has not been proven that there is statistically significant effect of external financing of the public budget deficit of the State on increase inflation expressed in the consumer price index in Egypt during the study period.</w:t>
      </w:r>
    </w:p>
    <w:p w14:paraId="50839E4D" w14:textId="77777777" w:rsidR="002959BC" w:rsidRPr="003752C9" w:rsidRDefault="002959BC" w:rsidP="0041332D">
      <w:pPr>
        <w:pStyle w:val="ListParagraph"/>
        <w:numPr>
          <w:ilvl w:val="0"/>
          <w:numId w:val="43"/>
        </w:numPr>
        <w:bidi w:val="0"/>
        <w:spacing w:after="0" w:line="240" w:lineRule="auto"/>
        <w:ind w:left="709"/>
        <w:contextualSpacing w:val="0"/>
        <w:jc w:val="both"/>
        <w:rPr>
          <w:rFonts w:asciiTheme="majorBidi" w:hAnsiTheme="majorBidi" w:cstheme="majorBidi"/>
          <w:sz w:val="28"/>
          <w:szCs w:val="28"/>
        </w:rPr>
      </w:pPr>
      <w:r w:rsidRPr="003752C9">
        <w:rPr>
          <w:rFonts w:asciiTheme="majorBidi" w:hAnsiTheme="majorBidi" w:cstheme="majorBidi"/>
          <w:sz w:val="28"/>
          <w:szCs w:val="28"/>
        </w:rPr>
        <w:t>There is statistically significant direct relationship between the import prices at fixed domestic prices and inflation expressed in the consumer price index and there is also statistically significant direct relationship between the money supply to gross demotic product ratio and inflation expressed in the consumer price index.</w:t>
      </w:r>
    </w:p>
    <w:p w14:paraId="645CC8C3" w14:textId="77777777" w:rsidR="002959BC" w:rsidRDefault="002959BC" w:rsidP="0041332D">
      <w:pPr>
        <w:pStyle w:val="ListParagraph"/>
        <w:numPr>
          <w:ilvl w:val="0"/>
          <w:numId w:val="43"/>
        </w:numPr>
        <w:bidi w:val="0"/>
        <w:spacing w:after="0" w:line="240" w:lineRule="auto"/>
        <w:ind w:left="709"/>
        <w:contextualSpacing w:val="0"/>
        <w:jc w:val="both"/>
        <w:rPr>
          <w:rFonts w:asciiTheme="majorBidi" w:hAnsiTheme="majorBidi" w:cstheme="majorBidi"/>
          <w:sz w:val="28"/>
          <w:szCs w:val="28"/>
        </w:rPr>
      </w:pPr>
      <w:r w:rsidRPr="003752C9">
        <w:rPr>
          <w:rFonts w:asciiTheme="majorBidi" w:hAnsiTheme="majorBidi" w:cstheme="majorBidi"/>
          <w:sz w:val="28"/>
          <w:szCs w:val="28"/>
        </w:rPr>
        <w:t>There is a significant inverse relationship between the exchange rate and inflation expressed in the consumer price index in Egypt during the study period.</w:t>
      </w:r>
    </w:p>
    <w:p w14:paraId="568EC40B" w14:textId="77777777" w:rsidR="002959BC" w:rsidRPr="003752C9" w:rsidRDefault="002959BC" w:rsidP="002959BC">
      <w:pPr>
        <w:pStyle w:val="ListParagraph"/>
        <w:spacing w:after="0" w:line="240" w:lineRule="auto"/>
        <w:ind w:left="709"/>
        <w:contextualSpacing w:val="0"/>
        <w:jc w:val="both"/>
        <w:rPr>
          <w:rFonts w:asciiTheme="majorBidi" w:hAnsiTheme="majorBidi" w:cstheme="majorBidi"/>
          <w:sz w:val="28"/>
          <w:szCs w:val="28"/>
        </w:rPr>
      </w:pPr>
    </w:p>
    <w:p w14:paraId="3E03C6B8" w14:textId="77777777" w:rsidR="002959BC" w:rsidRPr="003752C9" w:rsidRDefault="002959BC" w:rsidP="0041332D">
      <w:pPr>
        <w:pStyle w:val="ListParagraph"/>
        <w:numPr>
          <w:ilvl w:val="0"/>
          <w:numId w:val="44"/>
        </w:numPr>
        <w:bidi w:val="0"/>
        <w:spacing w:after="0" w:line="240" w:lineRule="auto"/>
        <w:ind w:left="360"/>
        <w:contextualSpacing w:val="0"/>
        <w:jc w:val="both"/>
        <w:rPr>
          <w:rFonts w:asciiTheme="majorBidi" w:hAnsiTheme="majorBidi" w:cstheme="majorBidi"/>
          <w:sz w:val="28"/>
          <w:szCs w:val="28"/>
        </w:rPr>
      </w:pPr>
      <w:r w:rsidRPr="003752C9">
        <w:rPr>
          <w:rFonts w:asciiTheme="majorBidi" w:hAnsiTheme="majorBidi" w:cstheme="majorBidi"/>
          <w:sz w:val="28"/>
          <w:szCs w:val="28"/>
        </w:rPr>
        <w:t>The public budget deficit in Egypt represents a major problem in the Egyptian economy because it is a structural, chronic and high deficit.</w:t>
      </w:r>
    </w:p>
    <w:p w14:paraId="31EB49D3" w14:textId="77777777" w:rsidR="002959BC" w:rsidRPr="003752C9" w:rsidRDefault="002959BC" w:rsidP="0041332D">
      <w:pPr>
        <w:pStyle w:val="ListParagraph"/>
        <w:numPr>
          <w:ilvl w:val="0"/>
          <w:numId w:val="44"/>
        </w:numPr>
        <w:bidi w:val="0"/>
        <w:spacing w:after="0" w:line="240" w:lineRule="auto"/>
        <w:ind w:left="360"/>
        <w:contextualSpacing w:val="0"/>
        <w:jc w:val="both"/>
        <w:rPr>
          <w:rFonts w:asciiTheme="majorBidi" w:hAnsiTheme="majorBidi" w:cstheme="majorBidi"/>
          <w:sz w:val="28"/>
          <w:szCs w:val="28"/>
        </w:rPr>
      </w:pPr>
      <w:r w:rsidRPr="003752C9">
        <w:rPr>
          <w:rFonts w:asciiTheme="majorBidi" w:hAnsiTheme="majorBidi" w:cstheme="majorBidi"/>
          <w:sz w:val="28"/>
          <w:szCs w:val="28"/>
        </w:rPr>
        <w:t>There is strong direct correlation between both public revenues and public expenditures during the period under study.</w:t>
      </w:r>
    </w:p>
    <w:p w14:paraId="2A7BFA59" w14:textId="77777777" w:rsidR="002959BC" w:rsidRPr="003752C9" w:rsidRDefault="002959BC" w:rsidP="0041332D">
      <w:pPr>
        <w:pStyle w:val="ListParagraph"/>
        <w:numPr>
          <w:ilvl w:val="0"/>
          <w:numId w:val="44"/>
        </w:numPr>
        <w:bidi w:val="0"/>
        <w:spacing w:after="0" w:line="240" w:lineRule="auto"/>
        <w:ind w:left="360"/>
        <w:contextualSpacing w:val="0"/>
        <w:jc w:val="both"/>
        <w:rPr>
          <w:rFonts w:asciiTheme="majorBidi" w:hAnsiTheme="majorBidi" w:cstheme="majorBidi"/>
          <w:sz w:val="28"/>
          <w:szCs w:val="28"/>
        </w:rPr>
      </w:pPr>
      <w:r w:rsidRPr="003752C9">
        <w:rPr>
          <w:rFonts w:asciiTheme="majorBidi" w:hAnsiTheme="majorBidi" w:cstheme="majorBidi"/>
          <w:sz w:val="28"/>
          <w:szCs w:val="28"/>
        </w:rPr>
        <w:t>The sensitivity of the Egyptian economy to external shocks that affect public finance, whether they are economic or political.</w:t>
      </w:r>
    </w:p>
    <w:p w14:paraId="713FE1E0" w14:textId="77777777" w:rsidR="002959BC" w:rsidRPr="003752C9" w:rsidRDefault="002959BC" w:rsidP="0041332D">
      <w:pPr>
        <w:pStyle w:val="ListParagraph"/>
        <w:numPr>
          <w:ilvl w:val="0"/>
          <w:numId w:val="44"/>
        </w:numPr>
        <w:bidi w:val="0"/>
        <w:spacing w:after="0" w:line="240" w:lineRule="auto"/>
        <w:ind w:left="360"/>
        <w:contextualSpacing w:val="0"/>
        <w:jc w:val="both"/>
        <w:rPr>
          <w:rFonts w:asciiTheme="majorBidi" w:hAnsiTheme="majorBidi" w:cstheme="majorBidi"/>
          <w:sz w:val="28"/>
          <w:szCs w:val="28"/>
        </w:rPr>
      </w:pPr>
      <w:r w:rsidRPr="003752C9">
        <w:rPr>
          <w:rFonts w:asciiTheme="majorBidi" w:hAnsiTheme="majorBidi" w:cstheme="majorBidi"/>
          <w:sz w:val="28"/>
          <w:szCs w:val="28"/>
        </w:rPr>
        <w:t>The burden of public debt has raised significantly, especially the external debt, during the recent period, the matter which represents an additional burden on the public budget of the State.</w:t>
      </w:r>
    </w:p>
    <w:p w14:paraId="3AC93B65" w14:textId="77777777" w:rsidR="002959BC" w:rsidRPr="003752C9" w:rsidRDefault="002959BC" w:rsidP="0041332D">
      <w:pPr>
        <w:pStyle w:val="ListParagraph"/>
        <w:numPr>
          <w:ilvl w:val="0"/>
          <w:numId w:val="44"/>
        </w:numPr>
        <w:bidi w:val="0"/>
        <w:spacing w:after="0" w:line="240" w:lineRule="auto"/>
        <w:ind w:left="360"/>
        <w:contextualSpacing w:val="0"/>
        <w:jc w:val="both"/>
        <w:rPr>
          <w:rFonts w:asciiTheme="majorBidi" w:hAnsiTheme="majorBidi" w:cstheme="majorBidi"/>
          <w:sz w:val="28"/>
          <w:szCs w:val="28"/>
        </w:rPr>
      </w:pPr>
      <w:r w:rsidRPr="003752C9">
        <w:rPr>
          <w:rFonts w:asciiTheme="majorBidi" w:hAnsiTheme="majorBidi" w:cstheme="majorBidi"/>
          <w:sz w:val="28"/>
          <w:szCs w:val="28"/>
        </w:rPr>
        <w:t>The association of the public budget deficit with the problem of high public debt leads to other economic problems, at the heart of which are high inflation rates.</w:t>
      </w:r>
    </w:p>
    <w:p w14:paraId="54F8769E" w14:textId="77777777" w:rsidR="002959BC" w:rsidRPr="003752C9" w:rsidRDefault="002959BC" w:rsidP="0041332D">
      <w:pPr>
        <w:pStyle w:val="ListParagraph"/>
        <w:numPr>
          <w:ilvl w:val="0"/>
          <w:numId w:val="44"/>
        </w:numPr>
        <w:bidi w:val="0"/>
        <w:spacing w:after="0" w:line="240" w:lineRule="auto"/>
        <w:ind w:left="360"/>
        <w:contextualSpacing w:val="0"/>
        <w:jc w:val="both"/>
        <w:rPr>
          <w:rFonts w:asciiTheme="majorBidi" w:hAnsiTheme="majorBidi" w:cstheme="majorBidi"/>
          <w:sz w:val="28"/>
          <w:szCs w:val="28"/>
        </w:rPr>
      </w:pPr>
      <w:r w:rsidRPr="003752C9">
        <w:rPr>
          <w:rFonts w:asciiTheme="majorBidi" w:hAnsiTheme="majorBidi" w:cstheme="majorBidi"/>
          <w:sz w:val="28"/>
          <w:szCs w:val="28"/>
        </w:rPr>
        <w:t>The public expenditures to gross demotic product ratio tend to be decreased continuously during the period under study.</w:t>
      </w:r>
    </w:p>
    <w:p w14:paraId="5AEB7EF0" w14:textId="77777777" w:rsidR="002959BC" w:rsidRPr="003752C9" w:rsidRDefault="002959BC" w:rsidP="0041332D">
      <w:pPr>
        <w:pStyle w:val="ListParagraph"/>
        <w:numPr>
          <w:ilvl w:val="0"/>
          <w:numId w:val="44"/>
        </w:numPr>
        <w:bidi w:val="0"/>
        <w:spacing w:after="0" w:line="240" w:lineRule="auto"/>
        <w:ind w:left="360"/>
        <w:contextualSpacing w:val="0"/>
        <w:jc w:val="both"/>
        <w:rPr>
          <w:rFonts w:asciiTheme="majorBidi" w:hAnsiTheme="majorBidi" w:cstheme="majorBidi"/>
          <w:sz w:val="28"/>
          <w:szCs w:val="28"/>
        </w:rPr>
      </w:pPr>
      <w:r w:rsidRPr="003752C9">
        <w:rPr>
          <w:rFonts w:asciiTheme="majorBidi" w:hAnsiTheme="majorBidi" w:cstheme="majorBidi"/>
          <w:sz w:val="28"/>
          <w:szCs w:val="28"/>
        </w:rPr>
        <w:t xml:space="preserve">Not paying attention to the sound technical studies for major projects implemented by the government through the public budget of the State. </w:t>
      </w:r>
    </w:p>
    <w:p w14:paraId="17719A7A" w14:textId="77777777" w:rsidR="002959BC" w:rsidRPr="003752C9" w:rsidRDefault="002959BC" w:rsidP="0041332D">
      <w:pPr>
        <w:pStyle w:val="ListParagraph"/>
        <w:numPr>
          <w:ilvl w:val="0"/>
          <w:numId w:val="44"/>
        </w:numPr>
        <w:bidi w:val="0"/>
        <w:spacing w:after="0" w:line="240" w:lineRule="auto"/>
        <w:ind w:left="360"/>
        <w:contextualSpacing w:val="0"/>
        <w:jc w:val="both"/>
        <w:rPr>
          <w:rFonts w:asciiTheme="majorBidi" w:hAnsiTheme="majorBidi" w:cstheme="majorBidi"/>
          <w:sz w:val="28"/>
          <w:szCs w:val="28"/>
        </w:rPr>
      </w:pPr>
      <w:r w:rsidRPr="003752C9">
        <w:rPr>
          <w:rFonts w:asciiTheme="majorBidi" w:hAnsiTheme="majorBidi" w:cstheme="majorBidi"/>
          <w:sz w:val="28"/>
          <w:szCs w:val="28"/>
        </w:rPr>
        <w:t>The administrative decisions to increase some items of public expenditures (especially items of wages, subsidies and government investments) without taking into account the status of public finance.</w:t>
      </w:r>
    </w:p>
    <w:p w14:paraId="7C3FF343" w14:textId="77777777" w:rsidR="002959BC" w:rsidRPr="003752C9" w:rsidRDefault="002959BC" w:rsidP="0041332D">
      <w:pPr>
        <w:pStyle w:val="ListParagraph"/>
        <w:numPr>
          <w:ilvl w:val="0"/>
          <w:numId w:val="44"/>
        </w:numPr>
        <w:bidi w:val="0"/>
        <w:spacing w:after="0" w:line="240" w:lineRule="auto"/>
        <w:ind w:left="360"/>
        <w:contextualSpacing w:val="0"/>
        <w:jc w:val="both"/>
        <w:rPr>
          <w:rFonts w:asciiTheme="majorBidi" w:hAnsiTheme="majorBidi" w:cstheme="majorBidi"/>
          <w:sz w:val="28"/>
          <w:szCs w:val="28"/>
        </w:rPr>
      </w:pPr>
      <w:r w:rsidRPr="003752C9">
        <w:rPr>
          <w:rFonts w:asciiTheme="majorBidi" w:hAnsiTheme="majorBidi" w:cstheme="majorBidi"/>
          <w:sz w:val="28"/>
          <w:szCs w:val="28"/>
        </w:rPr>
        <w:t>The significant and continuous decline in the public revenues to gross demotic product ratio during the period under study confirms the weakness of the tax system.</w:t>
      </w:r>
    </w:p>
    <w:p w14:paraId="3C645357" w14:textId="77777777" w:rsidR="002959BC" w:rsidRPr="003752C9" w:rsidRDefault="002959BC" w:rsidP="0041332D">
      <w:pPr>
        <w:pStyle w:val="ListParagraph"/>
        <w:numPr>
          <w:ilvl w:val="0"/>
          <w:numId w:val="44"/>
        </w:numPr>
        <w:bidi w:val="0"/>
        <w:spacing w:after="0" w:line="240" w:lineRule="auto"/>
        <w:ind w:left="360"/>
        <w:contextualSpacing w:val="0"/>
        <w:jc w:val="both"/>
        <w:rPr>
          <w:rFonts w:asciiTheme="majorBidi" w:hAnsiTheme="majorBidi" w:cstheme="majorBidi"/>
          <w:sz w:val="28"/>
          <w:szCs w:val="28"/>
        </w:rPr>
      </w:pPr>
      <w:r w:rsidRPr="003752C9">
        <w:rPr>
          <w:rFonts w:asciiTheme="majorBidi" w:hAnsiTheme="majorBidi" w:cstheme="majorBidi"/>
          <w:sz w:val="28"/>
          <w:szCs w:val="28"/>
        </w:rPr>
        <w:lastRenderedPageBreak/>
        <w:t>The tendency to finance the public budget deficit through local sources of financing, especially the non-bank finance, and ceasing the use of external financing sources in some years of study led to controlling the high volume of external debt.</w:t>
      </w:r>
    </w:p>
    <w:p w14:paraId="6FDE1023" w14:textId="77777777" w:rsidR="002959BC" w:rsidRDefault="002959BC" w:rsidP="0041332D">
      <w:pPr>
        <w:pStyle w:val="ListParagraph"/>
        <w:numPr>
          <w:ilvl w:val="0"/>
          <w:numId w:val="44"/>
        </w:numPr>
        <w:bidi w:val="0"/>
        <w:spacing w:after="0" w:line="240" w:lineRule="auto"/>
        <w:ind w:left="360"/>
        <w:contextualSpacing w:val="0"/>
        <w:jc w:val="both"/>
        <w:rPr>
          <w:rFonts w:asciiTheme="majorBidi" w:hAnsiTheme="majorBidi" w:cstheme="majorBidi"/>
          <w:sz w:val="28"/>
          <w:szCs w:val="28"/>
        </w:rPr>
      </w:pPr>
      <w:r w:rsidRPr="003752C9">
        <w:rPr>
          <w:rFonts w:asciiTheme="majorBidi" w:hAnsiTheme="majorBidi" w:cstheme="majorBidi"/>
          <w:sz w:val="28"/>
          <w:szCs w:val="28"/>
        </w:rPr>
        <w:t>The use of local banking finance to finance the budget deficit of the State significantly during the entire period under study had direct impact on the increase in inflation rates.</w:t>
      </w:r>
    </w:p>
    <w:p w14:paraId="351DFF42" w14:textId="77777777" w:rsidR="002959BC" w:rsidRPr="003752C9" w:rsidRDefault="002959BC" w:rsidP="002959BC">
      <w:pPr>
        <w:pStyle w:val="ListParagraph"/>
        <w:spacing w:after="0" w:line="240" w:lineRule="auto"/>
        <w:ind w:left="360"/>
        <w:contextualSpacing w:val="0"/>
        <w:jc w:val="both"/>
        <w:rPr>
          <w:rFonts w:asciiTheme="majorBidi" w:hAnsiTheme="majorBidi" w:cstheme="majorBidi"/>
          <w:sz w:val="28"/>
          <w:szCs w:val="28"/>
        </w:rPr>
      </w:pPr>
    </w:p>
    <w:p w14:paraId="5AD65A38" w14:textId="77777777" w:rsidR="002959BC" w:rsidRPr="003752C9" w:rsidRDefault="002959BC" w:rsidP="002959BC">
      <w:pPr>
        <w:jc w:val="both"/>
        <w:rPr>
          <w:rFonts w:asciiTheme="majorBidi" w:hAnsiTheme="majorBidi" w:cstheme="majorBidi"/>
          <w:b/>
          <w:bCs/>
          <w:sz w:val="28"/>
          <w:szCs w:val="28"/>
        </w:rPr>
      </w:pPr>
      <w:r w:rsidRPr="003752C9">
        <w:rPr>
          <w:rFonts w:asciiTheme="majorBidi" w:hAnsiTheme="majorBidi" w:cstheme="majorBidi"/>
          <w:b/>
          <w:bCs/>
          <w:sz w:val="28"/>
          <w:szCs w:val="28"/>
        </w:rPr>
        <w:t>The most important recommendations can also be summarized as follows:</w:t>
      </w:r>
    </w:p>
    <w:p w14:paraId="6C500EFA" w14:textId="77777777" w:rsidR="002959BC" w:rsidRPr="003752C9" w:rsidRDefault="002959BC" w:rsidP="0041332D">
      <w:pPr>
        <w:pStyle w:val="ListParagraph"/>
        <w:numPr>
          <w:ilvl w:val="0"/>
          <w:numId w:val="44"/>
        </w:numPr>
        <w:bidi w:val="0"/>
        <w:spacing w:after="0" w:line="240" w:lineRule="auto"/>
        <w:ind w:left="360"/>
        <w:contextualSpacing w:val="0"/>
        <w:jc w:val="both"/>
        <w:rPr>
          <w:rFonts w:asciiTheme="majorBidi" w:hAnsiTheme="majorBidi" w:cstheme="majorBidi"/>
          <w:sz w:val="28"/>
          <w:szCs w:val="28"/>
        </w:rPr>
      </w:pPr>
      <w:r w:rsidRPr="003752C9">
        <w:rPr>
          <w:rFonts w:asciiTheme="majorBidi" w:hAnsiTheme="majorBidi" w:cstheme="majorBidi"/>
          <w:sz w:val="28"/>
          <w:szCs w:val="28"/>
        </w:rPr>
        <w:t>Stop using the banking finance due to its harmful effect on increasing the inflation rates.</w:t>
      </w:r>
    </w:p>
    <w:p w14:paraId="565B7798" w14:textId="77777777" w:rsidR="002959BC" w:rsidRPr="003752C9" w:rsidRDefault="002959BC" w:rsidP="0041332D">
      <w:pPr>
        <w:pStyle w:val="ListParagraph"/>
        <w:numPr>
          <w:ilvl w:val="0"/>
          <w:numId w:val="44"/>
        </w:numPr>
        <w:bidi w:val="0"/>
        <w:spacing w:after="0" w:line="240" w:lineRule="auto"/>
        <w:ind w:left="360"/>
        <w:contextualSpacing w:val="0"/>
        <w:jc w:val="both"/>
        <w:rPr>
          <w:rFonts w:asciiTheme="majorBidi" w:hAnsiTheme="majorBidi" w:cstheme="majorBidi"/>
          <w:sz w:val="28"/>
          <w:szCs w:val="28"/>
        </w:rPr>
      </w:pPr>
      <w:r w:rsidRPr="003752C9">
        <w:rPr>
          <w:rFonts w:asciiTheme="majorBidi" w:hAnsiTheme="majorBidi" w:cstheme="majorBidi"/>
          <w:sz w:val="28"/>
          <w:szCs w:val="28"/>
        </w:rPr>
        <w:t>The non-banking domestic finance of the public budget deficit is an effective way to avoid inflation and external crises.</w:t>
      </w:r>
    </w:p>
    <w:p w14:paraId="0E07D5EB" w14:textId="77777777" w:rsidR="002959BC" w:rsidRPr="003752C9" w:rsidRDefault="002959BC" w:rsidP="0041332D">
      <w:pPr>
        <w:pStyle w:val="ListParagraph"/>
        <w:numPr>
          <w:ilvl w:val="0"/>
          <w:numId w:val="44"/>
        </w:numPr>
        <w:bidi w:val="0"/>
        <w:spacing w:after="0" w:line="240" w:lineRule="auto"/>
        <w:ind w:left="360"/>
        <w:contextualSpacing w:val="0"/>
        <w:jc w:val="both"/>
        <w:rPr>
          <w:rFonts w:asciiTheme="majorBidi" w:hAnsiTheme="majorBidi" w:cstheme="majorBidi"/>
          <w:sz w:val="28"/>
          <w:szCs w:val="28"/>
        </w:rPr>
      </w:pPr>
      <w:r w:rsidRPr="003752C9">
        <w:rPr>
          <w:rFonts w:asciiTheme="majorBidi" w:hAnsiTheme="majorBidi" w:cstheme="majorBidi"/>
          <w:sz w:val="28"/>
          <w:szCs w:val="28"/>
        </w:rPr>
        <w:t>Expanding the use of various financing formulas to finance government investments instead of financing through the public budget of the State such as financing through partnership with the private sector and instruments (Sukuk).</w:t>
      </w:r>
    </w:p>
    <w:p w14:paraId="5DA647B9" w14:textId="77777777" w:rsidR="002959BC" w:rsidRPr="003752C9" w:rsidRDefault="002959BC" w:rsidP="0041332D">
      <w:pPr>
        <w:pStyle w:val="ListParagraph"/>
        <w:numPr>
          <w:ilvl w:val="0"/>
          <w:numId w:val="44"/>
        </w:numPr>
        <w:bidi w:val="0"/>
        <w:spacing w:after="0" w:line="240" w:lineRule="auto"/>
        <w:ind w:left="360"/>
        <w:contextualSpacing w:val="0"/>
        <w:jc w:val="both"/>
        <w:rPr>
          <w:rFonts w:asciiTheme="majorBidi" w:hAnsiTheme="majorBidi" w:cstheme="majorBidi"/>
          <w:sz w:val="28"/>
          <w:szCs w:val="28"/>
        </w:rPr>
      </w:pPr>
      <w:r w:rsidRPr="003752C9">
        <w:rPr>
          <w:rFonts w:asciiTheme="majorBidi" w:hAnsiTheme="majorBidi" w:cstheme="majorBidi"/>
          <w:sz w:val="28"/>
          <w:szCs w:val="28"/>
        </w:rPr>
        <w:t>Introducing financing means - especially Islamic financing formulas - as they will be a source of great attraction for citizens to participate in the development financing process.</w:t>
      </w:r>
    </w:p>
    <w:p w14:paraId="4F1A7C9E" w14:textId="77777777" w:rsidR="002959BC" w:rsidRPr="003752C9" w:rsidRDefault="002959BC" w:rsidP="0041332D">
      <w:pPr>
        <w:pStyle w:val="ListParagraph"/>
        <w:numPr>
          <w:ilvl w:val="0"/>
          <w:numId w:val="44"/>
        </w:numPr>
        <w:bidi w:val="0"/>
        <w:spacing w:after="0" w:line="240" w:lineRule="auto"/>
        <w:ind w:left="360"/>
        <w:contextualSpacing w:val="0"/>
        <w:jc w:val="both"/>
        <w:rPr>
          <w:rFonts w:asciiTheme="majorBidi" w:hAnsiTheme="majorBidi" w:cstheme="majorBidi"/>
          <w:sz w:val="28"/>
          <w:szCs w:val="28"/>
        </w:rPr>
      </w:pPr>
      <w:r w:rsidRPr="003752C9">
        <w:rPr>
          <w:rFonts w:asciiTheme="majorBidi" w:hAnsiTheme="majorBidi" w:cstheme="majorBidi"/>
          <w:sz w:val="28"/>
          <w:szCs w:val="28"/>
        </w:rPr>
        <w:t>Develop a medium and long-term strategy for financial management.</w:t>
      </w:r>
    </w:p>
    <w:p w14:paraId="462B8F44" w14:textId="77777777" w:rsidR="002959BC" w:rsidRPr="003752C9" w:rsidRDefault="002959BC" w:rsidP="0041332D">
      <w:pPr>
        <w:pStyle w:val="ListParagraph"/>
        <w:numPr>
          <w:ilvl w:val="0"/>
          <w:numId w:val="44"/>
        </w:numPr>
        <w:bidi w:val="0"/>
        <w:spacing w:after="0" w:line="240" w:lineRule="auto"/>
        <w:ind w:left="360"/>
        <w:contextualSpacing w:val="0"/>
        <w:jc w:val="both"/>
        <w:rPr>
          <w:rFonts w:asciiTheme="majorBidi" w:hAnsiTheme="majorBidi" w:cstheme="majorBidi"/>
          <w:sz w:val="28"/>
          <w:szCs w:val="28"/>
        </w:rPr>
      </w:pPr>
      <w:r w:rsidRPr="003752C9">
        <w:rPr>
          <w:rFonts w:asciiTheme="majorBidi" w:hAnsiTheme="majorBidi" w:cstheme="majorBidi"/>
          <w:sz w:val="28"/>
          <w:szCs w:val="28"/>
        </w:rPr>
        <w:t>The transparency when setting financial policies and communicating with the stakeholders.</w:t>
      </w:r>
    </w:p>
    <w:p w14:paraId="102403B1" w14:textId="77777777" w:rsidR="002959BC" w:rsidRPr="003752C9" w:rsidRDefault="002959BC" w:rsidP="0041332D">
      <w:pPr>
        <w:pStyle w:val="ListParagraph"/>
        <w:numPr>
          <w:ilvl w:val="0"/>
          <w:numId w:val="44"/>
        </w:numPr>
        <w:bidi w:val="0"/>
        <w:spacing w:after="0" w:line="240" w:lineRule="auto"/>
        <w:ind w:left="360"/>
        <w:contextualSpacing w:val="0"/>
        <w:jc w:val="both"/>
        <w:rPr>
          <w:rFonts w:asciiTheme="majorBidi" w:hAnsiTheme="majorBidi" w:cstheme="majorBidi"/>
          <w:sz w:val="28"/>
          <w:szCs w:val="28"/>
        </w:rPr>
      </w:pPr>
      <w:r w:rsidRPr="003752C9">
        <w:rPr>
          <w:rFonts w:asciiTheme="majorBidi" w:hAnsiTheme="majorBidi" w:cstheme="majorBidi"/>
          <w:sz w:val="28"/>
          <w:szCs w:val="28"/>
        </w:rPr>
        <w:t>The declared objective of the fiscal policy is to increase the rates of economic growth, employment and investment.</w:t>
      </w:r>
    </w:p>
    <w:p w14:paraId="50AE4490" w14:textId="77777777" w:rsidR="002959BC" w:rsidRPr="003752C9" w:rsidRDefault="002959BC" w:rsidP="0041332D">
      <w:pPr>
        <w:pStyle w:val="ListParagraph"/>
        <w:numPr>
          <w:ilvl w:val="0"/>
          <w:numId w:val="44"/>
        </w:numPr>
        <w:bidi w:val="0"/>
        <w:spacing w:after="0" w:line="240" w:lineRule="auto"/>
        <w:ind w:left="360"/>
        <w:contextualSpacing w:val="0"/>
        <w:jc w:val="both"/>
        <w:rPr>
          <w:rFonts w:asciiTheme="majorBidi" w:hAnsiTheme="majorBidi" w:cstheme="majorBidi"/>
          <w:sz w:val="28"/>
          <w:szCs w:val="28"/>
        </w:rPr>
      </w:pPr>
      <w:r w:rsidRPr="003752C9">
        <w:rPr>
          <w:rFonts w:asciiTheme="majorBidi" w:hAnsiTheme="majorBidi" w:cstheme="majorBidi"/>
          <w:sz w:val="28"/>
          <w:szCs w:val="28"/>
        </w:rPr>
        <w:t>Taking measures to hedge against the external shocks that the Egyptian economy may be exposed to.</w:t>
      </w:r>
    </w:p>
    <w:p w14:paraId="4889290B" w14:textId="77777777" w:rsidR="002959BC" w:rsidRPr="003752C9" w:rsidRDefault="002959BC" w:rsidP="0041332D">
      <w:pPr>
        <w:pStyle w:val="ListParagraph"/>
        <w:numPr>
          <w:ilvl w:val="0"/>
          <w:numId w:val="44"/>
        </w:numPr>
        <w:bidi w:val="0"/>
        <w:spacing w:after="0" w:line="240" w:lineRule="auto"/>
        <w:ind w:left="360"/>
        <w:contextualSpacing w:val="0"/>
        <w:jc w:val="both"/>
        <w:rPr>
          <w:rFonts w:asciiTheme="majorBidi" w:hAnsiTheme="majorBidi" w:cstheme="majorBidi"/>
          <w:sz w:val="28"/>
          <w:szCs w:val="28"/>
        </w:rPr>
      </w:pPr>
      <w:r w:rsidRPr="003752C9">
        <w:rPr>
          <w:rFonts w:asciiTheme="majorBidi" w:hAnsiTheme="majorBidi" w:cstheme="majorBidi"/>
          <w:sz w:val="28"/>
          <w:szCs w:val="28"/>
        </w:rPr>
        <w:t xml:space="preserve">Develop future scenarios to deal with the emergency crises that affect status of public finance. </w:t>
      </w:r>
    </w:p>
    <w:p w14:paraId="50F877F1" w14:textId="77777777" w:rsidR="002959BC" w:rsidRPr="003752C9" w:rsidRDefault="002959BC" w:rsidP="0041332D">
      <w:pPr>
        <w:pStyle w:val="ListParagraph"/>
        <w:numPr>
          <w:ilvl w:val="0"/>
          <w:numId w:val="44"/>
        </w:numPr>
        <w:bidi w:val="0"/>
        <w:spacing w:after="0" w:line="240" w:lineRule="auto"/>
        <w:ind w:left="360"/>
        <w:contextualSpacing w:val="0"/>
        <w:jc w:val="both"/>
        <w:rPr>
          <w:rFonts w:asciiTheme="majorBidi" w:hAnsiTheme="majorBidi" w:cstheme="majorBidi"/>
          <w:sz w:val="28"/>
          <w:szCs w:val="28"/>
        </w:rPr>
      </w:pPr>
      <w:r w:rsidRPr="003752C9">
        <w:rPr>
          <w:rFonts w:asciiTheme="majorBidi" w:hAnsiTheme="majorBidi" w:cstheme="majorBidi"/>
          <w:sz w:val="28"/>
          <w:szCs w:val="28"/>
        </w:rPr>
        <w:t>Employ the governmental investments in their rightful place, which are sectors related to national security and those in which the private sector does not invest.</w:t>
      </w:r>
    </w:p>
    <w:p w14:paraId="671E366F" w14:textId="77777777" w:rsidR="002959BC" w:rsidRPr="003752C9" w:rsidRDefault="002959BC" w:rsidP="0041332D">
      <w:pPr>
        <w:pStyle w:val="ListParagraph"/>
        <w:numPr>
          <w:ilvl w:val="0"/>
          <w:numId w:val="44"/>
        </w:numPr>
        <w:bidi w:val="0"/>
        <w:spacing w:after="0" w:line="240" w:lineRule="auto"/>
        <w:ind w:left="360"/>
        <w:contextualSpacing w:val="0"/>
        <w:jc w:val="both"/>
        <w:rPr>
          <w:rFonts w:asciiTheme="majorBidi" w:hAnsiTheme="majorBidi" w:cstheme="majorBidi"/>
          <w:sz w:val="28"/>
          <w:szCs w:val="28"/>
        </w:rPr>
      </w:pPr>
      <w:r w:rsidRPr="003752C9">
        <w:rPr>
          <w:rFonts w:asciiTheme="majorBidi" w:hAnsiTheme="majorBidi" w:cstheme="majorBidi"/>
          <w:sz w:val="28"/>
          <w:szCs w:val="28"/>
        </w:rPr>
        <w:t>Conduct the feasibility studies for projects implemented or contributed by the State through the public budget of the State.</w:t>
      </w:r>
    </w:p>
    <w:p w14:paraId="0D1B3105" w14:textId="77777777" w:rsidR="002959BC" w:rsidRPr="003752C9" w:rsidRDefault="002959BC" w:rsidP="0041332D">
      <w:pPr>
        <w:pStyle w:val="ListParagraph"/>
        <w:numPr>
          <w:ilvl w:val="0"/>
          <w:numId w:val="44"/>
        </w:numPr>
        <w:bidi w:val="0"/>
        <w:spacing w:after="0" w:line="240" w:lineRule="auto"/>
        <w:ind w:left="360"/>
        <w:contextualSpacing w:val="0"/>
        <w:jc w:val="both"/>
        <w:rPr>
          <w:rFonts w:asciiTheme="majorBidi" w:hAnsiTheme="majorBidi" w:cstheme="majorBidi"/>
          <w:sz w:val="28"/>
          <w:szCs w:val="28"/>
        </w:rPr>
      </w:pPr>
      <w:r w:rsidRPr="003752C9">
        <w:rPr>
          <w:rFonts w:asciiTheme="majorBidi" w:hAnsiTheme="majorBidi" w:cstheme="majorBidi"/>
          <w:sz w:val="28"/>
          <w:szCs w:val="28"/>
        </w:rPr>
        <w:t>Stop issuing the administrative decisions related to increasing wages or subsidies.</w:t>
      </w:r>
    </w:p>
    <w:p w14:paraId="6734477C" w14:textId="77777777" w:rsidR="002959BC" w:rsidRPr="003752C9" w:rsidRDefault="002959BC" w:rsidP="0041332D">
      <w:pPr>
        <w:pStyle w:val="ListParagraph"/>
        <w:numPr>
          <w:ilvl w:val="0"/>
          <w:numId w:val="44"/>
        </w:numPr>
        <w:bidi w:val="0"/>
        <w:spacing w:after="0" w:line="240" w:lineRule="auto"/>
        <w:ind w:left="360"/>
        <w:contextualSpacing w:val="0"/>
        <w:jc w:val="both"/>
        <w:rPr>
          <w:rFonts w:asciiTheme="majorBidi" w:hAnsiTheme="majorBidi" w:cstheme="majorBidi"/>
          <w:sz w:val="28"/>
          <w:szCs w:val="28"/>
        </w:rPr>
      </w:pPr>
      <w:r w:rsidRPr="003752C9">
        <w:rPr>
          <w:rFonts w:asciiTheme="majorBidi" w:hAnsiTheme="majorBidi" w:cstheme="majorBidi"/>
          <w:sz w:val="28"/>
          <w:szCs w:val="28"/>
        </w:rPr>
        <w:t>Increasing the tax effort, the consequent reform and computerization of the tax system.</w:t>
      </w:r>
    </w:p>
    <w:p w14:paraId="5BA74280" w14:textId="77777777" w:rsidR="002959BC" w:rsidRPr="003752C9" w:rsidRDefault="002959BC" w:rsidP="0041332D">
      <w:pPr>
        <w:pStyle w:val="ListParagraph"/>
        <w:numPr>
          <w:ilvl w:val="0"/>
          <w:numId w:val="44"/>
        </w:numPr>
        <w:bidi w:val="0"/>
        <w:spacing w:after="0" w:line="240" w:lineRule="auto"/>
        <w:ind w:left="360"/>
        <w:contextualSpacing w:val="0"/>
        <w:jc w:val="both"/>
        <w:rPr>
          <w:rFonts w:asciiTheme="majorBidi" w:hAnsiTheme="majorBidi" w:cstheme="majorBidi"/>
          <w:sz w:val="28"/>
          <w:szCs w:val="28"/>
        </w:rPr>
      </w:pPr>
      <w:r w:rsidRPr="003752C9">
        <w:rPr>
          <w:rFonts w:asciiTheme="majorBidi" w:hAnsiTheme="majorBidi" w:cstheme="majorBidi"/>
          <w:sz w:val="28"/>
          <w:szCs w:val="28"/>
        </w:rPr>
        <w:t>Creating mechanism to survey the citizens' opinions towards the major national projects.</w:t>
      </w:r>
    </w:p>
    <w:p w14:paraId="3AAF1C44" w14:textId="77777777" w:rsidR="002959BC" w:rsidRPr="003752C9" w:rsidRDefault="002959BC" w:rsidP="002959BC">
      <w:pPr>
        <w:tabs>
          <w:tab w:val="left" w:pos="1405"/>
        </w:tabs>
        <w:jc w:val="both"/>
        <w:rPr>
          <w:rFonts w:asciiTheme="majorBidi" w:hAnsiTheme="majorBidi" w:cstheme="majorBidi"/>
          <w:sz w:val="28"/>
          <w:szCs w:val="28"/>
          <w:rtl/>
          <w:lang w:bidi="ar-EG"/>
        </w:rPr>
      </w:pPr>
    </w:p>
    <w:p w14:paraId="1D8EC440" w14:textId="2DB7DB11" w:rsidR="002959BC" w:rsidRDefault="002959BC">
      <w:pPr>
        <w:bidi w:val="0"/>
        <w:spacing w:after="160" w:line="259" w:lineRule="auto"/>
        <w:rPr>
          <w:rtl/>
          <w:lang w:bidi="ar-EG"/>
        </w:rPr>
      </w:pPr>
      <w:r>
        <w:rPr>
          <w:rtl/>
          <w:lang w:bidi="ar-EG"/>
        </w:rPr>
        <w:br w:type="page"/>
      </w:r>
    </w:p>
    <w:p w14:paraId="0D98CBFD" w14:textId="77777777" w:rsidR="002959BC" w:rsidRDefault="002959BC" w:rsidP="002959BC">
      <w:pPr>
        <w:jc w:val="center"/>
        <w:rPr>
          <w:rFonts w:cs="Times New Roman"/>
          <w:b/>
          <w:bCs/>
          <w:noProof w:val="0"/>
          <w:kern w:val="24"/>
          <w:sz w:val="28"/>
          <w:szCs w:val="28"/>
          <w:u w:val="single"/>
          <w:lang w:bidi="ar-EG"/>
        </w:rPr>
      </w:pPr>
      <w:r>
        <w:rPr>
          <w:rFonts w:cs="Times New Roman"/>
          <w:b/>
          <w:bCs/>
          <w:noProof w:val="0"/>
          <w:kern w:val="24"/>
          <w:sz w:val="28"/>
          <w:szCs w:val="28"/>
          <w:u w:val="single"/>
          <w:lang w:bidi="ar-EG"/>
        </w:rPr>
        <w:lastRenderedPageBreak/>
        <w:t>ABSTRACT</w:t>
      </w:r>
    </w:p>
    <w:p w14:paraId="39D66CCC" w14:textId="77777777" w:rsidR="002959BC" w:rsidRDefault="002959BC" w:rsidP="002959BC">
      <w:pPr>
        <w:ind w:left="-288" w:right="-288"/>
        <w:jc w:val="both"/>
        <w:rPr>
          <w:rFonts w:cs="Times New Roman" w:hint="cs"/>
          <w:b/>
          <w:bCs/>
          <w:noProof w:val="0"/>
          <w:kern w:val="24"/>
          <w:sz w:val="28"/>
          <w:szCs w:val="28"/>
          <w:rtl/>
          <w:lang w:bidi="ar-EG"/>
        </w:rPr>
      </w:pPr>
    </w:p>
    <w:p w14:paraId="72189750" w14:textId="77777777" w:rsidR="002959BC" w:rsidRDefault="002959BC" w:rsidP="002959BC">
      <w:pPr>
        <w:bidi w:val="0"/>
        <w:ind w:left="2127" w:hanging="2127"/>
        <w:jc w:val="both"/>
        <w:rPr>
          <w:rFonts w:cs="Times New Roman" w:hint="cs"/>
          <w:noProof w:val="0"/>
          <w:kern w:val="24"/>
          <w:sz w:val="28"/>
          <w:szCs w:val="28"/>
          <w:rtl/>
          <w:lang w:bidi="ar-EG"/>
        </w:rPr>
      </w:pPr>
      <w:r>
        <w:rPr>
          <w:rFonts w:cs="Times New Roman"/>
          <w:noProof w:val="0"/>
          <w:kern w:val="24"/>
          <w:sz w:val="28"/>
          <w:szCs w:val="28"/>
          <w:u w:val="single"/>
          <w:lang w:bidi="ar-EG"/>
        </w:rPr>
        <w:t>Title of the thesis</w:t>
      </w:r>
      <w:r>
        <w:rPr>
          <w:rFonts w:cs="Times New Roman"/>
          <w:noProof w:val="0"/>
          <w:kern w:val="24"/>
          <w:sz w:val="28"/>
          <w:szCs w:val="28"/>
          <w:lang w:bidi="ar-EG"/>
        </w:rPr>
        <w:t>: The Impact of Financing State Budget Deficit on Inflation in Egypt (1991- 2016)</w:t>
      </w:r>
    </w:p>
    <w:p w14:paraId="3471C3A9" w14:textId="77777777" w:rsidR="002959BC" w:rsidRDefault="002959BC" w:rsidP="002959BC">
      <w:pPr>
        <w:bidi w:val="0"/>
        <w:ind w:left="2694" w:hanging="2694"/>
        <w:jc w:val="both"/>
        <w:rPr>
          <w:rFonts w:cs="Times New Roman"/>
          <w:noProof w:val="0"/>
          <w:kern w:val="24"/>
          <w:sz w:val="28"/>
          <w:szCs w:val="28"/>
          <w:lang w:bidi="ar-EG"/>
        </w:rPr>
      </w:pPr>
      <w:r>
        <w:rPr>
          <w:rFonts w:cs="Times New Roman"/>
          <w:noProof w:val="0"/>
          <w:kern w:val="24"/>
          <w:sz w:val="28"/>
          <w:szCs w:val="28"/>
          <w:lang w:bidi="ar-EG"/>
        </w:rPr>
        <w:t xml:space="preserve">Name: Ibrahim </w:t>
      </w:r>
      <w:proofErr w:type="spellStart"/>
      <w:r>
        <w:rPr>
          <w:rFonts w:cs="Times New Roman"/>
          <w:noProof w:val="0"/>
          <w:kern w:val="24"/>
          <w:sz w:val="28"/>
          <w:szCs w:val="28"/>
          <w:lang w:bidi="ar-EG"/>
        </w:rPr>
        <w:t>Morsy</w:t>
      </w:r>
      <w:proofErr w:type="spellEnd"/>
      <w:r>
        <w:rPr>
          <w:rFonts w:cs="Times New Roman"/>
          <w:noProof w:val="0"/>
          <w:kern w:val="24"/>
          <w:sz w:val="28"/>
          <w:szCs w:val="28"/>
          <w:lang w:bidi="ar-EG"/>
        </w:rPr>
        <w:t xml:space="preserve"> </w:t>
      </w:r>
      <w:proofErr w:type="spellStart"/>
      <w:r>
        <w:rPr>
          <w:rFonts w:cs="Times New Roman"/>
          <w:noProof w:val="0"/>
          <w:kern w:val="24"/>
          <w:sz w:val="28"/>
          <w:szCs w:val="28"/>
          <w:lang w:bidi="ar-EG"/>
        </w:rPr>
        <w:t>Morsy</w:t>
      </w:r>
      <w:proofErr w:type="spellEnd"/>
      <w:r>
        <w:rPr>
          <w:rFonts w:cs="Times New Roman"/>
          <w:noProof w:val="0"/>
          <w:kern w:val="24"/>
          <w:sz w:val="28"/>
          <w:szCs w:val="28"/>
          <w:lang w:bidi="ar-EG"/>
        </w:rPr>
        <w:t xml:space="preserve"> </w:t>
      </w:r>
      <w:proofErr w:type="spellStart"/>
      <w:r>
        <w:rPr>
          <w:rFonts w:cs="Times New Roman"/>
          <w:noProof w:val="0"/>
          <w:kern w:val="24"/>
          <w:sz w:val="28"/>
          <w:szCs w:val="28"/>
          <w:lang w:bidi="ar-EG"/>
        </w:rPr>
        <w:t>Elsalamony</w:t>
      </w:r>
      <w:proofErr w:type="spellEnd"/>
    </w:p>
    <w:p w14:paraId="0B6BFDF1" w14:textId="77777777" w:rsidR="002959BC" w:rsidRDefault="002959BC" w:rsidP="002959BC">
      <w:pPr>
        <w:bidi w:val="0"/>
        <w:ind w:left="2694" w:hanging="2694"/>
        <w:jc w:val="both"/>
        <w:rPr>
          <w:rFonts w:cs="Times New Roman"/>
          <w:noProof w:val="0"/>
          <w:kern w:val="24"/>
          <w:sz w:val="28"/>
          <w:szCs w:val="28"/>
          <w:lang w:bidi="ar-EG"/>
        </w:rPr>
      </w:pPr>
      <w:r>
        <w:rPr>
          <w:rFonts w:cs="Times New Roman"/>
          <w:noProof w:val="0"/>
          <w:kern w:val="24"/>
          <w:sz w:val="28"/>
          <w:szCs w:val="28"/>
          <w:lang w:bidi="ar-EG"/>
        </w:rPr>
        <w:t>Supervisors: Prof. Khaled Zakaria</w:t>
      </w:r>
      <w:r>
        <w:rPr>
          <w:rFonts w:cs="Times New Roman"/>
          <w:noProof w:val="0"/>
          <w:kern w:val="24"/>
          <w:sz w:val="28"/>
          <w:szCs w:val="28"/>
          <w:lang w:bidi="ar-EG"/>
        </w:rPr>
        <w:tab/>
      </w:r>
      <w:hyperlink r:id="rId58" w:history="1">
        <w:r w:rsidRPr="00565276">
          <w:rPr>
            <w:rFonts w:cs="Times New Roman"/>
            <w:noProof w:val="0"/>
            <w:kern w:val="24"/>
            <w:sz w:val="28"/>
            <w:szCs w:val="28"/>
            <w:lang w:bidi="ar-EG"/>
          </w:rPr>
          <w:t xml:space="preserve">Dr. </w:t>
        </w:r>
        <w:proofErr w:type="spellStart"/>
        <w:r w:rsidRPr="00565276">
          <w:rPr>
            <w:rFonts w:cs="Times New Roman"/>
            <w:noProof w:val="0"/>
            <w:kern w:val="24"/>
            <w:sz w:val="28"/>
            <w:szCs w:val="28"/>
            <w:lang w:bidi="ar-EG"/>
          </w:rPr>
          <w:t>Hegazy</w:t>
        </w:r>
        <w:proofErr w:type="spellEnd"/>
        <w:r w:rsidRPr="00565276">
          <w:rPr>
            <w:rFonts w:cs="Times New Roman"/>
            <w:noProof w:val="0"/>
            <w:kern w:val="24"/>
            <w:sz w:val="28"/>
            <w:szCs w:val="28"/>
            <w:lang w:bidi="ar-EG"/>
          </w:rPr>
          <w:t xml:space="preserve"> Al-Jazzar</w:t>
        </w:r>
      </w:hyperlink>
      <w:r>
        <w:rPr>
          <w:rFonts w:cs="Times New Roman"/>
          <w:noProof w:val="0"/>
          <w:kern w:val="24"/>
          <w:sz w:val="28"/>
          <w:szCs w:val="28"/>
          <w:lang w:bidi="ar-EG"/>
        </w:rPr>
        <w:tab/>
        <w:t xml:space="preserve">Year: 2021 </w:t>
      </w:r>
    </w:p>
    <w:p w14:paraId="48F9CE55" w14:textId="77777777" w:rsidR="002959BC" w:rsidRDefault="002959BC" w:rsidP="002959BC">
      <w:pPr>
        <w:bidi w:val="0"/>
        <w:ind w:left="2694" w:hanging="2694"/>
        <w:jc w:val="both"/>
        <w:rPr>
          <w:rFonts w:cs="Times New Roman"/>
          <w:noProof w:val="0"/>
          <w:kern w:val="24"/>
          <w:sz w:val="24"/>
          <w:szCs w:val="24"/>
          <w:lang w:bidi="ar-EG"/>
        </w:rPr>
      </w:pPr>
      <w:r>
        <w:rPr>
          <w:rFonts w:cs="Times New Roman"/>
          <w:noProof w:val="0"/>
          <w:kern w:val="24"/>
          <w:sz w:val="24"/>
          <w:szCs w:val="24"/>
          <w:lang w:bidi="ar-EG"/>
        </w:rPr>
        <w:t>Degree: Master Degree in Planning and Development</w:t>
      </w:r>
      <w:r>
        <w:rPr>
          <w:rFonts w:cs="Times New Roman"/>
          <w:noProof w:val="0"/>
          <w:kern w:val="24"/>
          <w:sz w:val="24"/>
          <w:szCs w:val="24"/>
          <w:lang w:bidi="ar-EG"/>
        </w:rPr>
        <w:tab/>
        <w:t xml:space="preserve"> Institute of</w:t>
      </w:r>
      <w:r>
        <w:rPr>
          <w:rFonts w:cs="Times New Roman"/>
          <w:sz w:val="24"/>
          <w:szCs w:val="24"/>
          <w:lang w:bidi="ar-EG"/>
        </w:rPr>
        <w:t xml:space="preserve"> National Planning</w:t>
      </w:r>
    </w:p>
    <w:p w14:paraId="326D6D2B" w14:textId="77777777" w:rsidR="002959BC" w:rsidRDefault="002959BC" w:rsidP="002959BC">
      <w:pPr>
        <w:bidi w:val="0"/>
        <w:ind w:left="1134" w:hanging="1134"/>
        <w:jc w:val="both"/>
        <w:rPr>
          <w:rFonts w:cs="Times New Roman" w:hint="cs"/>
          <w:b/>
          <w:bCs/>
          <w:noProof w:val="0"/>
          <w:kern w:val="24"/>
          <w:sz w:val="28"/>
          <w:szCs w:val="28"/>
          <w:rtl/>
          <w:lang w:bidi="ar-EG"/>
        </w:rPr>
      </w:pPr>
      <w:r>
        <w:rPr>
          <w:rFonts w:cs="Times New Roman" w:hint="cs"/>
          <w:b/>
          <w:bCs/>
          <w:noProof w:val="0"/>
          <w:kern w:val="24"/>
          <w:sz w:val="28"/>
          <w:szCs w:val="28"/>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2B01DFBE" w14:textId="77777777" w:rsidR="002959BC" w:rsidRDefault="002959BC" w:rsidP="002959BC">
      <w:pPr>
        <w:bidi w:val="0"/>
        <w:ind w:firstLine="426"/>
        <w:jc w:val="both"/>
        <w:rPr>
          <w:rFonts w:cs="Times New Roman"/>
          <w:sz w:val="28"/>
          <w:szCs w:val="28"/>
        </w:rPr>
      </w:pPr>
      <w:r>
        <w:rPr>
          <w:rFonts w:cs="Times New Roman"/>
          <w:sz w:val="28"/>
          <w:szCs w:val="28"/>
        </w:rPr>
        <w:t>The aim of the study was to analyze and measure the impact of the financial mechanisms for financing the public budget deficit of the State on inflation in Egypt during the period from the fiscal year 1991/1992 to the fiscal year 2018/2019, to identify the best mechanism that can be used to finance the public budget deficit of the State with having the least possible impact on raising the inflationary pressures in Egypt</w:t>
      </w:r>
      <w:r>
        <w:rPr>
          <w:rFonts w:cs="Times New Roman" w:hint="cs"/>
          <w:sz w:val="28"/>
          <w:szCs w:val="28"/>
          <w:rtl/>
        </w:rPr>
        <w:t>.</w:t>
      </w:r>
    </w:p>
    <w:p w14:paraId="01F13CB1" w14:textId="77777777" w:rsidR="002959BC" w:rsidRDefault="002959BC" w:rsidP="002959BC">
      <w:pPr>
        <w:bidi w:val="0"/>
        <w:ind w:firstLine="426"/>
        <w:jc w:val="both"/>
        <w:rPr>
          <w:rFonts w:cs="Times New Roman"/>
          <w:sz w:val="28"/>
          <w:szCs w:val="28"/>
        </w:rPr>
      </w:pPr>
    </w:p>
    <w:p w14:paraId="1EB1FC6A" w14:textId="77777777" w:rsidR="002959BC" w:rsidRDefault="002959BC" w:rsidP="002959BC">
      <w:pPr>
        <w:bidi w:val="0"/>
        <w:ind w:firstLine="426"/>
        <w:jc w:val="both"/>
        <w:rPr>
          <w:rFonts w:cs="Times New Roman"/>
          <w:sz w:val="28"/>
          <w:szCs w:val="28"/>
        </w:rPr>
      </w:pPr>
      <w:r>
        <w:rPr>
          <w:rFonts w:cs="Times New Roman"/>
          <w:sz w:val="28"/>
          <w:szCs w:val="28"/>
        </w:rPr>
        <w:t>The study used the descriptive approach to review and analyze the data of public budget deficit of the State, the financial mechanisms used to finance this deficit and the consumer price index in Egypt during the study period. The study also used the standard analytical approach to build a standard model that includes inflation expressed in the consumer price index (as dependent variable) and number of explanatory variables represented in the financial mechanisms for financing the public budget deficit of the State, the import prices at fixed local prices, the money growth to gross domestic product ratio, the exchange rate of Egyptian pound against US dollar and dummy variable that represents the political instability</w:t>
      </w:r>
      <w:r>
        <w:rPr>
          <w:rFonts w:cs="Times New Roman" w:hint="cs"/>
          <w:sz w:val="28"/>
          <w:szCs w:val="28"/>
          <w:rtl/>
        </w:rPr>
        <w:t>.</w:t>
      </w:r>
    </w:p>
    <w:p w14:paraId="2D2D2522" w14:textId="77777777" w:rsidR="002959BC" w:rsidRDefault="002959BC" w:rsidP="002959BC">
      <w:pPr>
        <w:bidi w:val="0"/>
        <w:ind w:firstLine="720"/>
        <w:jc w:val="both"/>
        <w:rPr>
          <w:rFonts w:cs="Times New Roman"/>
          <w:sz w:val="28"/>
          <w:szCs w:val="28"/>
          <w:lang w:bidi="ar-EG"/>
        </w:rPr>
      </w:pPr>
    </w:p>
    <w:p w14:paraId="37F663CA" w14:textId="77777777" w:rsidR="002959BC" w:rsidRDefault="002959BC" w:rsidP="002959BC">
      <w:pPr>
        <w:bidi w:val="0"/>
        <w:ind w:firstLine="426"/>
        <w:jc w:val="both"/>
        <w:rPr>
          <w:rFonts w:cs="Times New Roman"/>
          <w:sz w:val="28"/>
          <w:szCs w:val="28"/>
        </w:rPr>
      </w:pPr>
      <w:r>
        <w:rPr>
          <w:rFonts w:cs="Times New Roman"/>
          <w:sz w:val="28"/>
          <w:szCs w:val="28"/>
        </w:rPr>
        <w:t>The most important results of the study were represented in that there is statistically significant direct relationship between the domestic banking finance of the public budget deficit and the consumer price index in Egypt during the study period, which means that the use of domestic banking finance for the public budget deficit increases inflationary pressures in the Egyptian economy, and it was also proven that there is statistically significant inverse relationship between non-banking domestic finance and the consumer price index, which means that non-banking domestic finance can be used to finance the public budget deficit to contribute to reducing inflationary pressures in the Egyptian economy, while it has not been proven that there is statistically significant effect of external finance for the public budget deficit of the State on the consumer price index, as it has been proven that there is statistically significant direct relationship between the prices of imports at fixed local prices, the money growth to gross domestic product ration and the consumer price index as well as significantly inverse relationship between the exchange rate and the consumer price index in Egypt during the study period</w:t>
      </w:r>
      <w:r>
        <w:rPr>
          <w:rFonts w:cs="Times New Roman" w:hint="cs"/>
          <w:sz w:val="28"/>
          <w:szCs w:val="28"/>
          <w:rtl/>
        </w:rPr>
        <w:t>.</w:t>
      </w:r>
    </w:p>
    <w:p w14:paraId="5B671B4F" w14:textId="77777777" w:rsidR="00565276" w:rsidRPr="00565276" w:rsidRDefault="00565276" w:rsidP="002959BC">
      <w:pPr>
        <w:bidi w:val="0"/>
        <w:ind w:left="1428" w:hanging="1428"/>
        <w:jc w:val="both"/>
        <w:rPr>
          <w:rFonts w:cs="Times New Roman"/>
          <w:b/>
          <w:bCs/>
          <w:sz w:val="4"/>
          <w:szCs w:val="4"/>
          <w:rtl/>
        </w:rPr>
      </w:pPr>
    </w:p>
    <w:p w14:paraId="1645EA7A" w14:textId="381010F3" w:rsidR="002959BC" w:rsidRDefault="002959BC" w:rsidP="00565276">
      <w:pPr>
        <w:bidi w:val="0"/>
        <w:ind w:left="1428" w:hanging="1428"/>
        <w:jc w:val="both"/>
        <w:rPr>
          <w:rFonts w:cs="Times New Roman"/>
          <w:sz w:val="28"/>
          <w:szCs w:val="28"/>
        </w:rPr>
      </w:pPr>
      <w:r>
        <w:rPr>
          <w:rFonts w:cs="Times New Roman"/>
          <w:b/>
          <w:bCs/>
          <w:sz w:val="28"/>
          <w:szCs w:val="28"/>
        </w:rPr>
        <w:t xml:space="preserve">Key words: </w:t>
      </w:r>
      <w:r>
        <w:rPr>
          <w:rFonts w:cs="Times New Roman"/>
          <w:sz w:val="28"/>
          <w:szCs w:val="28"/>
        </w:rPr>
        <w:t>Financing State Budget Deficit - Budget Deficit Analysis - Econometric Model - Determinants of Inflation</w:t>
      </w:r>
      <w:r>
        <w:rPr>
          <w:rFonts w:cs="Times New Roman" w:hint="cs"/>
          <w:sz w:val="28"/>
          <w:szCs w:val="28"/>
          <w:rtl/>
        </w:rPr>
        <w:t>.</w:t>
      </w:r>
    </w:p>
    <w:p w14:paraId="327E9430" w14:textId="7A6B5E69" w:rsidR="002959BC" w:rsidRDefault="002959BC" w:rsidP="00565276">
      <w:pPr>
        <w:bidi w:val="0"/>
        <w:spacing w:after="160" w:line="259" w:lineRule="auto"/>
        <w:ind w:right="6711"/>
        <w:jc w:val="center"/>
        <w:rPr>
          <w:rFonts w:cs="Times New Roman"/>
          <w:b/>
          <w:bCs/>
          <w:sz w:val="24"/>
          <w:szCs w:val="24"/>
          <w:lang w:bidi="ar-EG"/>
        </w:rPr>
      </w:pPr>
      <w:r>
        <w:rPr>
          <w:rtl/>
          <w:lang w:bidi="ar-EG"/>
        </w:rPr>
        <w:br w:type="page"/>
      </w:r>
      <w:r>
        <w:rPr>
          <w:rFonts w:cs="Times New Roman"/>
          <w:b/>
          <w:bCs/>
          <w:sz w:val="24"/>
          <w:szCs w:val="24"/>
          <w:lang w:bidi="ar-EG"/>
        </w:rPr>
        <w:lastRenderedPageBreak/>
        <w:t>Arab Republic of Egypt</w:t>
      </w:r>
    </w:p>
    <w:p w14:paraId="3D07C10A" w14:textId="2944130A" w:rsidR="002959BC" w:rsidRDefault="002959BC" w:rsidP="00565276">
      <w:pPr>
        <w:bidi w:val="0"/>
        <w:ind w:right="6711"/>
        <w:jc w:val="center"/>
        <w:rPr>
          <w:rFonts w:cs="Times New Roman" w:hint="cs"/>
          <w:b/>
          <w:bCs/>
          <w:sz w:val="24"/>
          <w:szCs w:val="24"/>
          <w:rtl/>
          <w:lang w:bidi="ar-EG"/>
        </w:rPr>
      </w:pPr>
      <w:r>
        <w:rPr>
          <w:rFonts w:cs="Times New Roman"/>
          <w:b/>
          <w:bCs/>
          <w:sz w:val="24"/>
          <w:szCs w:val="24"/>
          <w:lang w:bidi="ar-EG"/>
        </w:rPr>
        <w:drawing>
          <wp:inline distT="0" distB="0" distL="0" distR="0" wp14:anchorId="7D7FFFA0" wp14:editId="715A1E2A">
            <wp:extent cx="873760" cy="1296670"/>
            <wp:effectExtent l="0" t="0" r="254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3760" cy="1296670"/>
                    </a:xfrm>
                    <a:prstGeom prst="rect">
                      <a:avLst/>
                    </a:prstGeom>
                    <a:noFill/>
                    <a:ln>
                      <a:noFill/>
                    </a:ln>
                  </pic:spPr>
                </pic:pic>
              </a:graphicData>
            </a:graphic>
          </wp:inline>
        </w:drawing>
      </w:r>
    </w:p>
    <w:p w14:paraId="6D858109" w14:textId="77777777" w:rsidR="002959BC" w:rsidRDefault="002959BC" w:rsidP="00565276">
      <w:pPr>
        <w:bidi w:val="0"/>
        <w:ind w:right="6711"/>
        <w:jc w:val="center"/>
        <w:rPr>
          <w:rFonts w:cs="Times New Roman" w:hint="cs"/>
          <w:b/>
          <w:bCs/>
          <w:sz w:val="24"/>
          <w:szCs w:val="24"/>
          <w:rtl/>
          <w:lang w:bidi="ar-EG"/>
        </w:rPr>
      </w:pPr>
      <w:r>
        <w:rPr>
          <w:rFonts w:cs="Times New Roman"/>
          <w:b/>
          <w:bCs/>
          <w:sz w:val="24"/>
          <w:szCs w:val="24"/>
          <w:lang w:bidi="ar-EG"/>
        </w:rPr>
        <w:t>Institute of National Planning</w:t>
      </w:r>
    </w:p>
    <w:p w14:paraId="35B41F65" w14:textId="77777777" w:rsidR="002959BC" w:rsidRDefault="002959BC" w:rsidP="00565276">
      <w:pPr>
        <w:bidi w:val="0"/>
        <w:ind w:right="6711"/>
        <w:jc w:val="center"/>
        <w:rPr>
          <w:rFonts w:cs="Times New Roman" w:hint="cs"/>
          <w:b/>
          <w:bCs/>
          <w:sz w:val="24"/>
          <w:szCs w:val="24"/>
          <w:rtl/>
          <w:lang w:bidi="ar-EG"/>
        </w:rPr>
      </w:pPr>
      <w:r>
        <w:rPr>
          <w:rFonts w:cs="Times New Roman"/>
          <w:b/>
          <w:bCs/>
          <w:sz w:val="24"/>
          <w:szCs w:val="24"/>
          <w:lang w:bidi="ar-EG"/>
        </w:rPr>
        <w:t>Postgraduate Studies</w:t>
      </w:r>
    </w:p>
    <w:p w14:paraId="5A253989" w14:textId="77777777" w:rsidR="002959BC" w:rsidRDefault="002959BC" w:rsidP="002959BC">
      <w:pPr>
        <w:bidi w:val="0"/>
        <w:jc w:val="lowKashida"/>
        <w:rPr>
          <w:rFonts w:cs="Times New Roman"/>
          <w:sz w:val="28"/>
          <w:szCs w:val="28"/>
          <w:lang w:bidi="ar-EG"/>
        </w:rPr>
      </w:pPr>
    </w:p>
    <w:p w14:paraId="611D206C" w14:textId="77777777" w:rsidR="002959BC" w:rsidRDefault="002959BC" w:rsidP="002959BC">
      <w:pPr>
        <w:bidi w:val="0"/>
        <w:jc w:val="lowKashida"/>
        <w:rPr>
          <w:rFonts w:cs="Times New Roman" w:hint="cs"/>
          <w:sz w:val="28"/>
          <w:szCs w:val="28"/>
          <w:rtl/>
          <w:lang w:bidi="ar-EG"/>
        </w:rPr>
      </w:pPr>
    </w:p>
    <w:p w14:paraId="3571BF67" w14:textId="77777777" w:rsidR="002959BC" w:rsidRDefault="002959BC" w:rsidP="002959BC">
      <w:pPr>
        <w:bidi w:val="0"/>
        <w:ind w:right="-284"/>
        <w:jc w:val="center"/>
        <w:rPr>
          <w:rFonts w:cs="Times New Roman" w:hint="cs"/>
          <w:noProof w:val="0"/>
          <w:kern w:val="24"/>
          <w:sz w:val="28"/>
          <w:szCs w:val="28"/>
          <w:rtl/>
          <w:lang w:bidi="ar-EG"/>
        </w:rPr>
      </w:pPr>
    </w:p>
    <w:p w14:paraId="67C8A908" w14:textId="77777777" w:rsidR="002959BC" w:rsidRDefault="002959BC" w:rsidP="002959BC">
      <w:pPr>
        <w:bidi w:val="0"/>
        <w:jc w:val="center"/>
        <w:rPr>
          <w:rFonts w:cs="Times New Roman" w:hint="cs"/>
          <w:noProof w:val="0"/>
          <w:kern w:val="24"/>
          <w:sz w:val="28"/>
          <w:szCs w:val="28"/>
          <w:rtl/>
          <w:lang w:bidi="ar-EG"/>
        </w:rPr>
      </w:pPr>
    </w:p>
    <w:p w14:paraId="18099736" w14:textId="77777777" w:rsidR="002959BC" w:rsidRDefault="002959BC" w:rsidP="002959BC">
      <w:pPr>
        <w:bidi w:val="0"/>
        <w:jc w:val="center"/>
        <w:rPr>
          <w:rFonts w:ascii="Cambria" w:hAnsi="Cambria" w:cs="PT Bold Heading"/>
          <w:b/>
          <w:bCs/>
          <w:noProof w:val="0"/>
          <w:kern w:val="24"/>
          <w:sz w:val="44"/>
          <w:szCs w:val="44"/>
          <w:lang w:bidi="ar-EG"/>
        </w:rPr>
      </w:pPr>
      <w:r>
        <w:rPr>
          <w:rFonts w:ascii="Cambria" w:hAnsi="Cambria" w:cs="PT Bold Heading"/>
          <w:b/>
          <w:bCs/>
          <w:noProof w:val="0"/>
          <w:kern w:val="24"/>
          <w:sz w:val="44"/>
          <w:szCs w:val="44"/>
          <w:lang w:bidi="ar-EG"/>
        </w:rPr>
        <w:t>The Impact of Financing State Budget Deficit</w:t>
      </w:r>
    </w:p>
    <w:p w14:paraId="42FABD65" w14:textId="77777777" w:rsidR="002959BC" w:rsidRDefault="002959BC" w:rsidP="002959BC">
      <w:pPr>
        <w:bidi w:val="0"/>
        <w:jc w:val="center"/>
        <w:rPr>
          <w:rFonts w:cs="Times New Roman"/>
          <w:b/>
          <w:bCs/>
          <w:noProof w:val="0"/>
          <w:kern w:val="24"/>
          <w:sz w:val="44"/>
          <w:szCs w:val="44"/>
          <w:lang w:bidi="ar-EG"/>
        </w:rPr>
      </w:pPr>
      <w:r>
        <w:rPr>
          <w:rFonts w:ascii="Cambria" w:hAnsi="Cambria" w:cs="PT Bold Heading"/>
          <w:b/>
          <w:bCs/>
          <w:noProof w:val="0"/>
          <w:kern w:val="24"/>
          <w:sz w:val="44"/>
          <w:szCs w:val="44"/>
          <w:lang w:bidi="ar-EG"/>
        </w:rPr>
        <w:t>On Inflation in Egypt (1991- 2016)</w:t>
      </w:r>
    </w:p>
    <w:p w14:paraId="2840B02C" w14:textId="77777777" w:rsidR="002959BC" w:rsidRDefault="002959BC" w:rsidP="002959BC">
      <w:pPr>
        <w:bidi w:val="0"/>
        <w:jc w:val="center"/>
        <w:rPr>
          <w:rFonts w:cs="Times New Roman"/>
          <w:noProof w:val="0"/>
          <w:kern w:val="24"/>
          <w:sz w:val="28"/>
          <w:szCs w:val="28"/>
          <w:lang w:bidi="ar-EG"/>
        </w:rPr>
      </w:pPr>
    </w:p>
    <w:p w14:paraId="54B351B6" w14:textId="77777777" w:rsidR="002959BC" w:rsidRDefault="002959BC" w:rsidP="002959BC">
      <w:pPr>
        <w:bidi w:val="0"/>
        <w:jc w:val="center"/>
        <w:rPr>
          <w:rFonts w:cs="Times New Roman"/>
          <w:noProof w:val="0"/>
          <w:kern w:val="24"/>
          <w:sz w:val="28"/>
          <w:szCs w:val="28"/>
          <w:lang w:bidi="ar-EG"/>
        </w:rPr>
      </w:pPr>
    </w:p>
    <w:p w14:paraId="7E52A920" w14:textId="77777777" w:rsidR="002959BC" w:rsidRDefault="002959BC" w:rsidP="002959BC">
      <w:pPr>
        <w:bidi w:val="0"/>
        <w:jc w:val="center"/>
        <w:rPr>
          <w:rFonts w:cs="Times New Roman" w:hint="cs"/>
          <w:noProof w:val="0"/>
          <w:kern w:val="24"/>
          <w:sz w:val="28"/>
          <w:szCs w:val="28"/>
          <w:rtl/>
          <w:lang w:bidi="ar-EG"/>
        </w:rPr>
      </w:pPr>
    </w:p>
    <w:p w14:paraId="442F340D" w14:textId="77777777" w:rsidR="002959BC" w:rsidRDefault="002959BC" w:rsidP="002959BC">
      <w:pPr>
        <w:bidi w:val="0"/>
        <w:jc w:val="center"/>
        <w:rPr>
          <w:rFonts w:cs="Times New Roman"/>
          <w:b/>
          <w:bCs/>
          <w:noProof w:val="0"/>
          <w:kern w:val="24"/>
          <w:sz w:val="28"/>
          <w:szCs w:val="28"/>
          <w:lang w:bidi="ar-EG"/>
        </w:rPr>
      </w:pPr>
      <w:r>
        <w:rPr>
          <w:rFonts w:cs="Times New Roman"/>
          <w:b/>
          <w:bCs/>
          <w:noProof w:val="0"/>
          <w:kern w:val="24"/>
          <w:sz w:val="28"/>
          <w:szCs w:val="28"/>
          <w:lang w:bidi="ar-EG"/>
        </w:rPr>
        <w:t>A Thesis Submitted in Fulfillment of the Requirements of</w:t>
      </w:r>
    </w:p>
    <w:p w14:paraId="61ECA146" w14:textId="77777777" w:rsidR="002959BC" w:rsidRDefault="002959BC" w:rsidP="002959BC">
      <w:pPr>
        <w:bidi w:val="0"/>
        <w:jc w:val="center"/>
        <w:rPr>
          <w:rFonts w:cs="Times New Roman"/>
          <w:b/>
          <w:bCs/>
          <w:noProof w:val="0"/>
          <w:kern w:val="24"/>
          <w:sz w:val="28"/>
          <w:szCs w:val="28"/>
          <w:lang w:bidi="ar-EG"/>
        </w:rPr>
      </w:pPr>
      <w:r>
        <w:rPr>
          <w:rFonts w:cs="Times New Roman"/>
          <w:b/>
          <w:bCs/>
          <w:noProof w:val="0"/>
          <w:kern w:val="24"/>
          <w:sz w:val="28"/>
          <w:szCs w:val="28"/>
          <w:lang w:bidi="ar-EG"/>
        </w:rPr>
        <w:t xml:space="preserve">Master Degree in Planning and Development </w:t>
      </w:r>
    </w:p>
    <w:p w14:paraId="4DF3F05E" w14:textId="77777777" w:rsidR="002959BC" w:rsidRDefault="002959BC" w:rsidP="002959BC">
      <w:pPr>
        <w:bidi w:val="0"/>
        <w:jc w:val="center"/>
        <w:rPr>
          <w:rFonts w:cs="Times New Roman" w:hint="cs"/>
          <w:b/>
          <w:bCs/>
          <w:noProof w:val="0"/>
          <w:kern w:val="24"/>
          <w:sz w:val="28"/>
          <w:szCs w:val="28"/>
          <w:rtl/>
          <w:lang w:bidi="ar-EG"/>
        </w:rPr>
      </w:pPr>
    </w:p>
    <w:p w14:paraId="4F9D450C" w14:textId="77777777" w:rsidR="002959BC" w:rsidRDefault="002959BC" w:rsidP="002959BC">
      <w:pPr>
        <w:bidi w:val="0"/>
        <w:jc w:val="center"/>
        <w:rPr>
          <w:rFonts w:cs="Times New Roman" w:hint="cs"/>
          <w:b/>
          <w:bCs/>
          <w:noProof w:val="0"/>
          <w:kern w:val="24"/>
          <w:sz w:val="28"/>
          <w:szCs w:val="28"/>
          <w:rtl/>
          <w:lang w:bidi="ar-EG"/>
        </w:rPr>
      </w:pPr>
    </w:p>
    <w:p w14:paraId="5F6EC4FC" w14:textId="77777777" w:rsidR="002959BC" w:rsidRDefault="002959BC" w:rsidP="002959BC">
      <w:pPr>
        <w:bidi w:val="0"/>
        <w:jc w:val="center"/>
        <w:rPr>
          <w:rFonts w:cs="Times New Roman"/>
          <w:b/>
          <w:bCs/>
          <w:noProof w:val="0"/>
          <w:kern w:val="24"/>
          <w:sz w:val="28"/>
          <w:szCs w:val="28"/>
          <w:lang w:bidi="ar-EG"/>
        </w:rPr>
      </w:pPr>
    </w:p>
    <w:p w14:paraId="3787D967" w14:textId="77777777" w:rsidR="002959BC" w:rsidRDefault="002959BC" w:rsidP="002959BC">
      <w:pPr>
        <w:bidi w:val="0"/>
        <w:jc w:val="center"/>
        <w:rPr>
          <w:rFonts w:cs="Times New Roman" w:hint="cs"/>
          <w:b/>
          <w:bCs/>
          <w:noProof w:val="0"/>
          <w:kern w:val="24"/>
          <w:sz w:val="24"/>
          <w:szCs w:val="24"/>
          <w:u w:val="single"/>
          <w:rtl/>
          <w:lang w:bidi="ar-EG"/>
        </w:rPr>
      </w:pPr>
      <w:r>
        <w:rPr>
          <w:rFonts w:cs="Times New Roman"/>
          <w:b/>
          <w:bCs/>
          <w:noProof w:val="0"/>
          <w:kern w:val="24"/>
          <w:sz w:val="32"/>
          <w:szCs w:val="32"/>
          <w:u w:val="single"/>
          <w:lang w:bidi="ar-EG"/>
        </w:rPr>
        <w:t>Submitted By:</w:t>
      </w:r>
    </w:p>
    <w:p w14:paraId="71AC26CC" w14:textId="77777777" w:rsidR="002959BC" w:rsidRDefault="002959BC" w:rsidP="002959BC">
      <w:pPr>
        <w:bidi w:val="0"/>
        <w:jc w:val="center"/>
        <w:rPr>
          <w:rFonts w:cs="Times New Roman" w:hint="cs"/>
          <w:b/>
          <w:bCs/>
          <w:noProof w:val="0"/>
          <w:kern w:val="24"/>
          <w:sz w:val="32"/>
          <w:szCs w:val="32"/>
          <w:rtl/>
          <w:lang w:bidi="ar-EG"/>
        </w:rPr>
      </w:pPr>
      <w:r>
        <w:rPr>
          <w:rFonts w:cs="Times New Roman"/>
          <w:b/>
          <w:bCs/>
          <w:noProof w:val="0"/>
          <w:kern w:val="24"/>
          <w:sz w:val="32"/>
          <w:szCs w:val="32"/>
          <w:lang w:bidi="ar-EG"/>
        </w:rPr>
        <w:t xml:space="preserve">Ibrahim </w:t>
      </w:r>
      <w:proofErr w:type="spellStart"/>
      <w:r>
        <w:rPr>
          <w:rFonts w:cs="Times New Roman"/>
          <w:b/>
          <w:bCs/>
          <w:noProof w:val="0"/>
          <w:kern w:val="24"/>
          <w:sz w:val="32"/>
          <w:szCs w:val="32"/>
          <w:lang w:bidi="ar-EG"/>
        </w:rPr>
        <w:t>Morsy</w:t>
      </w:r>
      <w:proofErr w:type="spellEnd"/>
      <w:r>
        <w:rPr>
          <w:rFonts w:cs="Times New Roman"/>
          <w:b/>
          <w:bCs/>
          <w:noProof w:val="0"/>
          <w:kern w:val="24"/>
          <w:sz w:val="32"/>
          <w:szCs w:val="32"/>
          <w:lang w:bidi="ar-EG"/>
        </w:rPr>
        <w:t xml:space="preserve"> </w:t>
      </w:r>
      <w:proofErr w:type="spellStart"/>
      <w:r>
        <w:rPr>
          <w:rFonts w:cs="Times New Roman"/>
          <w:b/>
          <w:bCs/>
          <w:noProof w:val="0"/>
          <w:kern w:val="24"/>
          <w:sz w:val="32"/>
          <w:szCs w:val="32"/>
          <w:lang w:bidi="ar-EG"/>
        </w:rPr>
        <w:t>Morsy</w:t>
      </w:r>
      <w:proofErr w:type="spellEnd"/>
      <w:r>
        <w:rPr>
          <w:rFonts w:cs="Times New Roman"/>
          <w:b/>
          <w:bCs/>
          <w:noProof w:val="0"/>
          <w:kern w:val="24"/>
          <w:sz w:val="32"/>
          <w:szCs w:val="32"/>
          <w:lang w:bidi="ar-EG"/>
        </w:rPr>
        <w:t xml:space="preserve"> </w:t>
      </w:r>
      <w:proofErr w:type="spellStart"/>
      <w:r>
        <w:rPr>
          <w:rFonts w:cs="Times New Roman"/>
          <w:b/>
          <w:bCs/>
          <w:noProof w:val="0"/>
          <w:kern w:val="24"/>
          <w:sz w:val="32"/>
          <w:szCs w:val="32"/>
          <w:lang w:bidi="ar-EG"/>
        </w:rPr>
        <w:t>Elsalamony</w:t>
      </w:r>
      <w:proofErr w:type="spellEnd"/>
    </w:p>
    <w:p w14:paraId="74594CE7" w14:textId="77777777" w:rsidR="002959BC" w:rsidRDefault="002959BC" w:rsidP="002959BC">
      <w:pPr>
        <w:bidi w:val="0"/>
        <w:jc w:val="center"/>
        <w:rPr>
          <w:rFonts w:cs="Times New Roman"/>
          <w:noProof w:val="0"/>
          <w:kern w:val="24"/>
          <w:sz w:val="28"/>
          <w:szCs w:val="28"/>
          <w:lang w:bidi="ar-EG"/>
        </w:rPr>
      </w:pPr>
    </w:p>
    <w:p w14:paraId="20E8303B" w14:textId="77777777" w:rsidR="002959BC" w:rsidRDefault="002959BC" w:rsidP="002959BC">
      <w:pPr>
        <w:bidi w:val="0"/>
        <w:jc w:val="center"/>
        <w:rPr>
          <w:rFonts w:cs="Times New Roman" w:hint="cs"/>
          <w:noProof w:val="0"/>
          <w:kern w:val="24"/>
          <w:sz w:val="28"/>
          <w:szCs w:val="28"/>
          <w:rtl/>
          <w:lang w:bidi="ar-EG"/>
        </w:rPr>
      </w:pPr>
    </w:p>
    <w:p w14:paraId="3AE85884" w14:textId="77777777" w:rsidR="002959BC" w:rsidRDefault="002959BC" w:rsidP="002959BC">
      <w:pPr>
        <w:bidi w:val="0"/>
        <w:jc w:val="center"/>
        <w:rPr>
          <w:rFonts w:cs="Times New Roman" w:hint="cs"/>
          <w:noProof w:val="0"/>
          <w:kern w:val="24"/>
          <w:sz w:val="28"/>
          <w:szCs w:val="28"/>
          <w:rtl/>
          <w:lang w:bidi="ar-EG"/>
        </w:rPr>
      </w:pPr>
    </w:p>
    <w:p w14:paraId="7E98A554" w14:textId="77777777" w:rsidR="002959BC" w:rsidRDefault="002959BC" w:rsidP="002959BC">
      <w:pPr>
        <w:bidi w:val="0"/>
        <w:jc w:val="center"/>
        <w:rPr>
          <w:rFonts w:cs="Times New Roman"/>
          <w:noProof w:val="0"/>
          <w:kern w:val="24"/>
          <w:sz w:val="28"/>
          <w:szCs w:val="28"/>
          <w:lang w:bidi="ar-EG"/>
        </w:rPr>
      </w:pPr>
    </w:p>
    <w:p w14:paraId="410B7E81" w14:textId="77777777" w:rsidR="002959BC" w:rsidRDefault="002959BC" w:rsidP="002959BC">
      <w:pPr>
        <w:bidi w:val="0"/>
        <w:jc w:val="center"/>
        <w:rPr>
          <w:rFonts w:cs="Times New Roman" w:hint="cs"/>
          <w:b/>
          <w:bCs/>
          <w:noProof w:val="0"/>
          <w:kern w:val="24"/>
          <w:sz w:val="32"/>
          <w:szCs w:val="32"/>
          <w:u w:val="single"/>
          <w:rtl/>
          <w:lang w:bidi="ar-EG"/>
        </w:rPr>
      </w:pPr>
      <w:r>
        <w:rPr>
          <w:rFonts w:cs="Times New Roman"/>
          <w:b/>
          <w:bCs/>
          <w:noProof w:val="0"/>
          <w:kern w:val="24"/>
          <w:sz w:val="32"/>
          <w:szCs w:val="32"/>
          <w:u w:val="single"/>
          <w:lang w:bidi="ar-EG"/>
        </w:rPr>
        <w:t>Supervised By:</w:t>
      </w:r>
    </w:p>
    <w:tbl>
      <w:tblPr>
        <w:tblStyle w:val="a"/>
        <w:bidiVisual/>
        <w:tblW w:w="9369" w:type="dxa"/>
        <w:jc w:val="center"/>
        <w:tblInd w:w="0" w:type="dxa"/>
        <w:tblLook w:val="04A0" w:firstRow="1" w:lastRow="0" w:firstColumn="1" w:lastColumn="0" w:noHBand="0" w:noVBand="1"/>
      </w:tblPr>
      <w:tblGrid>
        <w:gridCol w:w="4907"/>
        <w:gridCol w:w="248"/>
        <w:gridCol w:w="4214"/>
      </w:tblGrid>
      <w:tr w:rsidR="002959BC" w14:paraId="768EB036" w14:textId="77777777" w:rsidTr="002959BC">
        <w:trPr>
          <w:jc w:val="center"/>
        </w:trPr>
        <w:tc>
          <w:tcPr>
            <w:tcW w:w="4907" w:type="dxa"/>
            <w:vAlign w:val="center"/>
            <w:hideMark/>
          </w:tcPr>
          <w:p w14:paraId="7100DF6C" w14:textId="77777777" w:rsidR="002959BC" w:rsidRDefault="002959BC">
            <w:pPr>
              <w:bidi w:val="0"/>
              <w:jc w:val="center"/>
              <w:rPr>
                <w:rFonts w:cs="Times New Roman"/>
                <w:b/>
                <w:bCs/>
                <w:noProof w:val="0"/>
                <w:kern w:val="24"/>
                <w:sz w:val="30"/>
                <w:szCs w:val="30"/>
                <w:lang w:bidi="ar-EG"/>
              </w:rPr>
            </w:pPr>
            <w:r>
              <w:rPr>
                <w:rFonts w:cs="Times New Roman"/>
                <w:b/>
                <w:bCs/>
                <w:noProof w:val="0"/>
                <w:kern w:val="24"/>
                <w:sz w:val="30"/>
                <w:szCs w:val="30"/>
                <w:lang w:bidi="ar-EG"/>
              </w:rPr>
              <w:t xml:space="preserve">Dr. </w:t>
            </w:r>
            <w:proofErr w:type="spellStart"/>
            <w:r>
              <w:rPr>
                <w:rFonts w:cs="Times New Roman"/>
                <w:b/>
                <w:bCs/>
                <w:noProof w:val="0"/>
                <w:kern w:val="24"/>
                <w:sz w:val="30"/>
                <w:szCs w:val="30"/>
                <w:lang w:bidi="ar-EG"/>
              </w:rPr>
              <w:t>Hegazy</w:t>
            </w:r>
            <w:proofErr w:type="spellEnd"/>
            <w:r>
              <w:rPr>
                <w:rFonts w:cs="Times New Roman"/>
                <w:b/>
                <w:bCs/>
                <w:noProof w:val="0"/>
                <w:kern w:val="24"/>
                <w:sz w:val="30"/>
                <w:szCs w:val="30"/>
                <w:lang w:bidi="ar-EG"/>
              </w:rPr>
              <w:t xml:space="preserve"> </w:t>
            </w:r>
            <w:proofErr w:type="spellStart"/>
            <w:r>
              <w:rPr>
                <w:rFonts w:cs="Times New Roman"/>
                <w:b/>
                <w:bCs/>
                <w:noProof w:val="0"/>
                <w:kern w:val="24"/>
                <w:sz w:val="30"/>
                <w:szCs w:val="30"/>
                <w:lang w:bidi="ar-EG"/>
              </w:rPr>
              <w:t>Adbul</w:t>
            </w:r>
            <w:proofErr w:type="spellEnd"/>
            <w:r>
              <w:rPr>
                <w:rFonts w:cs="Times New Roman"/>
                <w:b/>
                <w:bCs/>
                <w:noProof w:val="0"/>
                <w:kern w:val="24"/>
                <w:sz w:val="30"/>
                <w:szCs w:val="30"/>
                <w:lang w:bidi="ar-EG"/>
              </w:rPr>
              <w:t xml:space="preserve"> Hamid Al-Jazzar</w:t>
            </w:r>
          </w:p>
          <w:p w14:paraId="498813CA" w14:textId="77777777" w:rsidR="002959BC" w:rsidRDefault="002959BC">
            <w:pPr>
              <w:bidi w:val="0"/>
              <w:jc w:val="center"/>
              <w:rPr>
                <w:rFonts w:cs="Times New Roman"/>
                <w:b/>
                <w:bCs/>
                <w:noProof w:val="0"/>
                <w:kern w:val="24"/>
                <w:sz w:val="26"/>
                <w:szCs w:val="26"/>
                <w:lang w:bidi="ar-EG"/>
              </w:rPr>
            </w:pPr>
            <w:r>
              <w:rPr>
                <w:rFonts w:cs="Times New Roman"/>
                <w:b/>
                <w:bCs/>
                <w:noProof w:val="0"/>
                <w:kern w:val="24"/>
                <w:sz w:val="26"/>
                <w:szCs w:val="26"/>
                <w:lang w:bidi="ar-EG"/>
              </w:rPr>
              <w:t>Assistant Professor of Economics</w:t>
            </w:r>
          </w:p>
          <w:p w14:paraId="046C1968" w14:textId="77777777" w:rsidR="002959BC" w:rsidRDefault="002959BC">
            <w:pPr>
              <w:bidi w:val="0"/>
              <w:jc w:val="center"/>
              <w:rPr>
                <w:rFonts w:cs="Times New Roman"/>
                <w:b/>
                <w:bCs/>
                <w:noProof w:val="0"/>
                <w:kern w:val="24"/>
                <w:sz w:val="26"/>
                <w:szCs w:val="26"/>
                <w:lang w:bidi="ar-EG"/>
              </w:rPr>
            </w:pPr>
            <w:r>
              <w:rPr>
                <w:rFonts w:cs="Times New Roman"/>
                <w:b/>
                <w:bCs/>
                <w:noProof w:val="0"/>
                <w:kern w:val="24"/>
                <w:sz w:val="26"/>
                <w:szCs w:val="26"/>
                <w:lang w:bidi="ar-EG"/>
              </w:rPr>
              <w:t xml:space="preserve">Former Director of </w:t>
            </w:r>
          </w:p>
          <w:p w14:paraId="42176946" w14:textId="77777777" w:rsidR="002959BC" w:rsidRDefault="002959BC">
            <w:pPr>
              <w:bidi w:val="0"/>
              <w:jc w:val="center"/>
              <w:rPr>
                <w:rFonts w:cs="Times New Roman"/>
                <w:b/>
                <w:bCs/>
                <w:noProof w:val="0"/>
                <w:kern w:val="24"/>
                <w:sz w:val="26"/>
                <w:szCs w:val="26"/>
                <w:lang w:bidi="ar-EG"/>
              </w:rPr>
            </w:pPr>
            <w:r>
              <w:rPr>
                <w:rFonts w:cs="Times New Roman"/>
                <w:b/>
                <w:bCs/>
                <w:noProof w:val="0"/>
                <w:kern w:val="24"/>
                <w:sz w:val="26"/>
                <w:szCs w:val="26"/>
                <w:lang w:bidi="ar-EG"/>
              </w:rPr>
              <w:t>International Economic Relations Center</w:t>
            </w:r>
          </w:p>
          <w:p w14:paraId="172E68A4" w14:textId="77777777" w:rsidR="002959BC" w:rsidRDefault="002959BC">
            <w:pPr>
              <w:bidi w:val="0"/>
              <w:jc w:val="center"/>
              <w:rPr>
                <w:rFonts w:cs="Times New Roman"/>
                <w:b/>
                <w:bCs/>
                <w:noProof w:val="0"/>
                <w:kern w:val="24"/>
                <w:sz w:val="40"/>
                <w:szCs w:val="40"/>
                <w:lang w:bidi="ar-EG"/>
              </w:rPr>
            </w:pPr>
            <w:r>
              <w:rPr>
                <w:rFonts w:cs="Times New Roman"/>
                <w:b/>
                <w:bCs/>
                <w:sz w:val="26"/>
                <w:szCs w:val="26"/>
                <w:lang w:bidi="ar-EG"/>
              </w:rPr>
              <w:t>Institute of National Planning</w:t>
            </w:r>
          </w:p>
        </w:tc>
        <w:tc>
          <w:tcPr>
            <w:tcW w:w="248" w:type="dxa"/>
            <w:vAlign w:val="center"/>
          </w:tcPr>
          <w:p w14:paraId="6A71169F" w14:textId="77777777" w:rsidR="002959BC" w:rsidRDefault="002959BC">
            <w:pPr>
              <w:bidi w:val="0"/>
              <w:jc w:val="center"/>
              <w:rPr>
                <w:rFonts w:cs="Times New Roman"/>
                <w:b/>
                <w:bCs/>
                <w:noProof w:val="0"/>
                <w:kern w:val="24"/>
                <w:sz w:val="36"/>
                <w:szCs w:val="36"/>
                <w:u w:val="single"/>
                <w:lang w:bidi="ar-EG"/>
              </w:rPr>
            </w:pPr>
          </w:p>
        </w:tc>
        <w:tc>
          <w:tcPr>
            <w:tcW w:w="4214" w:type="dxa"/>
            <w:vAlign w:val="center"/>
            <w:hideMark/>
          </w:tcPr>
          <w:p w14:paraId="0F7DB0B3" w14:textId="77777777" w:rsidR="002959BC" w:rsidRDefault="002959BC">
            <w:pPr>
              <w:bidi w:val="0"/>
              <w:jc w:val="center"/>
              <w:rPr>
                <w:rFonts w:cs="Times New Roman" w:hint="cs"/>
                <w:b/>
                <w:bCs/>
                <w:noProof w:val="0"/>
                <w:kern w:val="24"/>
                <w:sz w:val="32"/>
                <w:szCs w:val="32"/>
                <w:rtl/>
                <w:lang w:bidi="ar-EG"/>
              </w:rPr>
            </w:pPr>
            <w:r>
              <w:rPr>
                <w:rFonts w:cs="Times New Roman"/>
                <w:b/>
                <w:bCs/>
                <w:noProof w:val="0"/>
                <w:kern w:val="24"/>
                <w:sz w:val="32"/>
                <w:szCs w:val="32"/>
                <w:lang w:bidi="ar-EG"/>
              </w:rPr>
              <w:t>Prof. Khaled Zakaria Ameen</w:t>
            </w:r>
          </w:p>
          <w:p w14:paraId="63F07BD2" w14:textId="77777777" w:rsidR="002959BC" w:rsidRDefault="002959BC">
            <w:pPr>
              <w:bidi w:val="0"/>
              <w:jc w:val="center"/>
              <w:rPr>
                <w:rFonts w:cs="Times New Roman"/>
                <w:b/>
                <w:bCs/>
                <w:noProof w:val="0"/>
                <w:kern w:val="24"/>
                <w:sz w:val="26"/>
                <w:szCs w:val="26"/>
                <w:lang w:bidi="ar-EG"/>
              </w:rPr>
            </w:pPr>
            <w:r>
              <w:rPr>
                <w:rFonts w:cs="Times New Roman"/>
                <w:b/>
                <w:bCs/>
                <w:noProof w:val="0"/>
                <w:kern w:val="24"/>
                <w:sz w:val="26"/>
                <w:szCs w:val="26"/>
                <w:lang w:bidi="ar-EG"/>
              </w:rPr>
              <w:t>Professor of public administration</w:t>
            </w:r>
          </w:p>
          <w:p w14:paraId="1BCB1B5B" w14:textId="77777777" w:rsidR="002959BC" w:rsidRDefault="002959BC">
            <w:pPr>
              <w:bidi w:val="0"/>
              <w:jc w:val="center"/>
              <w:rPr>
                <w:rFonts w:cs="Times New Roman"/>
                <w:b/>
                <w:bCs/>
                <w:noProof w:val="0"/>
                <w:kern w:val="24"/>
                <w:sz w:val="26"/>
                <w:szCs w:val="26"/>
                <w:lang w:bidi="ar-EG"/>
              </w:rPr>
            </w:pPr>
            <w:r>
              <w:rPr>
                <w:rFonts w:cs="Times New Roman"/>
                <w:b/>
                <w:bCs/>
                <w:noProof w:val="0"/>
                <w:kern w:val="24"/>
                <w:sz w:val="26"/>
                <w:szCs w:val="26"/>
                <w:lang w:bidi="ar-EG"/>
              </w:rPr>
              <w:t>Director of</w:t>
            </w:r>
          </w:p>
          <w:p w14:paraId="59E53365" w14:textId="77777777" w:rsidR="002959BC" w:rsidRDefault="002959BC">
            <w:pPr>
              <w:bidi w:val="0"/>
              <w:jc w:val="center"/>
              <w:rPr>
                <w:rFonts w:cs="Times New Roman"/>
                <w:b/>
                <w:bCs/>
                <w:noProof w:val="0"/>
                <w:kern w:val="24"/>
                <w:sz w:val="26"/>
                <w:szCs w:val="26"/>
                <w:lang w:bidi="ar-EG"/>
              </w:rPr>
            </w:pPr>
            <w:r>
              <w:rPr>
                <w:rFonts w:cs="Times New Roman"/>
                <w:b/>
                <w:bCs/>
                <w:noProof w:val="0"/>
                <w:kern w:val="24"/>
                <w:sz w:val="26"/>
                <w:szCs w:val="26"/>
                <w:lang w:bidi="ar-EG"/>
              </w:rPr>
              <w:t>Macroeconomics Polices Center</w:t>
            </w:r>
          </w:p>
          <w:p w14:paraId="48F19284" w14:textId="77777777" w:rsidR="002959BC" w:rsidRDefault="002959BC">
            <w:pPr>
              <w:bidi w:val="0"/>
              <w:jc w:val="center"/>
              <w:rPr>
                <w:rFonts w:cs="Times New Roman"/>
                <w:b/>
                <w:bCs/>
                <w:noProof w:val="0"/>
                <w:kern w:val="24"/>
                <w:sz w:val="28"/>
                <w:szCs w:val="28"/>
                <w:lang w:bidi="ar-EG"/>
              </w:rPr>
            </w:pPr>
            <w:r>
              <w:rPr>
                <w:rFonts w:cs="Times New Roman"/>
                <w:b/>
                <w:bCs/>
                <w:noProof w:val="0"/>
                <w:kern w:val="24"/>
                <w:sz w:val="26"/>
                <w:szCs w:val="26"/>
                <w:lang w:bidi="ar-EG"/>
              </w:rPr>
              <w:t>Institute of National Planning</w:t>
            </w:r>
          </w:p>
        </w:tc>
      </w:tr>
    </w:tbl>
    <w:p w14:paraId="5B0AF4C9" w14:textId="77777777" w:rsidR="002959BC" w:rsidRDefault="002959BC" w:rsidP="002959BC">
      <w:pPr>
        <w:bidi w:val="0"/>
        <w:jc w:val="center"/>
        <w:rPr>
          <w:rFonts w:cs="Times New Roman" w:hint="cs"/>
          <w:b/>
          <w:bCs/>
          <w:noProof w:val="0"/>
          <w:kern w:val="24"/>
          <w:sz w:val="36"/>
          <w:szCs w:val="36"/>
          <w:u w:val="single"/>
          <w:rtl/>
          <w:lang w:bidi="ar-EG"/>
        </w:rPr>
      </w:pPr>
    </w:p>
    <w:p w14:paraId="7C178A65" w14:textId="77777777" w:rsidR="002959BC" w:rsidRDefault="002959BC" w:rsidP="002959BC">
      <w:pPr>
        <w:bidi w:val="0"/>
        <w:jc w:val="center"/>
        <w:rPr>
          <w:rFonts w:cs="Times New Roman" w:hint="cs"/>
          <w:noProof w:val="0"/>
          <w:kern w:val="24"/>
          <w:sz w:val="28"/>
          <w:szCs w:val="28"/>
          <w:rtl/>
          <w:lang w:bidi="ar-EG"/>
        </w:rPr>
      </w:pPr>
    </w:p>
    <w:p w14:paraId="2E254917" w14:textId="77777777" w:rsidR="002959BC" w:rsidRDefault="002959BC" w:rsidP="002959BC">
      <w:pPr>
        <w:bidi w:val="0"/>
        <w:jc w:val="center"/>
        <w:rPr>
          <w:rFonts w:cs="Times New Roman" w:hint="cs"/>
          <w:sz w:val="28"/>
          <w:szCs w:val="28"/>
          <w:rtl/>
          <w:lang w:bidi="ar-EG"/>
        </w:rPr>
      </w:pPr>
      <w:r>
        <w:rPr>
          <w:rFonts w:cs="Times New Roman"/>
          <w:b/>
          <w:bCs/>
          <w:noProof w:val="0"/>
          <w:kern w:val="24"/>
          <w:sz w:val="28"/>
          <w:szCs w:val="28"/>
          <w:lang w:bidi="ar-EG"/>
        </w:rPr>
        <w:t>2021</w:t>
      </w:r>
    </w:p>
    <w:p w14:paraId="7F0685B2" w14:textId="77777777" w:rsidR="003E7AF1" w:rsidRPr="002959BC" w:rsidRDefault="003E7AF1" w:rsidP="003E7AF1">
      <w:pPr>
        <w:rPr>
          <w:lang w:bidi="ar-EG"/>
        </w:rPr>
      </w:pPr>
    </w:p>
    <w:sectPr w:rsidR="003E7AF1" w:rsidRPr="002959BC" w:rsidSect="003E7AF1">
      <w:pgSz w:w="12240" w:h="15840"/>
      <w:pgMar w:top="1134" w:right="1701"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826225" w14:textId="77777777" w:rsidR="0041332D" w:rsidRDefault="0041332D" w:rsidP="003E7AF1">
      <w:r>
        <w:separator/>
      </w:r>
    </w:p>
  </w:endnote>
  <w:endnote w:type="continuationSeparator" w:id="0">
    <w:p w14:paraId="6451C9E5" w14:textId="77777777" w:rsidR="0041332D" w:rsidRDefault="0041332D" w:rsidP="003E7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PT Bold Heading">
    <w:panose1 w:val="02010400000000000000"/>
    <w:charset w:val="B2"/>
    <w:family w:val="auto"/>
    <w:pitch w:val="variable"/>
    <w:sig w:usb0="00002001" w:usb1="80000000" w:usb2="00000008" w:usb3="00000000" w:csb0="00000040" w:csb1="00000000"/>
  </w:font>
  <w:font w:name="DecoType Naskh Variants">
    <w:panose1 w:val="0201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Raleway">
    <w:panose1 w:val="020B0003030101060003"/>
    <w:charset w:val="00"/>
    <w:family w:val="swiss"/>
    <w:pitch w:val="variable"/>
    <w:sig w:usb0="A00000BF"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2B16E" w14:textId="77777777" w:rsidR="00270E6A" w:rsidRPr="005C6D15" w:rsidRDefault="00270E6A" w:rsidP="005C6D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2C822" w14:textId="27B2E075" w:rsidR="00270E6A" w:rsidRPr="005C6D15" w:rsidRDefault="00270E6A" w:rsidP="005C6D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0009C" w14:textId="49FB9C8C" w:rsidR="00270E6A" w:rsidRPr="005C6D15" w:rsidRDefault="00270E6A" w:rsidP="005C6D15">
    <w:pPr>
      <w:pStyle w:val="Footer"/>
      <w:rPr>
        <w:rt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7C0FE" w14:textId="77777777" w:rsidR="00270E6A" w:rsidRDefault="00270E6A">
    <w:pPr>
      <w:pStyle w:val="Footer"/>
      <w:jc w:val="center"/>
    </w:pPr>
  </w:p>
  <w:p w14:paraId="074399C8" w14:textId="77777777" w:rsidR="00270E6A" w:rsidRDefault="00270E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D51B11" w14:textId="77777777" w:rsidR="0041332D" w:rsidRDefault="0041332D" w:rsidP="003E7AF1">
      <w:r>
        <w:separator/>
      </w:r>
    </w:p>
  </w:footnote>
  <w:footnote w:type="continuationSeparator" w:id="0">
    <w:p w14:paraId="7471227B" w14:textId="77777777" w:rsidR="0041332D" w:rsidRDefault="0041332D" w:rsidP="003E7AF1">
      <w:r>
        <w:continuationSeparator/>
      </w:r>
    </w:p>
  </w:footnote>
  <w:footnote w:id="1">
    <w:p w14:paraId="2CFCE6E6" w14:textId="77777777" w:rsidR="00270E6A" w:rsidRDefault="00270E6A" w:rsidP="003E7AF1">
      <w:pPr>
        <w:pStyle w:val="FootnoteText"/>
        <w:ind w:left="425" w:hanging="425"/>
        <w:jc w:val="both"/>
        <w:rPr>
          <w:rFonts w:ascii="Simplified Arabic" w:eastAsiaTheme="minorEastAsia" w:hAnsi="Simplified Arabic" w:cs="Simplified Arabic"/>
          <w:sz w:val="24"/>
          <w:szCs w:val="24"/>
          <w:rtl/>
        </w:rPr>
      </w:pPr>
      <w:r>
        <w:rPr>
          <w:rFonts w:ascii="Simplified Arabic" w:hAnsi="Simplified Arabic" w:cs="Simplified Arabic"/>
          <w:sz w:val="24"/>
          <w:szCs w:val="24"/>
          <w:rtl/>
        </w:rPr>
        <w:t>(</w:t>
      </w:r>
      <w:r>
        <w:rPr>
          <w:rFonts w:ascii="Simplified Arabic" w:hAnsi="Simplified Arabic" w:cs="Simplified Arabic"/>
          <w:sz w:val="24"/>
          <w:szCs w:val="24"/>
        </w:rPr>
        <w:footnoteRef/>
      </w:r>
      <w:r>
        <w:rPr>
          <w:rFonts w:ascii="Simplified Arabic" w:hAnsi="Simplified Arabic" w:cs="Simplified Arabic"/>
          <w:sz w:val="24"/>
          <w:szCs w:val="24"/>
          <w:rtl/>
        </w:rPr>
        <w:t>) وزارة المالية. التقرير المالي الشهري، يناير 2019 مجلد (15) عدد (3). القاهرة. ص 3.</w:t>
      </w:r>
    </w:p>
  </w:footnote>
  <w:footnote w:id="2">
    <w:p w14:paraId="7D32DECA" w14:textId="77777777" w:rsidR="00270E6A" w:rsidRDefault="00270E6A" w:rsidP="003E7AF1">
      <w:pPr>
        <w:pStyle w:val="FootnoteText"/>
        <w:ind w:left="425" w:hanging="425"/>
        <w:jc w:val="both"/>
        <w:rPr>
          <w:rFonts w:ascii="Simplified Arabic" w:hAnsi="Simplified Arabic" w:cs="Simplified Arabic"/>
          <w:sz w:val="24"/>
          <w:szCs w:val="24"/>
          <w:rtl/>
        </w:rPr>
      </w:pPr>
      <w:r>
        <w:rPr>
          <w:rFonts w:ascii="Simplified Arabic" w:hAnsi="Simplified Arabic" w:cs="Simplified Arabic"/>
          <w:sz w:val="24"/>
          <w:szCs w:val="24"/>
          <w:rtl/>
        </w:rPr>
        <w:t>(</w:t>
      </w:r>
      <w:r>
        <w:rPr>
          <w:rFonts w:ascii="Simplified Arabic" w:hAnsi="Simplified Arabic" w:cs="Simplified Arabic"/>
          <w:sz w:val="24"/>
          <w:szCs w:val="24"/>
        </w:rPr>
        <w:footnoteRef/>
      </w:r>
      <w:r>
        <w:rPr>
          <w:rFonts w:ascii="Simplified Arabic" w:hAnsi="Simplified Arabic" w:cs="Simplified Arabic"/>
          <w:sz w:val="24"/>
          <w:szCs w:val="24"/>
          <w:rtl/>
        </w:rPr>
        <w:t>) وفقاً لاتفاقية ماستريخت للاتحاد الأوروبي فإن عجز الموازنة المسموح به في الموازنة العامة للدول الأعضاء يكون في حدود 3% نسبة إلى الناتج المحلي الإجمالي، لمزيد من التفاصيل أنظر:</w:t>
      </w:r>
    </w:p>
    <w:p w14:paraId="2399F866" w14:textId="77777777" w:rsidR="00270E6A" w:rsidRDefault="00270E6A" w:rsidP="0041332D">
      <w:pPr>
        <w:pStyle w:val="FootnoteText"/>
        <w:numPr>
          <w:ilvl w:val="0"/>
          <w:numId w:val="12"/>
        </w:numPr>
        <w:bidi w:val="0"/>
        <w:ind w:left="284" w:hanging="284"/>
        <w:jc w:val="both"/>
        <w:rPr>
          <w:rFonts w:asciiTheme="majorHAnsi" w:hAnsiTheme="majorHAnsi" w:cs="Times New Roman"/>
          <w:shd w:val="clear" w:color="auto" w:fill="FFFFFF"/>
          <w:rtl/>
        </w:rPr>
      </w:pPr>
      <w:r>
        <w:rPr>
          <w:rFonts w:asciiTheme="majorHAnsi" w:hAnsiTheme="majorHAnsi" w:cs="Times New Roman"/>
          <w:sz w:val="24"/>
          <w:szCs w:val="24"/>
          <w:shd w:val="clear" w:color="auto" w:fill="FFFFFF"/>
        </w:rPr>
        <w:t>Torres, Francisco; Giavazzi, Francesco (1996). Adjustment and growth in the European Monetary Union. Cambridge university Press.</w:t>
      </w:r>
    </w:p>
    <w:p w14:paraId="64DB3532" w14:textId="77777777" w:rsidR="00270E6A" w:rsidRDefault="00270E6A" w:rsidP="0041332D">
      <w:pPr>
        <w:pStyle w:val="FootnoteText"/>
        <w:numPr>
          <w:ilvl w:val="0"/>
          <w:numId w:val="12"/>
        </w:numPr>
        <w:bidi w:val="0"/>
        <w:ind w:left="284" w:hanging="284"/>
        <w:jc w:val="both"/>
        <w:rPr>
          <w:rFonts w:asciiTheme="majorHAnsi" w:hAnsiTheme="majorHAnsi" w:cs="Times New Roman"/>
          <w:shd w:val="clear" w:color="auto" w:fill="FFFFFF"/>
        </w:rPr>
      </w:pPr>
      <w:r>
        <w:rPr>
          <w:rFonts w:asciiTheme="majorHAnsi" w:hAnsiTheme="majorHAnsi" w:cs="Times New Roman"/>
          <w:sz w:val="24"/>
          <w:szCs w:val="24"/>
          <w:shd w:val="clear" w:color="auto" w:fill="FFFFFF"/>
        </w:rPr>
        <w:t>Hagen, Jurgen V.; Frieden, Jeffry; Eichengreen, Barry (2012). Monetary and fiscal Policy in an integrated Europe. Springer Science &amp; Business Media. P119.</w:t>
      </w:r>
    </w:p>
  </w:footnote>
  <w:footnote w:id="3">
    <w:p w14:paraId="4894BEB1" w14:textId="77777777" w:rsidR="00270E6A" w:rsidRDefault="00270E6A" w:rsidP="003E7AF1">
      <w:pPr>
        <w:pStyle w:val="FootnoteText"/>
        <w:ind w:left="425" w:hanging="425"/>
        <w:jc w:val="both"/>
        <w:rPr>
          <w:rFonts w:ascii="Simplified Arabic" w:hAnsi="Simplified Arabic" w:cs="Simplified Arabic"/>
          <w:sz w:val="24"/>
          <w:szCs w:val="24"/>
        </w:rPr>
      </w:pPr>
      <w:r>
        <w:rPr>
          <w:rFonts w:ascii="Simplified Arabic" w:hAnsi="Simplified Arabic" w:cs="Simplified Arabic"/>
          <w:sz w:val="24"/>
          <w:szCs w:val="24"/>
          <w:rtl/>
        </w:rPr>
        <w:t>(</w:t>
      </w:r>
      <w:r>
        <w:rPr>
          <w:rFonts w:ascii="Simplified Arabic" w:hAnsi="Simplified Arabic" w:cs="Simplified Arabic"/>
          <w:sz w:val="24"/>
          <w:szCs w:val="24"/>
        </w:rPr>
        <w:footnoteRef/>
      </w:r>
      <w:r>
        <w:rPr>
          <w:rFonts w:ascii="Simplified Arabic" w:hAnsi="Simplified Arabic" w:cs="Simplified Arabic"/>
          <w:sz w:val="24"/>
          <w:szCs w:val="24"/>
          <w:rtl/>
        </w:rPr>
        <w:t xml:space="preserve">) بيانات البنك الدولي منشورة بالموقع الالكتروني </w:t>
      </w:r>
    </w:p>
    <w:p w14:paraId="0D646BFD" w14:textId="77777777" w:rsidR="00270E6A" w:rsidRDefault="00270E6A" w:rsidP="003E7AF1">
      <w:pPr>
        <w:pStyle w:val="FootnoteText"/>
        <w:bidi w:val="0"/>
        <w:jc w:val="both"/>
        <w:rPr>
          <w:rFonts w:asciiTheme="majorHAnsi" w:hAnsiTheme="majorHAnsi" w:cs="Times New Roman"/>
          <w:sz w:val="24"/>
          <w:szCs w:val="24"/>
          <w:shd w:val="clear" w:color="auto" w:fill="FFFFFF"/>
          <w:rtl/>
        </w:rPr>
      </w:pPr>
      <w:hyperlink r:id="rId1" w:history="1">
        <w:r>
          <w:rPr>
            <w:rStyle w:val="Hyperlink"/>
            <w:rFonts w:asciiTheme="majorHAnsi" w:eastAsia="Arial" w:hAnsiTheme="majorHAnsi"/>
            <w:color w:val="auto"/>
            <w:sz w:val="24"/>
            <w:szCs w:val="24"/>
            <w:shd w:val="clear" w:color="auto" w:fill="FFFFFF"/>
          </w:rPr>
          <w:t>https://data.albankaldawli.org/indicator/FP.CPI.TOTL?end=2017&amp;locations=EG&amp;start=1990</w:t>
        </w:r>
      </w:hyperlink>
    </w:p>
  </w:footnote>
  <w:footnote w:id="4">
    <w:p w14:paraId="608F7AA9" w14:textId="77777777" w:rsidR="00270E6A" w:rsidRDefault="00270E6A" w:rsidP="003E7AF1">
      <w:pPr>
        <w:pStyle w:val="FootnoteText"/>
        <w:ind w:left="425" w:hanging="425"/>
        <w:jc w:val="both"/>
        <w:rPr>
          <w:rFonts w:ascii="Simplified Arabic" w:hAnsi="Simplified Arabic" w:cs="Simplified Arabic"/>
          <w:sz w:val="24"/>
          <w:szCs w:val="24"/>
          <w:rtl/>
        </w:rPr>
      </w:pPr>
      <w:r>
        <w:rPr>
          <w:rFonts w:ascii="Simplified Arabic" w:hAnsi="Simplified Arabic" w:cs="Simplified Arabic"/>
          <w:sz w:val="24"/>
          <w:szCs w:val="24"/>
        </w:rPr>
        <w:t>(</w:t>
      </w:r>
      <w:r>
        <w:rPr>
          <w:rFonts w:ascii="Simplified Arabic" w:hAnsi="Simplified Arabic" w:cs="Simplified Arabic"/>
          <w:sz w:val="24"/>
          <w:szCs w:val="24"/>
        </w:rPr>
        <w:footnoteRef/>
      </w:r>
      <w:r>
        <w:rPr>
          <w:rFonts w:ascii="Simplified Arabic" w:hAnsi="Simplified Arabic" w:cs="Simplified Arabic"/>
          <w:sz w:val="24"/>
          <w:szCs w:val="24"/>
        </w:rPr>
        <w:t>)</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عيسوي، ألفت حمدي محمد (2016). محددات التضخم في الاقتصاد المصري خلال الفترة (1990-2014): دراسة قياسية. أطروحة (ماجستير). جامعة القاهرة - كلية الاقتصاد والعلوم السياسية - قسم الاقتصاد.</w:t>
      </w:r>
    </w:p>
  </w:footnote>
  <w:footnote w:id="5">
    <w:p w14:paraId="7B61969C" w14:textId="77777777" w:rsidR="00270E6A" w:rsidRDefault="00270E6A" w:rsidP="003E7AF1">
      <w:pPr>
        <w:pStyle w:val="FootnoteText"/>
        <w:ind w:left="425" w:hanging="425"/>
        <w:jc w:val="both"/>
        <w:rPr>
          <w:rFonts w:ascii="Simplified Arabic" w:hAnsi="Simplified Arabic" w:cs="Simplified Arabic"/>
          <w:sz w:val="24"/>
          <w:szCs w:val="24"/>
        </w:rPr>
      </w:pPr>
      <w:r>
        <w:rPr>
          <w:rFonts w:ascii="Simplified Arabic" w:hAnsi="Simplified Arabic" w:cs="Simplified Arabic"/>
          <w:sz w:val="24"/>
          <w:szCs w:val="24"/>
        </w:rPr>
        <w:t>(</w:t>
      </w:r>
      <w:r>
        <w:rPr>
          <w:rFonts w:ascii="Simplified Arabic" w:hAnsi="Simplified Arabic" w:cs="Simplified Arabic"/>
          <w:sz w:val="24"/>
          <w:szCs w:val="24"/>
        </w:rPr>
        <w:footnoteRef/>
      </w:r>
      <w:r>
        <w:rPr>
          <w:rFonts w:ascii="Simplified Arabic" w:hAnsi="Simplified Arabic" w:cs="Simplified Arabic"/>
          <w:sz w:val="24"/>
          <w:szCs w:val="24"/>
        </w:rPr>
        <w:t>)</w:t>
      </w:r>
      <w:hyperlink r:id="rId2" w:history="1">
        <w:r>
          <w:rPr>
            <w:rStyle w:val="Hyperlink"/>
            <w:rFonts w:ascii="Simplified Arabic" w:eastAsia="Arial" w:hAnsi="Simplified Arabic" w:cs="Simplified Arabic"/>
            <w:color w:val="auto"/>
            <w:sz w:val="24"/>
            <w:szCs w:val="24"/>
            <w:rtl/>
          </w:rPr>
          <w:t xml:space="preserve"> عمران،</w:t>
        </w:r>
      </w:hyperlink>
      <w:r>
        <w:rPr>
          <w:rFonts w:ascii="Simplified Arabic" w:hAnsi="Simplified Arabic" w:cs="Simplified Arabic"/>
          <w:sz w:val="24"/>
          <w:szCs w:val="24"/>
          <w:rtl/>
        </w:rPr>
        <w:t xml:space="preserve"> </w:t>
      </w:r>
      <w:r>
        <w:rPr>
          <w:rFonts w:ascii="Simplified Arabic" w:hAnsi="Simplified Arabic" w:cs="Simplified Arabic" w:hint="cs"/>
          <w:sz w:val="24"/>
          <w:szCs w:val="24"/>
          <w:rtl/>
        </w:rPr>
        <w:t>محمد أحمد على (2016). أثر السياسة الضريبية على التضخم في مصر. أطروحة (دكتوراه) جامعة الأزهر - كلية التجارة بنين - قسم الاقتصاد.</w:t>
      </w:r>
    </w:p>
  </w:footnote>
  <w:footnote w:id="6">
    <w:p w14:paraId="69DBCA1E" w14:textId="77777777" w:rsidR="00270E6A" w:rsidRDefault="00270E6A" w:rsidP="003E7AF1">
      <w:pPr>
        <w:pStyle w:val="FootnoteText"/>
        <w:ind w:left="425" w:hanging="425"/>
        <w:jc w:val="both"/>
        <w:rPr>
          <w:rFonts w:ascii="Simplified Arabic" w:hAnsi="Simplified Arabic" w:cs="Simplified Arabic"/>
          <w:sz w:val="24"/>
          <w:szCs w:val="24"/>
        </w:rPr>
      </w:pPr>
      <w:r>
        <w:rPr>
          <w:rFonts w:ascii="Simplified Arabic" w:hAnsi="Simplified Arabic" w:cs="Simplified Arabic"/>
          <w:sz w:val="24"/>
          <w:szCs w:val="24"/>
        </w:rPr>
        <w:t>(</w:t>
      </w:r>
      <w:r>
        <w:rPr>
          <w:rFonts w:ascii="Simplified Arabic" w:hAnsi="Simplified Arabic" w:cs="Simplified Arabic"/>
          <w:sz w:val="24"/>
          <w:szCs w:val="24"/>
        </w:rPr>
        <w:footnoteRef/>
      </w:r>
      <w:r>
        <w:rPr>
          <w:rFonts w:ascii="Simplified Arabic" w:hAnsi="Simplified Arabic" w:cs="Simplified Arabic"/>
          <w:sz w:val="24"/>
          <w:szCs w:val="24"/>
        </w:rPr>
        <w:t>)</w:t>
      </w:r>
      <w:r>
        <w:rPr>
          <w:rFonts w:ascii="Simplified Arabic" w:hAnsi="Simplified Arabic" w:cs="Simplified Arabic"/>
          <w:sz w:val="24"/>
          <w:szCs w:val="24"/>
          <w:rtl/>
        </w:rPr>
        <w:t xml:space="preserve"> مصطفى، إيمان محمد عبد اللطيف (2013). عجز الموازنة العامة في مصر وطرق تمويله خلال الفترة 2000-2010. أطروحة (دكتوراه). جامعة القاهرة - كلية الاقتصاد والعلوم السياسية - قسم الاقتصاد.</w:t>
      </w:r>
    </w:p>
  </w:footnote>
  <w:footnote w:id="7">
    <w:p w14:paraId="2FE5CD05" w14:textId="77777777" w:rsidR="00270E6A" w:rsidRDefault="00270E6A" w:rsidP="003E7AF1">
      <w:pPr>
        <w:pStyle w:val="FootnoteText"/>
        <w:ind w:left="425" w:hanging="425"/>
        <w:jc w:val="both"/>
        <w:rPr>
          <w:rFonts w:ascii="Simplified Arabic" w:hAnsi="Simplified Arabic" w:cs="Simplified Arabic"/>
          <w:sz w:val="24"/>
          <w:szCs w:val="24"/>
        </w:rPr>
      </w:pPr>
      <w:r>
        <w:rPr>
          <w:rFonts w:ascii="Simplified Arabic" w:hAnsi="Simplified Arabic" w:cs="Simplified Arabic"/>
          <w:sz w:val="24"/>
          <w:szCs w:val="24"/>
        </w:rPr>
        <w:t>(</w:t>
      </w:r>
      <w:r>
        <w:rPr>
          <w:rFonts w:ascii="Simplified Arabic" w:hAnsi="Simplified Arabic" w:cs="Simplified Arabic"/>
          <w:sz w:val="24"/>
          <w:szCs w:val="24"/>
        </w:rPr>
        <w:footnoteRef/>
      </w:r>
      <w:r>
        <w:rPr>
          <w:rFonts w:ascii="Simplified Arabic" w:hAnsi="Simplified Arabic" w:cs="Simplified Arabic"/>
          <w:sz w:val="24"/>
          <w:szCs w:val="24"/>
        </w:rPr>
        <w:t>)</w:t>
      </w:r>
      <w:hyperlink r:id="rId3" w:history="1">
        <w:r>
          <w:rPr>
            <w:rStyle w:val="Hyperlink"/>
            <w:rFonts w:ascii="Simplified Arabic" w:eastAsia="Arial" w:hAnsi="Simplified Arabic" w:cs="Simplified Arabic"/>
            <w:color w:val="auto"/>
            <w:sz w:val="24"/>
            <w:szCs w:val="24"/>
            <w:rtl/>
          </w:rPr>
          <w:t xml:space="preserve"> إسماعيل،</w:t>
        </w:r>
      </w:hyperlink>
      <w:r>
        <w:rPr>
          <w:rFonts w:ascii="Simplified Arabic" w:hAnsi="Simplified Arabic" w:cs="Simplified Arabic"/>
          <w:sz w:val="24"/>
          <w:szCs w:val="24"/>
          <w:rtl/>
        </w:rPr>
        <w:t xml:space="preserve"> عبد الرحيم بهجت محمود (2011). دور سوق المال في مواجهة عجز الموازنة العامة لمصر من 2000-2010. أطروحة (ماجستير) جامعة الدول العربية – المنظمة العربية للتربية والثقافة والعلوم - معهد البحوث والدراسات العربية. القاهرة.</w:t>
      </w:r>
    </w:p>
  </w:footnote>
  <w:footnote w:id="8">
    <w:p w14:paraId="1DF716C7" w14:textId="77777777" w:rsidR="00270E6A" w:rsidRDefault="00270E6A" w:rsidP="003E7AF1">
      <w:pPr>
        <w:pStyle w:val="FootnoteText"/>
        <w:ind w:left="425" w:hanging="425"/>
        <w:jc w:val="both"/>
        <w:rPr>
          <w:rFonts w:ascii="Simplified Arabic" w:hAnsi="Simplified Arabic" w:cs="Simplified Arabic"/>
          <w:sz w:val="24"/>
          <w:szCs w:val="24"/>
        </w:rPr>
      </w:pPr>
      <w:r>
        <w:rPr>
          <w:rFonts w:ascii="Simplified Arabic" w:hAnsi="Simplified Arabic" w:cs="Simplified Arabic"/>
          <w:sz w:val="24"/>
          <w:szCs w:val="24"/>
        </w:rPr>
        <w:t>(</w:t>
      </w:r>
      <w:r>
        <w:rPr>
          <w:rFonts w:ascii="Simplified Arabic" w:hAnsi="Simplified Arabic" w:cs="Simplified Arabic"/>
          <w:sz w:val="24"/>
          <w:szCs w:val="24"/>
        </w:rPr>
        <w:footnoteRef/>
      </w:r>
      <w:r>
        <w:rPr>
          <w:rFonts w:ascii="Simplified Arabic" w:hAnsi="Simplified Arabic" w:cs="Simplified Arabic"/>
          <w:sz w:val="24"/>
          <w:szCs w:val="24"/>
        </w:rPr>
        <w:t>)</w:t>
      </w:r>
      <w:r>
        <w:rPr>
          <w:rFonts w:ascii="Simplified Arabic" w:hAnsi="Simplified Arabic" w:cs="Simplified Arabic"/>
          <w:sz w:val="24"/>
          <w:szCs w:val="24"/>
          <w:rtl/>
        </w:rPr>
        <w:t xml:space="preserve"> معوض، رانيا رمضان (2010). العلاقة بين عجز الموازنة والتضخم في مصر: دراسة تطبيقية (1980-2006). أطروحة (ماجستير). جامعة القاهرة - كلية الاقتصاد والعلوم السياسية - قسم الاقتصاد.</w:t>
      </w:r>
    </w:p>
  </w:footnote>
  <w:footnote w:id="9">
    <w:p w14:paraId="2B31A197" w14:textId="77777777" w:rsidR="00270E6A" w:rsidRDefault="00270E6A" w:rsidP="003E7AF1">
      <w:pPr>
        <w:pStyle w:val="FootnoteText"/>
        <w:bidi w:val="0"/>
        <w:ind w:left="425" w:hanging="425"/>
        <w:jc w:val="both"/>
        <w:rPr>
          <w:rFonts w:asciiTheme="majorHAnsi" w:hAnsiTheme="majorHAnsi" w:cs="Times New Roman"/>
          <w:sz w:val="24"/>
          <w:szCs w:val="24"/>
          <w:shd w:val="clear" w:color="auto" w:fill="FFFFFF"/>
        </w:rPr>
      </w:pPr>
      <w:r>
        <w:rPr>
          <w:rFonts w:asciiTheme="majorHAnsi" w:hAnsiTheme="majorHAnsi" w:cs="Times New Roman"/>
          <w:sz w:val="24"/>
          <w:szCs w:val="24"/>
          <w:shd w:val="clear" w:color="auto" w:fill="FFFFFF"/>
        </w:rPr>
        <w:t>(</w:t>
      </w:r>
      <w:r>
        <w:rPr>
          <w:rFonts w:cs="Times New Roman"/>
          <w:shd w:val="clear" w:color="auto" w:fill="FFFFFF"/>
        </w:rPr>
        <w:footnoteRef/>
      </w:r>
      <w:r>
        <w:rPr>
          <w:rFonts w:asciiTheme="majorHAnsi" w:hAnsiTheme="majorHAnsi" w:cs="Times New Roman"/>
          <w:sz w:val="24"/>
          <w:szCs w:val="24"/>
          <w:shd w:val="clear" w:color="auto" w:fill="FFFFFF"/>
        </w:rPr>
        <w:t>) Kaur, Gurleen (2018). The Relationship between Fiscal Deficit and Inflation in India: A Cointegration Analysis. Journal of Business Thought Vol. 8 April 2017-March 2018.</w:t>
      </w:r>
    </w:p>
  </w:footnote>
  <w:footnote w:id="10">
    <w:p w14:paraId="2A10FAC5" w14:textId="77777777" w:rsidR="00270E6A" w:rsidRDefault="00270E6A" w:rsidP="003E7AF1">
      <w:pPr>
        <w:pStyle w:val="FootnoteText"/>
        <w:bidi w:val="0"/>
        <w:ind w:left="425" w:hanging="425"/>
        <w:jc w:val="both"/>
        <w:rPr>
          <w:rFonts w:asciiTheme="majorHAnsi" w:hAnsiTheme="majorHAnsi" w:cs="Times New Roman"/>
          <w:sz w:val="24"/>
          <w:szCs w:val="24"/>
          <w:shd w:val="clear" w:color="auto" w:fill="FFFFFF"/>
        </w:rPr>
      </w:pPr>
      <w:r>
        <w:rPr>
          <w:rFonts w:asciiTheme="majorHAnsi" w:hAnsiTheme="majorHAnsi" w:cs="Times New Roman"/>
          <w:sz w:val="24"/>
          <w:szCs w:val="24"/>
          <w:shd w:val="clear" w:color="auto" w:fill="FFFFFF"/>
        </w:rPr>
        <w:t>(</w:t>
      </w:r>
      <w:r>
        <w:rPr>
          <w:rFonts w:cs="Times New Roman"/>
          <w:shd w:val="clear" w:color="auto" w:fill="FFFFFF"/>
        </w:rPr>
        <w:footnoteRef/>
      </w:r>
      <w:r>
        <w:rPr>
          <w:rFonts w:asciiTheme="majorHAnsi" w:hAnsiTheme="majorHAnsi" w:cs="Times New Roman"/>
          <w:sz w:val="24"/>
          <w:szCs w:val="24"/>
          <w:shd w:val="clear" w:color="auto" w:fill="FFFFFF"/>
        </w:rPr>
        <w:t>) Dadson, Yvonne Appiah (2015). Examining the Effects of Fiscal Deficits on Inflation in Ghana. Thesis (Master). University of Ghana</w:t>
      </w:r>
      <w:r>
        <w:rPr>
          <w:rFonts w:asciiTheme="majorHAnsi" w:hAnsiTheme="majorHAnsi" w:cs="Times New Roman"/>
          <w:sz w:val="24"/>
          <w:szCs w:val="24"/>
          <w:shd w:val="clear" w:color="auto" w:fill="FFFFFF"/>
          <w:rtl/>
        </w:rPr>
        <w:t>.</w:t>
      </w:r>
    </w:p>
  </w:footnote>
  <w:footnote w:id="11">
    <w:p w14:paraId="68711408" w14:textId="77777777" w:rsidR="00270E6A" w:rsidRDefault="00270E6A" w:rsidP="003E7AF1">
      <w:pPr>
        <w:pStyle w:val="FootnoteText"/>
        <w:bidi w:val="0"/>
        <w:ind w:left="425" w:hanging="425"/>
        <w:jc w:val="both"/>
        <w:rPr>
          <w:rFonts w:asciiTheme="majorHAnsi" w:hAnsiTheme="majorHAnsi" w:cs="Times New Roman"/>
          <w:sz w:val="24"/>
          <w:szCs w:val="24"/>
          <w:shd w:val="clear" w:color="auto" w:fill="FFFFFF"/>
        </w:rPr>
      </w:pPr>
      <w:r>
        <w:rPr>
          <w:rFonts w:asciiTheme="majorHAnsi" w:hAnsiTheme="majorHAnsi" w:cs="Times New Roman"/>
          <w:sz w:val="24"/>
          <w:szCs w:val="24"/>
          <w:shd w:val="clear" w:color="auto" w:fill="FFFFFF"/>
        </w:rPr>
        <w:t>(</w:t>
      </w:r>
      <w:r>
        <w:rPr>
          <w:rFonts w:asciiTheme="majorHAnsi" w:hAnsiTheme="majorHAnsi" w:cs="Times New Roman"/>
          <w:sz w:val="24"/>
          <w:szCs w:val="24"/>
          <w:shd w:val="clear" w:color="auto" w:fill="FFFFFF"/>
        </w:rPr>
        <w:footnoteRef/>
      </w:r>
      <w:r>
        <w:rPr>
          <w:rFonts w:asciiTheme="majorHAnsi" w:hAnsiTheme="majorHAnsi" w:cs="Times New Roman"/>
          <w:sz w:val="24"/>
          <w:szCs w:val="24"/>
          <w:shd w:val="clear" w:color="auto" w:fill="FFFFFF"/>
        </w:rPr>
        <w:t>) Bakare, Ibrahim A.O.; O.A. Adesanya; S.A. Bolarinwa (2014). Empirical Investigation between Budget Deficit, Inflation and Money Supply in Nigeria. European Journal of Business and Social Sciences, Vol. 2, No.12 , pp 120-134, March 2014</w:t>
      </w:r>
      <w:r>
        <w:rPr>
          <w:rFonts w:asciiTheme="majorHAnsi" w:hAnsiTheme="majorHAnsi" w:cs="Times New Roman"/>
          <w:sz w:val="24"/>
          <w:szCs w:val="24"/>
          <w:shd w:val="clear" w:color="auto" w:fill="FFFFFF"/>
          <w:rtl/>
        </w:rPr>
        <w:t>.</w:t>
      </w:r>
    </w:p>
  </w:footnote>
  <w:footnote w:id="12">
    <w:p w14:paraId="551A6726" w14:textId="77777777" w:rsidR="00270E6A" w:rsidRDefault="00270E6A" w:rsidP="003E7AF1">
      <w:pPr>
        <w:pStyle w:val="FootnoteText"/>
        <w:bidi w:val="0"/>
        <w:ind w:left="425" w:hanging="425"/>
        <w:jc w:val="both"/>
        <w:rPr>
          <w:rFonts w:asciiTheme="majorHAnsi" w:hAnsiTheme="majorHAnsi" w:cs="Times New Roman"/>
          <w:sz w:val="24"/>
          <w:szCs w:val="24"/>
          <w:shd w:val="clear" w:color="auto" w:fill="FFFFFF"/>
        </w:rPr>
      </w:pPr>
      <w:r>
        <w:rPr>
          <w:rFonts w:asciiTheme="majorHAnsi" w:hAnsiTheme="majorHAnsi" w:cs="Times New Roman"/>
          <w:sz w:val="24"/>
          <w:szCs w:val="24"/>
          <w:shd w:val="clear" w:color="auto" w:fill="FFFFFF"/>
        </w:rPr>
        <w:t>(</w:t>
      </w:r>
      <w:r>
        <w:rPr>
          <w:rFonts w:asciiTheme="majorHAnsi" w:hAnsiTheme="majorHAnsi" w:cs="Times New Roman"/>
          <w:sz w:val="24"/>
          <w:szCs w:val="24"/>
          <w:shd w:val="clear" w:color="auto" w:fill="FFFFFF"/>
        </w:rPr>
        <w:footnoteRef/>
      </w:r>
      <w:r>
        <w:rPr>
          <w:rFonts w:asciiTheme="majorHAnsi" w:hAnsiTheme="majorHAnsi" w:cs="Times New Roman"/>
          <w:sz w:val="24"/>
          <w:szCs w:val="24"/>
          <w:shd w:val="clear" w:color="auto" w:fill="FFFFFF"/>
        </w:rPr>
        <w:t>) Everton Dockery (2012). The Relationship between Fiscal Deficits and Inflation: Econometric Evidence for Nigeria. Thesis (Master). University of Ghana</w:t>
      </w:r>
      <w:r>
        <w:rPr>
          <w:rFonts w:asciiTheme="majorHAnsi" w:hAnsiTheme="majorHAnsi" w:cs="Times New Roman"/>
          <w:sz w:val="24"/>
          <w:szCs w:val="24"/>
          <w:shd w:val="clear" w:color="auto" w:fill="FFFFFF"/>
          <w:rtl/>
        </w:rPr>
        <w:t>.</w:t>
      </w:r>
    </w:p>
  </w:footnote>
  <w:footnote w:id="13">
    <w:p w14:paraId="70F3FA63" w14:textId="77777777" w:rsidR="00270E6A" w:rsidRDefault="00270E6A" w:rsidP="003E7AF1">
      <w:pPr>
        <w:pStyle w:val="FootnoteText"/>
        <w:bidi w:val="0"/>
        <w:ind w:left="425" w:hanging="425"/>
        <w:jc w:val="both"/>
        <w:rPr>
          <w:rFonts w:asciiTheme="majorHAnsi" w:hAnsiTheme="majorHAnsi" w:cs="Times New Roman"/>
          <w:sz w:val="24"/>
          <w:szCs w:val="24"/>
          <w:shd w:val="clear" w:color="auto" w:fill="FFFFFF"/>
        </w:rPr>
      </w:pPr>
      <w:r>
        <w:rPr>
          <w:rFonts w:asciiTheme="majorHAnsi" w:hAnsiTheme="majorHAnsi" w:cs="Times New Roman"/>
          <w:sz w:val="24"/>
          <w:szCs w:val="24"/>
          <w:shd w:val="clear" w:color="auto" w:fill="FFFFFF"/>
        </w:rPr>
        <w:t>(</w:t>
      </w:r>
      <w:r>
        <w:rPr>
          <w:rFonts w:asciiTheme="majorHAnsi" w:hAnsiTheme="majorHAnsi" w:cs="Times New Roman"/>
          <w:sz w:val="24"/>
          <w:szCs w:val="24"/>
          <w:shd w:val="clear" w:color="auto" w:fill="FFFFFF"/>
        </w:rPr>
        <w:footnoteRef/>
      </w:r>
      <w:r>
        <w:rPr>
          <w:rFonts w:asciiTheme="majorHAnsi" w:hAnsiTheme="majorHAnsi" w:cs="Times New Roman"/>
          <w:sz w:val="24"/>
          <w:szCs w:val="24"/>
          <w:shd w:val="clear" w:color="auto" w:fill="FFFFFF"/>
        </w:rPr>
        <w:t>) Ekanayake, Hemantha K.J. (2012). The Link Between Fiscal Deficit and Inflation: Do public sector wages matter?. Working Paper. The Australian National University - Crawford School of Public Policy - Arndt-Corden Department of Economics</w:t>
      </w:r>
      <w:r>
        <w:rPr>
          <w:rFonts w:asciiTheme="majorHAnsi" w:hAnsiTheme="majorHAnsi" w:cs="Times New Roman"/>
          <w:sz w:val="24"/>
          <w:szCs w:val="24"/>
          <w:shd w:val="clear" w:color="auto" w:fill="FFFFFF"/>
          <w:rtl/>
        </w:rPr>
        <w:t>.</w:t>
      </w:r>
    </w:p>
  </w:footnote>
  <w:footnote w:id="14">
    <w:p w14:paraId="5AD9A325" w14:textId="77777777" w:rsidR="00270E6A" w:rsidRDefault="00270E6A" w:rsidP="003E7AF1">
      <w:pPr>
        <w:pStyle w:val="FootnoteText"/>
        <w:ind w:left="425" w:hanging="425"/>
        <w:jc w:val="both"/>
        <w:rPr>
          <w:rFonts w:ascii="Simplified Arabic" w:hAnsi="Simplified Arabic" w:cs="Simplified Arabic"/>
          <w:sz w:val="24"/>
          <w:szCs w:val="24"/>
        </w:rPr>
      </w:pPr>
      <w:r>
        <w:rPr>
          <w:rFonts w:ascii="Simplified Arabic" w:hAnsi="Simplified Arabic" w:cs="Simplified Arabic"/>
          <w:sz w:val="24"/>
          <w:szCs w:val="24"/>
        </w:rPr>
        <w:t>(</w:t>
      </w:r>
      <w:r>
        <w:rPr>
          <w:rFonts w:ascii="Simplified Arabic" w:hAnsi="Simplified Arabic" w:cs="Simplified Arabic"/>
          <w:sz w:val="24"/>
          <w:szCs w:val="24"/>
        </w:rPr>
        <w:footnoteRef/>
      </w:r>
      <w:r>
        <w:rPr>
          <w:rFonts w:ascii="Simplified Arabic" w:hAnsi="Simplified Arabic" w:cs="Simplified Arabic"/>
          <w:sz w:val="24"/>
          <w:szCs w:val="24"/>
        </w:rPr>
        <w:t>)</w:t>
      </w:r>
      <w:r>
        <w:rPr>
          <w:rFonts w:ascii="Simplified Arabic" w:hAnsi="Simplified Arabic" w:cs="Simplified Arabic"/>
          <w:sz w:val="24"/>
          <w:szCs w:val="24"/>
          <w:rtl/>
        </w:rPr>
        <w:t xml:space="preserve"> عيسوي، ألفت حمدي محمد (2016). مرجع سبق ذكره.</w:t>
      </w:r>
    </w:p>
  </w:footnote>
  <w:footnote w:id="15">
    <w:p w14:paraId="6A54B3F5" w14:textId="77777777" w:rsidR="00270E6A" w:rsidRDefault="00270E6A" w:rsidP="003E7AF1">
      <w:pPr>
        <w:pStyle w:val="FootnoteText"/>
        <w:bidi w:val="0"/>
        <w:ind w:left="425" w:hanging="425"/>
        <w:jc w:val="both"/>
        <w:rPr>
          <w:rFonts w:asciiTheme="majorHAnsi" w:hAnsiTheme="majorHAnsi" w:cs="Times New Roman"/>
          <w:sz w:val="24"/>
          <w:szCs w:val="24"/>
          <w:shd w:val="clear" w:color="auto" w:fill="FFFFFF"/>
        </w:rPr>
      </w:pPr>
      <w:r>
        <w:rPr>
          <w:rFonts w:asciiTheme="majorHAnsi" w:hAnsiTheme="majorHAnsi" w:cs="Times New Roman"/>
          <w:sz w:val="24"/>
          <w:szCs w:val="24"/>
          <w:shd w:val="clear" w:color="auto" w:fill="FFFFFF"/>
        </w:rPr>
        <w:t>(</w:t>
      </w:r>
      <w:r>
        <w:rPr>
          <w:rFonts w:asciiTheme="majorHAnsi" w:hAnsiTheme="majorHAnsi" w:cs="Times New Roman"/>
          <w:sz w:val="24"/>
          <w:szCs w:val="24"/>
          <w:shd w:val="clear" w:color="auto" w:fill="FFFFFF"/>
        </w:rPr>
        <w:footnoteRef/>
      </w:r>
      <w:r>
        <w:rPr>
          <w:rFonts w:asciiTheme="majorHAnsi" w:hAnsiTheme="majorHAnsi" w:cs="Times New Roman"/>
          <w:sz w:val="24"/>
          <w:szCs w:val="24"/>
          <w:shd w:val="clear" w:color="auto" w:fill="FFFFFF"/>
        </w:rPr>
        <w:t>) Vector Auto Regression Model</w:t>
      </w:r>
      <w:r>
        <w:rPr>
          <w:rFonts w:asciiTheme="majorHAnsi" w:hAnsiTheme="majorHAnsi" w:cs="Times New Roman"/>
          <w:sz w:val="24"/>
          <w:szCs w:val="24"/>
          <w:shd w:val="clear" w:color="auto" w:fill="FFFFFF"/>
          <w:rtl/>
        </w:rPr>
        <w:t>.</w:t>
      </w:r>
    </w:p>
  </w:footnote>
  <w:footnote w:id="16">
    <w:p w14:paraId="4E889EF6" w14:textId="77777777" w:rsidR="00270E6A" w:rsidRDefault="00270E6A" w:rsidP="003E7AF1">
      <w:pPr>
        <w:pStyle w:val="FootnoteText"/>
        <w:ind w:left="425" w:hanging="425"/>
        <w:jc w:val="both"/>
        <w:rPr>
          <w:rFonts w:ascii="Simplified Arabic" w:hAnsi="Simplified Arabic" w:cs="Simplified Arabic"/>
          <w:sz w:val="24"/>
          <w:szCs w:val="24"/>
        </w:rPr>
      </w:pPr>
      <w:r>
        <w:rPr>
          <w:rFonts w:ascii="Simplified Arabic" w:hAnsi="Simplified Arabic" w:cs="Simplified Arabic"/>
          <w:sz w:val="24"/>
          <w:szCs w:val="24"/>
        </w:rPr>
        <w:t>(</w:t>
      </w:r>
      <w:r>
        <w:rPr>
          <w:rFonts w:ascii="Simplified Arabic" w:hAnsi="Simplified Arabic" w:cs="Simplified Arabic"/>
          <w:sz w:val="24"/>
          <w:szCs w:val="24"/>
        </w:rPr>
        <w:footnoteRef/>
      </w:r>
      <w:r>
        <w:rPr>
          <w:rFonts w:ascii="Simplified Arabic" w:hAnsi="Simplified Arabic" w:cs="Simplified Arabic"/>
          <w:sz w:val="24"/>
          <w:szCs w:val="24"/>
        </w:rPr>
        <w:t>)</w:t>
      </w:r>
      <w:r>
        <w:rPr>
          <w:rFonts w:ascii="Simplified Arabic" w:hAnsi="Simplified Arabic" w:cs="Simplified Arabic"/>
          <w:sz w:val="24"/>
          <w:szCs w:val="24"/>
          <w:rtl/>
        </w:rPr>
        <w:t xml:space="preserve"> بكر، إلهام حسن عبد الرحمن (2015). تحليل دور السياسات المالية والنقدية في علاج مشكلة الركود التضخمي مع الإشارة إلى مصر خلال الفترة (1990-2010). أطروحة (ماجستير). جامعة دمنهور – كلية التجارة – قسم الاقتصاد.</w:t>
      </w:r>
    </w:p>
  </w:footnote>
  <w:footnote w:id="17">
    <w:p w14:paraId="6A471EDA" w14:textId="77777777" w:rsidR="00270E6A" w:rsidRDefault="00270E6A" w:rsidP="003E7AF1">
      <w:pPr>
        <w:pStyle w:val="FootnoteText"/>
        <w:bidi w:val="0"/>
        <w:ind w:left="425" w:hanging="425"/>
        <w:jc w:val="both"/>
        <w:rPr>
          <w:rFonts w:asciiTheme="majorHAnsi" w:hAnsiTheme="majorHAnsi" w:cs="Times New Roman"/>
          <w:sz w:val="24"/>
          <w:szCs w:val="24"/>
          <w:shd w:val="clear" w:color="auto" w:fill="FFFFFF"/>
        </w:rPr>
      </w:pPr>
      <w:r>
        <w:rPr>
          <w:rFonts w:asciiTheme="majorHAnsi" w:hAnsiTheme="majorHAnsi" w:cs="Times New Roman"/>
          <w:sz w:val="24"/>
          <w:szCs w:val="24"/>
          <w:shd w:val="clear" w:color="auto" w:fill="FFFFFF"/>
        </w:rPr>
        <w:t>(</w:t>
      </w:r>
      <w:r>
        <w:rPr>
          <w:rFonts w:asciiTheme="majorHAnsi" w:hAnsiTheme="majorHAnsi" w:cs="Times New Roman"/>
          <w:sz w:val="24"/>
          <w:szCs w:val="24"/>
          <w:shd w:val="clear" w:color="auto" w:fill="FFFFFF"/>
        </w:rPr>
        <w:footnoteRef/>
      </w:r>
      <w:r>
        <w:rPr>
          <w:rFonts w:asciiTheme="majorHAnsi" w:hAnsiTheme="majorHAnsi" w:cs="Times New Roman"/>
          <w:sz w:val="24"/>
          <w:szCs w:val="24"/>
          <w:shd w:val="clear" w:color="auto" w:fill="FFFFFF"/>
        </w:rPr>
        <w:t>)Ordinary Least Squares</w:t>
      </w:r>
      <w:r>
        <w:rPr>
          <w:rFonts w:asciiTheme="majorHAnsi" w:hAnsiTheme="majorHAnsi" w:cs="Times New Roman"/>
          <w:sz w:val="24"/>
          <w:szCs w:val="24"/>
          <w:shd w:val="clear" w:color="auto" w:fill="FFFFFF"/>
          <w:rtl/>
        </w:rPr>
        <w:t>.</w:t>
      </w:r>
    </w:p>
  </w:footnote>
  <w:footnote w:id="18">
    <w:p w14:paraId="45778915" w14:textId="77777777" w:rsidR="00270E6A" w:rsidRDefault="00270E6A" w:rsidP="003E7AF1">
      <w:pPr>
        <w:pStyle w:val="FootnoteText"/>
        <w:ind w:left="425" w:hanging="425"/>
        <w:jc w:val="both"/>
        <w:rPr>
          <w:rFonts w:ascii="Simplified Arabic" w:hAnsi="Simplified Arabic" w:cs="Simplified Arabic"/>
          <w:sz w:val="24"/>
          <w:szCs w:val="24"/>
        </w:rPr>
      </w:pPr>
      <w:r>
        <w:rPr>
          <w:rFonts w:ascii="Simplified Arabic" w:hAnsi="Simplified Arabic" w:cs="Simplified Arabic"/>
          <w:sz w:val="24"/>
          <w:szCs w:val="24"/>
        </w:rPr>
        <w:t>(</w:t>
      </w:r>
      <w:r>
        <w:rPr>
          <w:rFonts w:ascii="Simplified Arabic" w:hAnsi="Simplified Arabic" w:cs="Simplified Arabic"/>
          <w:sz w:val="24"/>
          <w:szCs w:val="24"/>
        </w:rPr>
        <w:footnoteRef/>
      </w:r>
      <w:r>
        <w:rPr>
          <w:rFonts w:ascii="Simplified Arabic" w:hAnsi="Simplified Arabic" w:cs="Simplified Arabic"/>
          <w:sz w:val="24"/>
          <w:szCs w:val="24"/>
        </w:rPr>
        <w:t>)</w:t>
      </w:r>
      <w:r>
        <w:rPr>
          <w:rFonts w:ascii="Simplified Arabic" w:hAnsi="Simplified Arabic" w:cs="Simplified Arabic"/>
          <w:sz w:val="24"/>
          <w:szCs w:val="24"/>
          <w:rtl/>
        </w:rPr>
        <w:t xml:space="preserve"> معدل الركود التضخمي= معدل البطالة + معدل التضخم.</w:t>
      </w:r>
    </w:p>
  </w:footnote>
  <w:footnote w:id="19">
    <w:p w14:paraId="15D2B616" w14:textId="77777777" w:rsidR="00270E6A" w:rsidRDefault="00270E6A" w:rsidP="003E7AF1">
      <w:pPr>
        <w:pStyle w:val="FootnoteText"/>
        <w:bidi w:val="0"/>
        <w:ind w:left="425" w:hanging="425"/>
        <w:jc w:val="both"/>
        <w:rPr>
          <w:rFonts w:asciiTheme="majorHAnsi" w:hAnsiTheme="majorHAnsi" w:cs="Times New Roman"/>
          <w:sz w:val="24"/>
          <w:szCs w:val="24"/>
          <w:shd w:val="clear" w:color="auto" w:fill="FFFFFF"/>
          <w:rtl/>
        </w:rPr>
      </w:pPr>
      <w:r>
        <w:rPr>
          <w:rFonts w:asciiTheme="majorHAnsi" w:hAnsiTheme="majorHAnsi" w:cs="Times New Roman"/>
          <w:sz w:val="24"/>
          <w:szCs w:val="24"/>
          <w:shd w:val="clear" w:color="auto" w:fill="FFFFFF"/>
        </w:rPr>
        <w:t>(</w:t>
      </w:r>
      <w:r>
        <w:rPr>
          <w:rFonts w:asciiTheme="majorHAnsi" w:hAnsiTheme="majorHAnsi" w:cs="Times New Roman"/>
          <w:sz w:val="24"/>
          <w:szCs w:val="24"/>
          <w:shd w:val="clear" w:color="auto" w:fill="FFFFFF"/>
        </w:rPr>
        <w:footnoteRef/>
      </w:r>
      <w:r>
        <w:rPr>
          <w:rFonts w:asciiTheme="majorHAnsi" w:hAnsiTheme="majorHAnsi" w:cs="Times New Roman"/>
          <w:sz w:val="24"/>
          <w:szCs w:val="24"/>
          <w:shd w:val="clear" w:color="auto" w:fill="FFFFFF"/>
        </w:rPr>
        <w:t>) Bakare, Ibrahim A.O.; O.A. Adesanya; S.A. Bolarinwa (2014). op. cit</w:t>
      </w:r>
      <w:r>
        <w:rPr>
          <w:rFonts w:asciiTheme="majorHAnsi" w:hAnsiTheme="majorHAnsi" w:cs="Times New Roman"/>
          <w:sz w:val="24"/>
          <w:szCs w:val="24"/>
          <w:shd w:val="clear" w:color="auto" w:fill="FFFFFF"/>
          <w:rtl/>
        </w:rPr>
        <w:t xml:space="preserve">. </w:t>
      </w:r>
      <w:r>
        <w:rPr>
          <w:rFonts w:asciiTheme="majorHAnsi" w:hAnsiTheme="majorHAnsi" w:cs="Times New Roman"/>
          <w:sz w:val="24"/>
          <w:szCs w:val="24"/>
          <w:shd w:val="clear" w:color="auto" w:fill="FFFFFF"/>
        </w:rPr>
        <w:t>Bakare</w:t>
      </w:r>
      <w:r>
        <w:rPr>
          <w:rFonts w:asciiTheme="majorHAnsi" w:hAnsiTheme="majorHAnsi" w:cs="Times New Roman"/>
          <w:sz w:val="24"/>
          <w:szCs w:val="24"/>
          <w:shd w:val="clear" w:color="auto" w:fill="FFFFFF"/>
          <w:rtl/>
        </w:rPr>
        <w:t>.</w:t>
      </w:r>
    </w:p>
  </w:footnote>
  <w:footnote w:id="20">
    <w:p w14:paraId="4FA01A18" w14:textId="77777777" w:rsidR="00270E6A" w:rsidRDefault="00270E6A" w:rsidP="003E7AF1">
      <w:pPr>
        <w:pStyle w:val="FootnoteText"/>
        <w:bidi w:val="0"/>
        <w:ind w:left="425" w:hanging="425"/>
        <w:jc w:val="both"/>
        <w:rPr>
          <w:rFonts w:asciiTheme="majorHAnsi" w:hAnsiTheme="majorHAnsi" w:cs="Times New Roman"/>
          <w:sz w:val="24"/>
          <w:szCs w:val="24"/>
          <w:shd w:val="clear" w:color="auto" w:fill="FFFFFF"/>
        </w:rPr>
      </w:pPr>
      <w:r>
        <w:rPr>
          <w:rFonts w:asciiTheme="majorHAnsi" w:hAnsiTheme="majorHAnsi" w:cs="Times New Roman"/>
          <w:sz w:val="24"/>
          <w:szCs w:val="24"/>
          <w:shd w:val="clear" w:color="auto" w:fill="FFFFFF"/>
        </w:rPr>
        <w:t>(</w:t>
      </w:r>
      <w:r>
        <w:rPr>
          <w:rFonts w:asciiTheme="majorHAnsi" w:hAnsiTheme="majorHAnsi" w:cs="Times New Roman"/>
          <w:sz w:val="24"/>
          <w:szCs w:val="24"/>
          <w:shd w:val="clear" w:color="auto" w:fill="FFFFFF"/>
        </w:rPr>
        <w:footnoteRef/>
      </w:r>
      <w:r>
        <w:rPr>
          <w:rFonts w:asciiTheme="majorHAnsi" w:hAnsiTheme="majorHAnsi" w:cs="Times New Roman"/>
          <w:sz w:val="24"/>
          <w:szCs w:val="24"/>
          <w:shd w:val="clear" w:color="auto" w:fill="FFFFFF"/>
        </w:rPr>
        <w:t>) Error Correction Model</w:t>
      </w:r>
      <w:r>
        <w:rPr>
          <w:rFonts w:asciiTheme="majorHAnsi" w:hAnsiTheme="majorHAnsi" w:cs="Times New Roman"/>
          <w:sz w:val="24"/>
          <w:szCs w:val="24"/>
          <w:shd w:val="clear" w:color="auto" w:fill="FFFFFF"/>
          <w:rtl/>
        </w:rPr>
        <w:t>.</w:t>
      </w:r>
    </w:p>
  </w:footnote>
  <w:footnote w:id="21">
    <w:p w14:paraId="4C15FC16" w14:textId="77777777" w:rsidR="00270E6A" w:rsidRDefault="00270E6A" w:rsidP="003E7AF1">
      <w:pPr>
        <w:pStyle w:val="FootnoteText"/>
        <w:ind w:left="425" w:hanging="425"/>
        <w:jc w:val="both"/>
        <w:rPr>
          <w:rFonts w:ascii="Simplified Arabic" w:hAnsi="Simplified Arabic" w:cs="Simplified Arabic"/>
          <w:sz w:val="24"/>
          <w:szCs w:val="24"/>
        </w:rPr>
      </w:pPr>
      <w:r>
        <w:rPr>
          <w:rFonts w:ascii="Simplified Arabic" w:hAnsi="Simplified Arabic" w:cs="Simplified Arabic"/>
          <w:sz w:val="24"/>
          <w:szCs w:val="24"/>
        </w:rPr>
        <w:t>(</w:t>
      </w:r>
      <w:r>
        <w:rPr>
          <w:rFonts w:ascii="Simplified Arabic" w:hAnsi="Simplified Arabic" w:cs="Simplified Arabic"/>
          <w:sz w:val="24"/>
          <w:szCs w:val="24"/>
        </w:rPr>
        <w:footnoteRef/>
      </w:r>
      <w:r>
        <w:rPr>
          <w:rFonts w:ascii="Simplified Arabic" w:hAnsi="Simplified Arabic" w:cs="Simplified Arabic"/>
          <w:sz w:val="24"/>
          <w:szCs w:val="24"/>
        </w:rPr>
        <w:t>)</w:t>
      </w:r>
      <w:r>
        <w:rPr>
          <w:rFonts w:ascii="Simplified Arabic" w:hAnsi="Simplified Arabic" w:cs="Simplified Arabic"/>
          <w:sz w:val="24"/>
          <w:szCs w:val="24"/>
          <w:rtl/>
        </w:rPr>
        <w:t xml:space="preserve"> الزهوى، حسين عبد المنعم حسين (2010). دراسة اقتصادية قياسية لمحددات التضخم في مصر خلال الفترة 1986 - 2006. اطروحة (ماجستير) - جامعة القاهرة. كلية الاقتصاد والعلوم السياسية. قسم الاقتصاد.</w:t>
      </w:r>
    </w:p>
  </w:footnote>
  <w:footnote w:id="22">
    <w:p w14:paraId="0274AB04" w14:textId="77777777" w:rsidR="00270E6A" w:rsidRDefault="00270E6A" w:rsidP="003E7AF1">
      <w:pPr>
        <w:pStyle w:val="FootnoteText"/>
        <w:ind w:left="425" w:hanging="425"/>
        <w:jc w:val="both"/>
        <w:rPr>
          <w:rFonts w:ascii="Simplified Arabic" w:hAnsi="Simplified Arabic" w:cs="Simplified Arabic"/>
          <w:sz w:val="24"/>
          <w:szCs w:val="24"/>
        </w:rPr>
      </w:pPr>
      <w:r>
        <w:rPr>
          <w:rFonts w:ascii="Simplified Arabic" w:hAnsi="Simplified Arabic" w:cs="Simplified Arabic"/>
          <w:sz w:val="24"/>
          <w:szCs w:val="24"/>
        </w:rPr>
        <w:t>(</w:t>
      </w:r>
      <w:r>
        <w:rPr>
          <w:rFonts w:ascii="Simplified Arabic" w:hAnsi="Simplified Arabic" w:cs="Simplified Arabic"/>
          <w:sz w:val="24"/>
          <w:szCs w:val="24"/>
        </w:rPr>
        <w:footnoteRef/>
      </w:r>
      <w:r>
        <w:rPr>
          <w:rFonts w:ascii="Simplified Arabic" w:hAnsi="Simplified Arabic" w:cs="Simplified Arabic"/>
          <w:sz w:val="24"/>
          <w:szCs w:val="24"/>
        </w:rPr>
        <w:t>)</w:t>
      </w:r>
      <w:r>
        <w:rPr>
          <w:rFonts w:ascii="Simplified Arabic" w:hAnsi="Simplified Arabic" w:cs="Simplified Arabic"/>
          <w:sz w:val="24"/>
          <w:szCs w:val="24"/>
          <w:rtl/>
        </w:rPr>
        <w:t xml:space="preserve"> معوض، رانيا (2010). مرجع سبق ذكره. </w:t>
      </w:r>
    </w:p>
  </w:footnote>
  <w:footnote w:id="23">
    <w:p w14:paraId="50D175D2" w14:textId="77777777" w:rsidR="00270E6A" w:rsidRDefault="00270E6A" w:rsidP="003E7AF1">
      <w:pPr>
        <w:pStyle w:val="FootnoteText"/>
        <w:bidi w:val="0"/>
        <w:ind w:left="425" w:hanging="425"/>
        <w:jc w:val="both"/>
        <w:rPr>
          <w:rFonts w:asciiTheme="majorHAnsi" w:hAnsiTheme="majorHAnsi" w:cs="Times New Roman"/>
          <w:sz w:val="24"/>
          <w:szCs w:val="24"/>
          <w:shd w:val="clear" w:color="auto" w:fill="FFFFFF"/>
          <w:rtl/>
        </w:rPr>
      </w:pPr>
      <w:r>
        <w:rPr>
          <w:rFonts w:asciiTheme="majorHAnsi" w:hAnsiTheme="majorHAnsi" w:cs="Times New Roman"/>
          <w:sz w:val="24"/>
          <w:szCs w:val="24"/>
          <w:shd w:val="clear" w:color="auto" w:fill="FFFFFF"/>
        </w:rPr>
        <w:t>(</w:t>
      </w:r>
      <w:r>
        <w:rPr>
          <w:rFonts w:asciiTheme="majorHAnsi" w:hAnsiTheme="majorHAnsi" w:cs="Times New Roman"/>
          <w:sz w:val="24"/>
          <w:szCs w:val="24"/>
          <w:shd w:val="clear" w:color="auto" w:fill="FFFFFF"/>
        </w:rPr>
        <w:footnoteRef/>
      </w:r>
      <w:r>
        <w:rPr>
          <w:rFonts w:asciiTheme="majorHAnsi" w:hAnsiTheme="majorHAnsi" w:cs="Times New Roman"/>
          <w:sz w:val="24"/>
          <w:szCs w:val="24"/>
          <w:shd w:val="clear" w:color="auto" w:fill="FFFFFF"/>
        </w:rPr>
        <w:t>)</w:t>
      </w:r>
      <w:r>
        <w:rPr>
          <w:rFonts w:asciiTheme="majorHAnsi" w:hAnsiTheme="majorHAnsi" w:cs="Times New Roman"/>
          <w:sz w:val="24"/>
          <w:szCs w:val="24"/>
          <w:shd w:val="clear" w:color="auto" w:fill="FFFFFF"/>
          <w:rtl/>
        </w:rPr>
        <w:t xml:space="preserve"> </w:t>
      </w:r>
      <w:r>
        <w:rPr>
          <w:rFonts w:asciiTheme="majorHAnsi" w:hAnsiTheme="majorHAnsi" w:cs="Times New Roman"/>
          <w:sz w:val="24"/>
          <w:szCs w:val="24"/>
          <w:shd w:val="clear" w:color="auto" w:fill="FFFFFF"/>
        </w:rPr>
        <w:t xml:space="preserve">Omneia A. Helmy (November 2008). The Impact of budget Deficit on Inflation in Egypt. Working Paper No. 141. The Egyptian Center for Economic studies.  </w:t>
      </w:r>
    </w:p>
  </w:footnote>
  <w:footnote w:id="24">
    <w:p w14:paraId="0EA1CA11" w14:textId="77777777" w:rsidR="00270E6A" w:rsidRDefault="00270E6A" w:rsidP="003E7AF1">
      <w:pPr>
        <w:pStyle w:val="FootnoteText"/>
        <w:bidi w:val="0"/>
        <w:ind w:left="425" w:hanging="425"/>
        <w:jc w:val="both"/>
        <w:rPr>
          <w:rFonts w:asciiTheme="majorHAnsi" w:hAnsiTheme="majorHAnsi" w:cs="Times New Roman"/>
          <w:sz w:val="24"/>
          <w:szCs w:val="24"/>
          <w:shd w:val="clear" w:color="auto" w:fill="FFFFFF"/>
        </w:rPr>
      </w:pPr>
      <w:r>
        <w:rPr>
          <w:rFonts w:asciiTheme="majorHAnsi" w:hAnsiTheme="majorHAnsi" w:cs="Times New Roman"/>
          <w:sz w:val="24"/>
          <w:szCs w:val="24"/>
          <w:shd w:val="clear" w:color="auto" w:fill="FFFFFF"/>
        </w:rPr>
        <w:t>(</w:t>
      </w:r>
      <w:r>
        <w:rPr>
          <w:rFonts w:asciiTheme="majorHAnsi" w:hAnsiTheme="majorHAnsi" w:cs="Times New Roman"/>
          <w:sz w:val="24"/>
          <w:szCs w:val="24"/>
          <w:shd w:val="clear" w:color="auto" w:fill="FFFFFF"/>
        </w:rPr>
        <w:footnoteRef/>
      </w:r>
      <w:r>
        <w:rPr>
          <w:rFonts w:asciiTheme="majorHAnsi" w:hAnsiTheme="majorHAnsi" w:cs="Times New Roman"/>
          <w:sz w:val="24"/>
          <w:szCs w:val="24"/>
          <w:shd w:val="clear" w:color="auto" w:fill="FFFFFF"/>
        </w:rPr>
        <w:t>) Vector Error Correction Model</w:t>
      </w:r>
      <w:r>
        <w:rPr>
          <w:rFonts w:asciiTheme="majorHAnsi" w:hAnsiTheme="majorHAnsi" w:cs="Times New Roman"/>
          <w:sz w:val="24"/>
          <w:szCs w:val="24"/>
          <w:shd w:val="clear" w:color="auto" w:fill="FFFFFF"/>
          <w:rtl/>
        </w:rPr>
        <w:t>.</w:t>
      </w:r>
    </w:p>
  </w:footnote>
  <w:footnote w:id="25">
    <w:p w14:paraId="6FD1B14F" w14:textId="77777777" w:rsidR="00270E6A" w:rsidRDefault="00270E6A" w:rsidP="003E7AF1">
      <w:pPr>
        <w:pStyle w:val="FootnoteText"/>
        <w:bidi w:val="0"/>
        <w:ind w:left="425" w:hanging="425"/>
        <w:jc w:val="both"/>
        <w:rPr>
          <w:rFonts w:asciiTheme="majorHAnsi" w:hAnsiTheme="majorHAnsi" w:cs="Times New Roman"/>
          <w:sz w:val="24"/>
          <w:szCs w:val="24"/>
          <w:shd w:val="clear" w:color="auto" w:fill="FFFFFF"/>
        </w:rPr>
      </w:pPr>
      <w:r>
        <w:rPr>
          <w:rFonts w:asciiTheme="majorHAnsi" w:hAnsiTheme="majorHAnsi" w:cs="Times New Roman"/>
          <w:sz w:val="24"/>
          <w:szCs w:val="24"/>
          <w:shd w:val="clear" w:color="auto" w:fill="FFFFFF"/>
        </w:rPr>
        <w:t>(</w:t>
      </w:r>
      <w:r>
        <w:rPr>
          <w:rFonts w:asciiTheme="majorHAnsi" w:hAnsiTheme="majorHAnsi" w:cs="Times New Roman"/>
          <w:sz w:val="24"/>
          <w:szCs w:val="24"/>
          <w:shd w:val="clear" w:color="auto" w:fill="FFFFFF"/>
        </w:rPr>
        <w:footnoteRef/>
      </w:r>
      <w:r>
        <w:rPr>
          <w:rFonts w:asciiTheme="majorHAnsi" w:hAnsiTheme="majorHAnsi" w:cs="Times New Roman"/>
          <w:sz w:val="24"/>
          <w:szCs w:val="24"/>
          <w:shd w:val="clear" w:color="auto" w:fill="FFFFFF"/>
        </w:rPr>
        <w:t>) Solomon, M; Wet, W. A. (2004). The Effect of a budget Deficit on Inflation: The Case of Tanzania. Sajems Ns Vol. 7 No. 1. PP 100 116.</w:t>
      </w:r>
    </w:p>
  </w:footnote>
  <w:footnote w:id="26">
    <w:p w14:paraId="5A235C34" w14:textId="77777777" w:rsidR="00270E6A" w:rsidRPr="000703BD" w:rsidRDefault="00270E6A" w:rsidP="002959BC">
      <w:pPr>
        <w:pStyle w:val="FootnoteText"/>
        <w:ind w:left="425" w:hanging="425"/>
        <w:jc w:val="both"/>
        <w:rPr>
          <w:rFonts w:ascii="Simplified Arabic" w:hAnsi="Simplified Arabic" w:cs="Simplified Arabic"/>
          <w:rtl/>
        </w:rPr>
      </w:pPr>
      <w:r w:rsidRPr="000703BD">
        <w:rPr>
          <w:rFonts w:ascii="Simplified Arabic" w:hAnsi="Simplified Arabic" w:cs="Simplified Arabic"/>
          <w:rtl/>
        </w:rPr>
        <w:t>(</w:t>
      </w:r>
      <w:r w:rsidRPr="000703BD">
        <w:rPr>
          <w:rFonts w:ascii="Simplified Arabic" w:hAnsi="Simplified Arabic" w:cs="Simplified Arabic"/>
        </w:rPr>
        <w:footnoteRef/>
      </w:r>
      <w:r w:rsidRPr="000703BD">
        <w:rPr>
          <w:rFonts w:ascii="Simplified Arabic" w:hAnsi="Simplified Arabic" w:cs="Simplified Arabic"/>
          <w:rtl/>
        </w:rPr>
        <w:t>)</w:t>
      </w:r>
      <w:r w:rsidRPr="000703BD">
        <w:rPr>
          <w:rFonts w:ascii="Simplified Arabic" w:hAnsi="Simplified Arabic" w:cs="Simplified Arabic" w:hint="cs"/>
          <w:rtl/>
        </w:rPr>
        <w:t xml:space="preserve"> تعرف العلاقة بين كل من عجز الموازنة العامة للدولة والتضخم في الأدبيات الاقتصادية بأثر "أوليفرا </w:t>
      </w:r>
      <w:r w:rsidRPr="000703BD">
        <w:rPr>
          <w:rFonts w:ascii="Simplified Arabic" w:hAnsi="Simplified Arabic" w:cs="Simplified Arabic"/>
          <w:rtl/>
        </w:rPr>
        <w:t>–</w:t>
      </w:r>
      <w:r w:rsidRPr="000703BD">
        <w:rPr>
          <w:rFonts w:ascii="Simplified Arabic" w:hAnsi="Simplified Arabic" w:cs="Simplified Arabic" w:hint="cs"/>
          <w:rtl/>
        </w:rPr>
        <w:t xml:space="preserve"> تانزي" نظراً لمساهمة كل من </w:t>
      </w:r>
      <w:r w:rsidRPr="000703BD">
        <w:rPr>
          <w:rFonts w:ascii="Simplified Arabic" w:hAnsi="Simplified Arabic" w:cs="Simplified Arabic"/>
        </w:rPr>
        <w:t>Julio Olivera</w:t>
      </w:r>
      <w:r w:rsidRPr="000703BD">
        <w:rPr>
          <w:rFonts w:ascii="Simplified Arabic" w:hAnsi="Simplified Arabic" w:cs="Simplified Arabic"/>
          <w:rtl/>
        </w:rPr>
        <w:t xml:space="preserve"> </w:t>
      </w:r>
      <w:r w:rsidRPr="000703BD">
        <w:rPr>
          <w:rFonts w:ascii="Simplified Arabic" w:hAnsi="Simplified Arabic" w:cs="Simplified Arabic" w:hint="cs"/>
          <w:rtl/>
        </w:rPr>
        <w:t>و</w:t>
      </w:r>
      <w:r w:rsidRPr="000703BD">
        <w:rPr>
          <w:rFonts w:ascii="Simplified Arabic" w:hAnsi="Simplified Arabic" w:cs="Simplified Arabic"/>
        </w:rPr>
        <w:t>Vito Tanzi</w:t>
      </w:r>
      <w:r w:rsidRPr="000703BD">
        <w:rPr>
          <w:rFonts w:ascii="Simplified Arabic" w:hAnsi="Simplified Arabic" w:cs="Simplified Arabic"/>
          <w:rtl/>
        </w:rPr>
        <w:t xml:space="preserve"> </w:t>
      </w:r>
      <w:r w:rsidRPr="000703BD">
        <w:rPr>
          <w:rFonts w:ascii="Simplified Arabic" w:hAnsi="Simplified Arabic" w:cs="Simplified Arabic" w:hint="cs"/>
          <w:rtl/>
        </w:rPr>
        <w:t>في إثبات العلاقة بين كل من عجز الموازنة العامة للدولة والتضخم، لمزيد من التفصيل:</w:t>
      </w:r>
    </w:p>
    <w:p w14:paraId="19950C3D" w14:textId="77777777" w:rsidR="00270E6A" w:rsidRPr="000703BD" w:rsidRDefault="00270E6A" w:rsidP="0041332D">
      <w:pPr>
        <w:pStyle w:val="FootnoteText"/>
        <w:numPr>
          <w:ilvl w:val="0"/>
          <w:numId w:val="13"/>
        </w:numPr>
        <w:bidi w:val="0"/>
        <w:ind w:left="284" w:hanging="284"/>
        <w:jc w:val="both"/>
        <w:rPr>
          <w:rFonts w:asciiTheme="majorHAnsi" w:hAnsiTheme="majorHAnsi" w:cs="Times New Roman"/>
          <w:shd w:val="clear" w:color="auto" w:fill="FFFFFF"/>
        </w:rPr>
      </w:pPr>
      <w:r w:rsidRPr="000703BD">
        <w:rPr>
          <w:rFonts w:asciiTheme="majorHAnsi" w:hAnsiTheme="majorHAnsi" w:cs="Times New Roman"/>
          <w:shd w:val="clear" w:color="auto" w:fill="FFFFFF"/>
        </w:rPr>
        <w:t>Olivera, Julio G. H. Money, Prices and Fiscal Lags: A Note on the Dynamics of Inflation, Quarterly Review, vol. 20, Banca Nazionale del Lavoro, 1967, pp. 258-267.</w:t>
      </w:r>
    </w:p>
    <w:p w14:paraId="06032F5E" w14:textId="77777777" w:rsidR="00270E6A" w:rsidRPr="000703BD" w:rsidRDefault="00270E6A" w:rsidP="0041332D">
      <w:pPr>
        <w:pStyle w:val="FootnoteText"/>
        <w:numPr>
          <w:ilvl w:val="0"/>
          <w:numId w:val="13"/>
        </w:numPr>
        <w:bidi w:val="0"/>
        <w:ind w:left="284" w:hanging="284"/>
        <w:jc w:val="both"/>
        <w:rPr>
          <w:rFonts w:asciiTheme="majorHAnsi" w:hAnsiTheme="majorHAnsi" w:cs="Times New Roman"/>
          <w:shd w:val="clear" w:color="auto" w:fill="FFFFFF"/>
          <w:rtl/>
        </w:rPr>
      </w:pPr>
      <w:r w:rsidRPr="000703BD">
        <w:rPr>
          <w:rFonts w:asciiTheme="majorHAnsi" w:hAnsiTheme="majorHAnsi" w:cs="Times New Roman"/>
          <w:shd w:val="clear" w:color="auto" w:fill="FFFFFF"/>
        </w:rPr>
        <w:t>Tanzi, Vito, Inflation, Lags in Collection, and the Real Value of Tax Revenue, Staff Papers, vol. 24, march 1977, IMF, 1977, pp. 154-167</w:t>
      </w:r>
      <w:r w:rsidRPr="000703BD">
        <w:rPr>
          <w:rFonts w:asciiTheme="majorHAnsi" w:hAnsiTheme="majorHAnsi" w:cs="Times New Roman" w:hint="cs"/>
          <w:shd w:val="clear" w:color="auto" w:fill="FFFFFF"/>
          <w:rtl/>
        </w:rPr>
        <w:t>.</w:t>
      </w:r>
    </w:p>
  </w:footnote>
  <w:footnote w:id="27">
    <w:p w14:paraId="433CED42" w14:textId="77777777" w:rsidR="00270E6A" w:rsidRPr="000703BD" w:rsidRDefault="00270E6A" w:rsidP="002959BC">
      <w:pPr>
        <w:pStyle w:val="FootnoteText"/>
        <w:ind w:left="425" w:hanging="425"/>
        <w:jc w:val="both"/>
        <w:rPr>
          <w:rFonts w:ascii="Simplified Arabic" w:hAnsi="Simplified Arabic" w:cs="Simplified Arabic"/>
          <w:rtl/>
        </w:rPr>
      </w:pPr>
      <w:r w:rsidRPr="000703BD">
        <w:rPr>
          <w:rFonts w:ascii="Simplified Arabic" w:hAnsi="Simplified Arabic" w:cs="Simplified Arabic"/>
          <w:rtl/>
        </w:rPr>
        <w:t>(</w:t>
      </w:r>
      <w:r w:rsidRPr="000703BD">
        <w:rPr>
          <w:rFonts w:ascii="Simplified Arabic" w:hAnsi="Simplified Arabic" w:cs="Simplified Arabic"/>
        </w:rPr>
        <w:footnoteRef/>
      </w:r>
      <w:r w:rsidRPr="000703BD">
        <w:rPr>
          <w:rFonts w:ascii="Simplified Arabic" w:hAnsi="Simplified Arabic" w:cs="Simplified Arabic"/>
          <w:rtl/>
        </w:rPr>
        <w:t>)</w:t>
      </w:r>
      <w:r w:rsidRPr="000703BD">
        <w:rPr>
          <w:rFonts w:ascii="Simplified Arabic" w:hAnsi="Simplified Arabic" w:cs="Simplified Arabic" w:hint="cs"/>
          <w:rtl/>
        </w:rPr>
        <w:t xml:space="preserve"> العيسوي، إبراهيم (2007)، الاقتصاد المصري في ثلاثين عاماً: تحليل التطورات الاقتصادية الكلية منذ 1974 وبيان تداعياتها الاجتماعية، مع تصور لنموذج تنموي بديل. المكتبة الأكاديمية. القاهرة. ص 323.</w:t>
      </w:r>
    </w:p>
  </w:footnote>
  <w:footnote w:id="28">
    <w:p w14:paraId="1366DB17" w14:textId="77777777" w:rsidR="00270E6A" w:rsidRPr="000703BD" w:rsidRDefault="00270E6A" w:rsidP="002959BC">
      <w:pPr>
        <w:pStyle w:val="FootnoteText"/>
        <w:ind w:left="425" w:hanging="425"/>
        <w:jc w:val="both"/>
        <w:rPr>
          <w:rFonts w:ascii="Simplified Arabic" w:hAnsi="Simplified Arabic" w:cs="Simplified Arabic"/>
          <w:rtl/>
        </w:rPr>
      </w:pPr>
      <w:r w:rsidRPr="000703BD">
        <w:rPr>
          <w:rFonts w:ascii="Simplified Arabic" w:hAnsi="Simplified Arabic" w:cs="Simplified Arabic"/>
          <w:rtl/>
        </w:rPr>
        <w:t>(</w:t>
      </w:r>
      <w:r w:rsidRPr="000703BD">
        <w:rPr>
          <w:rFonts w:ascii="Simplified Arabic" w:hAnsi="Simplified Arabic" w:cs="Simplified Arabic"/>
        </w:rPr>
        <w:footnoteRef/>
      </w:r>
      <w:r w:rsidRPr="000703BD">
        <w:rPr>
          <w:rFonts w:ascii="Simplified Arabic" w:hAnsi="Simplified Arabic" w:cs="Simplified Arabic"/>
          <w:rtl/>
        </w:rPr>
        <w:t>)</w:t>
      </w:r>
      <w:r w:rsidRPr="000703BD">
        <w:rPr>
          <w:rFonts w:ascii="Simplified Arabic" w:hAnsi="Simplified Arabic" w:cs="Simplified Arabic" w:hint="cs"/>
          <w:rtl/>
        </w:rPr>
        <w:t xml:space="preserve"> وزارة المالية. </w:t>
      </w:r>
      <w:r w:rsidRPr="000703BD">
        <w:rPr>
          <w:rFonts w:ascii="Simplified Arabic" w:hAnsi="Simplified Arabic" w:cs="Simplified Arabic"/>
          <w:rtl/>
        </w:rPr>
        <w:t xml:space="preserve">التقرير المالي </w:t>
      </w:r>
      <w:r w:rsidRPr="000703BD">
        <w:rPr>
          <w:rFonts w:ascii="Simplified Arabic" w:hAnsi="Simplified Arabic" w:cs="Simplified Arabic" w:hint="cs"/>
          <w:rtl/>
        </w:rPr>
        <w:t>الشهري، يناير 2019 مجلد (15) عدد (3). القاهرة.</w:t>
      </w:r>
      <w:r w:rsidRPr="000703BD">
        <w:rPr>
          <w:rFonts w:ascii="Simplified Arabic" w:hAnsi="Simplified Arabic" w:cs="Simplified Arabic"/>
          <w:rtl/>
        </w:rPr>
        <w:t xml:space="preserve"> ص </w:t>
      </w:r>
      <w:r w:rsidRPr="000703BD">
        <w:rPr>
          <w:rFonts w:ascii="Simplified Arabic" w:hAnsi="Simplified Arabic" w:cs="Simplified Arabic" w:hint="cs"/>
          <w:rtl/>
        </w:rPr>
        <w:t>3</w:t>
      </w:r>
      <w:r w:rsidRPr="000703BD">
        <w:rPr>
          <w:rFonts w:ascii="Simplified Arabic" w:hAnsi="Simplified Arabic" w:cs="Simplified Arabic"/>
          <w:rtl/>
        </w:rPr>
        <w:t>.</w:t>
      </w:r>
    </w:p>
  </w:footnote>
  <w:footnote w:id="29">
    <w:p w14:paraId="5261B4E4" w14:textId="77777777" w:rsidR="00270E6A" w:rsidRPr="009D49BC" w:rsidRDefault="00270E6A" w:rsidP="002959BC">
      <w:pPr>
        <w:pStyle w:val="FootnoteText"/>
        <w:ind w:left="425" w:hanging="425"/>
        <w:jc w:val="both"/>
        <w:rPr>
          <w:rFonts w:ascii="Simplified Arabic" w:hAnsi="Simplified Arabic" w:cs="Simplified Arabic"/>
          <w:rtl/>
        </w:rPr>
      </w:pPr>
      <w:r w:rsidRPr="009D49BC">
        <w:rPr>
          <w:rFonts w:ascii="Simplified Arabic" w:hAnsi="Simplified Arabic" w:cs="Simplified Arabic"/>
          <w:rtl/>
        </w:rPr>
        <w:t>(</w:t>
      </w:r>
      <w:r w:rsidRPr="009D49BC">
        <w:rPr>
          <w:rFonts w:ascii="Simplified Arabic" w:hAnsi="Simplified Arabic" w:cs="Simplified Arabic"/>
        </w:rPr>
        <w:footnoteRef/>
      </w:r>
      <w:r w:rsidRPr="009D49BC">
        <w:rPr>
          <w:rFonts w:ascii="Simplified Arabic" w:hAnsi="Simplified Arabic" w:cs="Simplified Arabic"/>
          <w:rtl/>
        </w:rPr>
        <w:t>)</w:t>
      </w:r>
      <w:r w:rsidRPr="009D49BC">
        <w:rPr>
          <w:rFonts w:ascii="Simplified Arabic" w:hAnsi="Simplified Arabic" w:cs="Simplified Arabic" w:hint="cs"/>
          <w:rtl/>
        </w:rPr>
        <w:t xml:space="preserve"> طالب، زياد عزالدين طه ، عبد الله، كيلان إسماعيل (2015). التأصيل الفكري للنظريات المفسرة لظاهرة التضخم والآثار المتوقعة منها: مع إشارة إلى واقع التضخم في الاقتصاد العراقي للمدة 2003-2013. جامعة تكريت. كلية الإدارة والاقتصاد، مجلة تكريت للعلوم الإدارية والاقتصادية. المجلد 11. العدد 33. السنة 2015. ص 189. نقلاً عن خلف، فليج حسن (2007) الاقتصاد الكلي. جدار للكتاب العالمي، عمان ص 316-317.</w:t>
      </w:r>
    </w:p>
  </w:footnote>
  <w:footnote w:id="30">
    <w:p w14:paraId="09656E84" w14:textId="77777777" w:rsidR="00270E6A" w:rsidRPr="009D49BC" w:rsidRDefault="00270E6A" w:rsidP="002959BC">
      <w:pPr>
        <w:pStyle w:val="FootnoteText"/>
        <w:ind w:left="425" w:hanging="425"/>
        <w:jc w:val="both"/>
        <w:rPr>
          <w:rFonts w:ascii="Simplified Arabic" w:hAnsi="Simplified Arabic" w:cs="Simplified Arabic"/>
          <w:rtl/>
        </w:rPr>
      </w:pPr>
      <w:r w:rsidRPr="009D49BC">
        <w:rPr>
          <w:rFonts w:ascii="Simplified Arabic" w:hAnsi="Simplified Arabic" w:cs="Simplified Arabic"/>
          <w:rtl/>
        </w:rPr>
        <w:t>(</w:t>
      </w:r>
      <w:r w:rsidRPr="009D49BC">
        <w:rPr>
          <w:rFonts w:ascii="Simplified Arabic" w:hAnsi="Simplified Arabic" w:cs="Simplified Arabic"/>
        </w:rPr>
        <w:footnoteRef/>
      </w:r>
      <w:r w:rsidRPr="009D49BC">
        <w:rPr>
          <w:rFonts w:ascii="Simplified Arabic" w:hAnsi="Simplified Arabic" w:cs="Simplified Arabic"/>
          <w:rtl/>
        </w:rPr>
        <w:t>)</w:t>
      </w:r>
      <w:r w:rsidRPr="009D49BC">
        <w:rPr>
          <w:rFonts w:ascii="Simplified Arabic" w:hAnsi="Simplified Arabic" w:cs="Simplified Arabic" w:hint="cs"/>
          <w:rtl/>
        </w:rPr>
        <w:t xml:space="preserve"> صندوق النقد الدولي (مارس 2010). مجلة التمويل والتنمية. عودة إلى الأسس: ما هو التضخم. ص 44.</w:t>
      </w:r>
    </w:p>
  </w:footnote>
  <w:footnote w:id="31">
    <w:p w14:paraId="134D6FB5" w14:textId="77777777" w:rsidR="00270E6A" w:rsidRPr="009D49BC" w:rsidRDefault="00270E6A" w:rsidP="002959BC">
      <w:pPr>
        <w:pStyle w:val="FootnoteText"/>
        <w:ind w:left="425" w:hanging="425"/>
        <w:jc w:val="both"/>
        <w:rPr>
          <w:rFonts w:ascii="Simplified Arabic" w:hAnsi="Simplified Arabic" w:cs="Simplified Arabic"/>
          <w:rtl/>
        </w:rPr>
      </w:pPr>
      <w:r w:rsidRPr="009D49BC">
        <w:rPr>
          <w:rFonts w:ascii="Simplified Arabic" w:hAnsi="Simplified Arabic" w:cs="Simplified Arabic"/>
          <w:rtl/>
        </w:rPr>
        <w:t>(</w:t>
      </w:r>
      <w:r w:rsidRPr="009D49BC">
        <w:rPr>
          <w:rFonts w:ascii="Simplified Arabic" w:hAnsi="Simplified Arabic" w:cs="Simplified Arabic"/>
        </w:rPr>
        <w:footnoteRef/>
      </w:r>
      <w:r w:rsidRPr="009D49BC">
        <w:rPr>
          <w:rFonts w:ascii="Simplified Arabic" w:hAnsi="Simplified Arabic" w:cs="Simplified Arabic"/>
          <w:rtl/>
        </w:rPr>
        <w:t>)</w:t>
      </w:r>
      <w:r w:rsidRPr="009D49BC">
        <w:rPr>
          <w:rFonts w:ascii="Simplified Arabic" w:hAnsi="Simplified Arabic" w:cs="Simplified Arabic" w:hint="cs"/>
          <w:rtl/>
        </w:rPr>
        <w:t xml:space="preserve"> أحمد، فايز عبد الهادي (بدون)، مبادئ الاقتصاد الكلي. الأكاديمية الحديثة. القاهرة. ص 147.</w:t>
      </w:r>
    </w:p>
  </w:footnote>
  <w:footnote w:id="32">
    <w:p w14:paraId="1CC33D9C" w14:textId="77777777" w:rsidR="00270E6A" w:rsidRPr="009D49BC" w:rsidRDefault="00270E6A" w:rsidP="002959BC">
      <w:pPr>
        <w:pStyle w:val="FootnoteText"/>
        <w:ind w:left="425" w:hanging="425"/>
        <w:jc w:val="both"/>
        <w:rPr>
          <w:rFonts w:ascii="Simplified Arabic" w:hAnsi="Simplified Arabic" w:cs="Simplified Arabic"/>
          <w:rtl/>
        </w:rPr>
      </w:pPr>
      <w:r w:rsidRPr="009D49BC">
        <w:rPr>
          <w:rFonts w:ascii="Simplified Arabic" w:hAnsi="Simplified Arabic" w:cs="Simplified Arabic"/>
          <w:rtl/>
        </w:rPr>
        <w:t>(</w:t>
      </w:r>
      <w:r w:rsidRPr="009D49BC">
        <w:rPr>
          <w:rFonts w:ascii="Simplified Arabic" w:hAnsi="Simplified Arabic" w:cs="Simplified Arabic"/>
        </w:rPr>
        <w:footnoteRef/>
      </w:r>
      <w:r w:rsidRPr="009D49BC">
        <w:rPr>
          <w:rFonts w:ascii="Simplified Arabic" w:hAnsi="Simplified Arabic" w:cs="Simplified Arabic"/>
          <w:rtl/>
        </w:rPr>
        <w:t>)</w:t>
      </w:r>
      <w:r w:rsidRPr="009D49BC">
        <w:rPr>
          <w:rFonts w:ascii="Simplified Arabic" w:hAnsi="Simplified Arabic" w:cs="Simplified Arabic" w:hint="cs"/>
          <w:rtl/>
        </w:rPr>
        <w:t xml:space="preserve"> لمزيد من التفاصيل:</w:t>
      </w:r>
    </w:p>
    <w:p w14:paraId="091F4EC2" w14:textId="77777777" w:rsidR="00270E6A" w:rsidRPr="009D49BC" w:rsidRDefault="00270E6A" w:rsidP="0041332D">
      <w:pPr>
        <w:pStyle w:val="FootnoteText"/>
        <w:numPr>
          <w:ilvl w:val="0"/>
          <w:numId w:val="18"/>
        </w:numPr>
        <w:ind w:left="708" w:hanging="283"/>
        <w:jc w:val="both"/>
        <w:rPr>
          <w:rFonts w:ascii="Simplified Arabic" w:hAnsi="Simplified Arabic" w:cs="Simplified Arabic"/>
        </w:rPr>
      </w:pPr>
      <w:bookmarkStart w:id="1" w:name="_Hlk69802984"/>
      <w:r w:rsidRPr="009D49BC">
        <w:rPr>
          <w:rFonts w:ascii="Simplified Arabic" w:hAnsi="Simplified Arabic" w:cs="Simplified Arabic" w:hint="cs"/>
          <w:rtl/>
        </w:rPr>
        <w:t>دبات، أمينة (2015). السياسة النقدية واستهداف التضخم بالجزائر. أطروحة (ماجستير). كلية العلوم الاقتصادية والتسيير والعلوم التجارية. جامعة أبي بكر بلقايد. الجزائر</w:t>
      </w:r>
      <w:bookmarkEnd w:id="1"/>
      <w:r w:rsidRPr="009D49BC">
        <w:rPr>
          <w:rFonts w:ascii="Simplified Arabic" w:hAnsi="Simplified Arabic" w:cs="Simplified Arabic" w:hint="cs"/>
          <w:rtl/>
        </w:rPr>
        <w:t>. ص ص 70 - 73.</w:t>
      </w:r>
    </w:p>
    <w:p w14:paraId="111D2E17" w14:textId="77777777" w:rsidR="00270E6A" w:rsidRPr="009D49BC" w:rsidRDefault="00270E6A" w:rsidP="0041332D">
      <w:pPr>
        <w:pStyle w:val="FootnoteText"/>
        <w:numPr>
          <w:ilvl w:val="0"/>
          <w:numId w:val="18"/>
        </w:numPr>
        <w:ind w:left="708" w:hanging="283"/>
        <w:jc w:val="both"/>
        <w:rPr>
          <w:rFonts w:ascii="Simplified Arabic" w:hAnsi="Simplified Arabic" w:cs="Simplified Arabic"/>
          <w:rtl/>
        </w:rPr>
      </w:pPr>
      <w:bookmarkStart w:id="2" w:name="_Hlk69803575"/>
      <w:r w:rsidRPr="009D49BC">
        <w:rPr>
          <w:rFonts w:ascii="Simplified Arabic" w:hAnsi="Simplified Arabic" w:cs="Simplified Arabic" w:hint="cs"/>
          <w:rtl/>
        </w:rPr>
        <w:t xml:space="preserve">الخطيب، فاروق بن صالح؛ دياب، عبد العزيز بن أحمد (1435 هـ). دراسات متقدمة في النظرية الاقتصادية الكلية. جامعة الملك عبد العزيز. السعودية. ص ص 258 </w:t>
      </w:r>
      <w:r w:rsidRPr="009D49BC">
        <w:rPr>
          <w:rFonts w:ascii="Simplified Arabic" w:hAnsi="Simplified Arabic" w:cs="Simplified Arabic"/>
          <w:rtl/>
        </w:rPr>
        <w:t>–</w:t>
      </w:r>
      <w:r w:rsidRPr="009D49BC">
        <w:rPr>
          <w:rFonts w:ascii="Simplified Arabic" w:hAnsi="Simplified Arabic" w:cs="Simplified Arabic" w:hint="cs"/>
          <w:rtl/>
        </w:rPr>
        <w:t xml:space="preserve"> 260</w:t>
      </w:r>
      <w:bookmarkEnd w:id="2"/>
      <w:r w:rsidRPr="009D49BC">
        <w:rPr>
          <w:rFonts w:ascii="Simplified Arabic" w:hAnsi="Simplified Arabic" w:cs="Simplified Arabic" w:hint="cs"/>
          <w:rtl/>
        </w:rPr>
        <w:t>.</w:t>
      </w:r>
    </w:p>
  </w:footnote>
  <w:footnote w:id="33">
    <w:p w14:paraId="277DD204" w14:textId="77777777" w:rsidR="00270E6A" w:rsidRPr="009D49BC" w:rsidRDefault="00270E6A" w:rsidP="002959BC">
      <w:pPr>
        <w:pStyle w:val="FootnoteText"/>
        <w:ind w:left="425" w:hanging="425"/>
        <w:jc w:val="both"/>
        <w:rPr>
          <w:rFonts w:ascii="Simplified Arabic" w:hAnsi="Simplified Arabic" w:cs="Simplified Arabic"/>
          <w:rtl/>
        </w:rPr>
      </w:pPr>
      <w:r w:rsidRPr="009D49BC">
        <w:rPr>
          <w:rFonts w:ascii="Simplified Arabic" w:hAnsi="Simplified Arabic" w:cs="Simplified Arabic"/>
          <w:rtl/>
        </w:rPr>
        <w:t>(</w:t>
      </w:r>
      <w:r w:rsidRPr="009D49BC">
        <w:rPr>
          <w:rFonts w:ascii="Simplified Arabic" w:hAnsi="Simplified Arabic" w:cs="Simplified Arabic"/>
        </w:rPr>
        <w:footnoteRef/>
      </w:r>
      <w:r w:rsidRPr="009D49BC">
        <w:rPr>
          <w:rFonts w:ascii="Simplified Arabic" w:hAnsi="Simplified Arabic" w:cs="Simplified Arabic"/>
          <w:rtl/>
        </w:rPr>
        <w:t>)</w:t>
      </w:r>
      <w:r w:rsidRPr="009D49BC">
        <w:rPr>
          <w:rFonts w:ascii="Simplified Arabic" w:hAnsi="Simplified Arabic" w:cs="Simplified Arabic" w:hint="cs"/>
          <w:rtl/>
        </w:rPr>
        <w:t xml:space="preserve"> صقر، صقر أحمد (1983). النظرية الاقتصادية الكلية. وكالة المطبوعات. الكويت. ص 421.</w:t>
      </w:r>
    </w:p>
  </w:footnote>
  <w:footnote w:id="34">
    <w:p w14:paraId="20EEBCFF" w14:textId="77777777" w:rsidR="00270E6A" w:rsidRPr="009D49BC" w:rsidRDefault="00270E6A" w:rsidP="002959BC">
      <w:pPr>
        <w:pStyle w:val="FootnoteText"/>
        <w:ind w:left="425" w:hanging="425"/>
        <w:jc w:val="both"/>
        <w:rPr>
          <w:rFonts w:ascii="Simplified Arabic" w:hAnsi="Simplified Arabic" w:cs="Simplified Arabic"/>
          <w:rtl/>
        </w:rPr>
      </w:pPr>
      <w:r w:rsidRPr="009D49BC">
        <w:rPr>
          <w:rFonts w:ascii="Simplified Arabic" w:hAnsi="Simplified Arabic" w:cs="Simplified Arabic"/>
          <w:rtl/>
        </w:rPr>
        <w:t>(</w:t>
      </w:r>
      <w:r w:rsidRPr="009D49BC">
        <w:rPr>
          <w:rFonts w:ascii="Simplified Arabic" w:hAnsi="Simplified Arabic" w:cs="Simplified Arabic"/>
        </w:rPr>
        <w:footnoteRef/>
      </w:r>
      <w:r w:rsidRPr="009D49BC">
        <w:rPr>
          <w:rFonts w:ascii="Simplified Arabic" w:hAnsi="Simplified Arabic" w:cs="Simplified Arabic"/>
          <w:rtl/>
        </w:rPr>
        <w:t>)</w:t>
      </w:r>
      <w:r w:rsidRPr="009D49BC">
        <w:rPr>
          <w:rFonts w:ascii="Simplified Arabic" w:hAnsi="Simplified Arabic" w:cs="Simplified Arabic" w:hint="cs"/>
          <w:rtl/>
        </w:rPr>
        <w:t xml:space="preserve"> أبو العينين، سهير (أبريل 1995). مؤشرات التضخم في الاقتصاد المصري في فترة الثمانينات وبداية التسعينات. معهد التخطيط القومي. مذكرة خارجية رقم (1585). ص 2.</w:t>
      </w:r>
    </w:p>
  </w:footnote>
  <w:footnote w:id="35">
    <w:p w14:paraId="01D53870" w14:textId="77777777" w:rsidR="00270E6A" w:rsidRPr="009D49BC" w:rsidRDefault="00270E6A" w:rsidP="002959BC">
      <w:pPr>
        <w:pStyle w:val="FootnoteText"/>
        <w:ind w:left="425" w:hanging="425"/>
        <w:jc w:val="both"/>
        <w:rPr>
          <w:rFonts w:ascii="Simplified Arabic" w:hAnsi="Simplified Arabic" w:cs="Simplified Arabic"/>
          <w:rtl/>
        </w:rPr>
      </w:pPr>
      <w:r w:rsidRPr="009D49BC">
        <w:rPr>
          <w:rFonts w:ascii="Simplified Arabic" w:hAnsi="Simplified Arabic" w:cs="Simplified Arabic"/>
          <w:rtl/>
        </w:rPr>
        <w:t>(</w:t>
      </w:r>
      <w:r w:rsidRPr="009D49BC">
        <w:rPr>
          <w:rFonts w:ascii="Simplified Arabic" w:hAnsi="Simplified Arabic" w:cs="Simplified Arabic"/>
        </w:rPr>
        <w:footnoteRef/>
      </w:r>
      <w:r w:rsidRPr="009D49BC">
        <w:rPr>
          <w:rFonts w:ascii="Simplified Arabic" w:hAnsi="Simplified Arabic" w:cs="Simplified Arabic"/>
          <w:rtl/>
        </w:rPr>
        <w:t>)</w:t>
      </w:r>
      <w:r w:rsidRPr="009D49BC">
        <w:rPr>
          <w:rFonts w:ascii="Simplified Arabic" w:hAnsi="Simplified Arabic" w:cs="Simplified Arabic" w:hint="cs"/>
          <w:rtl/>
        </w:rPr>
        <w:t xml:space="preserve"> محمود، حامد محمود (2017). الاقتصاد الكلي. دار حميثرا للنشر والترجمة. ص 187.</w:t>
      </w:r>
    </w:p>
  </w:footnote>
  <w:footnote w:id="36">
    <w:p w14:paraId="6BE2E432" w14:textId="77777777" w:rsidR="00270E6A" w:rsidRPr="009D49BC" w:rsidRDefault="00270E6A" w:rsidP="002959BC">
      <w:pPr>
        <w:pStyle w:val="FootnoteText"/>
        <w:ind w:left="425" w:hanging="425"/>
        <w:jc w:val="both"/>
        <w:rPr>
          <w:rFonts w:ascii="Simplified Arabic" w:hAnsi="Simplified Arabic" w:cs="Simplified Arabic"/>
          <w:rtl/>
        </w:rPr>
      </w:pPr>
      <w:r w:rsidRPr="009D49BC">
        <w:rPr>
          <w:rFonts w:ascii="Simplified Arabic" w:hAnsi="Simplified Arabic" w:cs="Simplified Arabic"/>
          <w:rtl/>
        </w:rPr>
        <w:t>(</w:t>
      </w:r>
      <w:r w:rsidRPr="009D49BC">
        <w:rPr>
          <w:rFonts w:ascii="Simplified Arabic" w:hAnsi="Simplified Arabic" w:cs="Simplified Arabic"/>
        </w:rPr>
        <w:footnoteRef/>
      </w:r>
      <w:r w:rsidRPr="009D49BC">
        <w:rPr>
          <w:rFonts w:ascii="Simplified Arabic" w:hAnsi="Simplified Arabic" w:cs="Simplified Arabic"/>
          <w:rtl/>
        </w:rPr>
        <w:t>)</w:t>
      </w:r>
      <w:r w:rsidRPr="009D49BC">
        <w:rPr>
          <w:rFonts w:ascii="Simplified Arabic" w:hAnsi="Simplified Arabic" w:cs="Simplified Arabic" w:hint="cs"/>
          <w:rtl/>
        </w:rPr>
        <w:t xml:space="preserve"> لمزيد من التفصيل أنظر:</w:t>
      </w:r>
    </w:p>
    <w:p w14:paraId="7A594541" w14:textId="77777777" w:rsidR="00270E6A" w:rsidRPr="00366DBA" w:rsidRDefault="00270E6A" w:rsidP="0041332D">
      <w:pPr>
        <w:pStyle w:val="FootnoteText"/>
        <w:numPr>
          <w:ilvl w:val="0"/>
          <w:numId w:val="15"/>
        </w:numPr>
        <w:bidi w:val="0"/>
        <w:ind w:left="567" w:right="425" w:hanging="283"/>
        <w:jc w:val="both"/>
        <w:rPr>
          <w:rFonts w:asciiTheme="majorHAnsi" w:hAnsiTheme="majorHAnsi" w:cs="Times New Roman"/>
          <w:shd w:val="clear" w:color="auto" w:fill="FFFFFF"/>
        </w:rPr>
      </w:pPr>
      <w:r w:rsidRPr="00366DBA">
        <w:rPr>
          <w:rFonts w:asciiTheme="majorHAnsi" w:hAnsiTheme="majorHAnsi" w:cs="Times New Roman"/>
          <w:shd w:val="clear" w:color="auto" w:fill="FFFFFF"/>
        </w:rPr>
        <w:t>Dwivedi, D.N. Macroeconomics: Theory and Policy (2005). Tata McGraw-Hill. PP 209-214.</w:t>
      </w:r>
    </w:p>
    <w:p w14:paraId="4DC2BF88" w14:textId="77777777" w:rsidR="00270E6A" w:rsidRPr="00366DBA" w:rsidRDefault="00270E6A" w:rsidP="0041332D">
      <w:pPr>
        <w:pStyle w:val="FootnoteText"/>
        <w:numPr>
          <w:ilvl w:val="0"/>
          <w:numId w:val="15"/>
        </w:numPr>
        <w:bidi w:val="0"/>
        <w:ind w:left="567" w:right="425" w:hanging="283"/>
        <w:jc w:val="both"/>
        <w:rPr>
          <w:rFonts w:asciiTheme="majorHAnsi" w:hAnsiTheme="majorHAnsi" w:cs="Times New Roman"/>
          <w:shd w:val="clear" w:color="auto" w:fill="FFFFFF"/>
          <w:rtl/>
        </w:rPr>
      </w:pPr>
      <w:r w:rsidRPr="00366DBA">
        <w:rPr>
          <w:rFonts w:asciiTheme="majorHAnsi" w:hAnsiTheme="majorHAnsi" w:cs="Times New Roman"/>
          <w:shd w:val="clear" w:color="auto" w:fill="FFFFFF"/>
        </w:rPr>
        <w:t>Laidler, David. The Golden Age of the Quantity Theory (2014). Princeton University Press. PP 49-88.</w:t>
      </w:r>
    </w:p>
    <w:p w14:paraId="433A940E" w14:textId="77777777" w:rsidR="00270E6A" w:rsidRPr="009D49BC" w:rsidRDefault="00270E6A" w:rsidP="0041332D">
      <w:pPr>
        <w:pStyle w:val="FootnoteText"/>
        <w:numPr>
          <w:ilvl w:val="0"/>
          <w:numId w:val="18"/>
        </w:numPr>
        <w:ind w:left="708" w:right="284" w:hanging="283"/>
        <w:jc w:val="both"/>
        <w:rPr>
          <w:rFonts w:ascii="Simplified Arabic" w:hAnsi="Simplified Arabic" w:cs="Simplified Arabic"/>
          <w:rtl/>
        </w:rPr>
      </w:pPr>
      <w:r w:rsidRPr="009D49BC">
        <w:rPr>
          <w:rFonts w:ascii="Simplified Arabic" w:hAnsi="Simplified Arabic" w:cs="Simplified Arabic" w:hint="cs"/>
          <w:rtl/>
        </w:rPr>
        <w:t>عبد المعطي، علاء إبراهيم (2016). أذون وسندات الخزانة العامة: دراسة مقارنة. دار الفكر والقانون للنشر والتوزيع. المنصورة. ص 62-67.</w:t>
      </w:r>
    </w:p>
  </w:footnote>
  <w:footnote w:id="37">
    <w:p w14:paraId="394EBA26" w14:textId="77777777" w:rsidR="00270E6A" w:rsidRPr="009D49BC" w:rsidRDefault="00270E6A" w:rsidP="002959BC">
      <w:pPr>
        <w:pStyle w:val="FootnoteText"/>
        <w:ind w:left="425" w:hanging="425"/>
        <w:jc w:val="both"/>
        <w:rPr>
          <w:rFonts w:ascii="Simplified Arabic" w:hAnsi="Simplified Arabic" w:cs="Simplified Arabic"/>
          <w:rtl/>
        </w:rPr>
      </w:pPr>
      <w:r w:rsidRPr="009D49BC">
        <w:rPr>
          <w:rFonts w:ascii="Simplified Arabic" w:hAnsi="Simplified Arabic" w:cs="Simplified Arabic"/>
          <w:rtl/>
        </w:rPr>
        <w:t>(</w:t>
      </w:r>
      <w:r w:rsidRPr="009D49BC">
        <w:rPr>
          <w:rFonts w:ascii="Simplified Arabic" w:hAnsi="Simplified Arabic" w:cs="Simplified Arabic"/>
        </w:rPr>
        <w:footnoteRef/>
      </w:r>
      <w:r w:rsidRPr="009D49BC">
        <w:rPr>
          <w:rFonts w:ascii="Simplified Arabic" w:hAnsi="Simplified Arabic" w:cs="Simplified Arabic"/>
          <w:rtl/>
        </w:rPr>
        <w:t>)</w:t>
      </w:r>
      <w:r w:rsidRPr="009D49BC">
        <w:rPr>
          <w:rFonts w:ascii="Simplified Arabic" w:hAnsi="Simplified Arabic" w:cs="Simplified Arabic" w:hint="cs"/>
          <w:rtl/>
        </w:rPr>
        <w:t xml:space="preserve"> أحمد، فايز عبد الهادي (بدون)، مرجع سبق ذكره ص 171.</w:t>
      </w:r>
    </w:p>
  </w:footnote>
  <w:footnote w:id="38">
    <w:p w14:paraId="1C480E36" w14:textId="77777777" w:rsidR="00270E6A" w:rsidRPr="009D49BC" w:rsidRDefault="00270E6A" w:rsidP="002959BC">
      <w:pPr>
        <w:pStyle w:val="FootnoteText"/>
        <w:ind w:left="425" w:hanging="425"/>
        <w:jc w:val="both"/>
        <w:rPr>
          <w:rFonts w:ascii="Simplified Arabic" w:hAnsi="Simplified Arabic" w:cs="Simplified Arabic"/>
          <w:rtl/>
        </w:rPr>
      </w:pPr>
      <w:r w:rsidRPr="009D49BC">
        <w:rPr>
          <w:rFonts w:ascii="Simplified Arabic" w:hAnsi="Simplified Arabic" w:cs="Simplified Arabic"/>
          <w:rtl/>
        </w:rPr>
        <w:t>(</w:t>
      </w:r>
      <w:r w:rsidRPr="009D49BC">
        <w:rPr>
          <w:rFonts w:ascii="Simplified Arabic" w:hAnsi="Simplified Arabic" w:cs="Simplified Arabic"/>
        </w:rPr>
        <w:footnoteRef/>
      </w:r>
      <w:r w:rsidRPr="009D49BC">
        <w:rPr>
          <w:rFonts w:ascii="Simplified Arabic" w:hAnsi="Simplified Arabic" w:cs="Simplified Arabic"/>
          <w:rtl/>
        </w:rPr>
        <w:t>)</w:t>
      </w:r>
      <w:r w:rsidRPr="009D49BC">
        <w:rPr>
          <w:rFonts w:ascii="Simplified Arabic" w:hAnsi="Simplified Arabic" w:cs="Simplified Arabic" w:hint="cs"/>
          <w:rtl/>
        </w:rPr>
        <w:t xml:space="preserve"> لمزيد من التفاصيل أنظر: القطاربي، محمد ضيف الله (2011). دور السياسة النقدية في الاستقرار والتنمية الاقتصادية: نظرية تحليلية - قياسية. دار غيداء للنشر والتوزيع ص ص 44-46.</w:t>
      </w:r>
    </w:p>
  </w:footnote>
  <w:footnote w:id="39">
    <w:p w14:paraId="1355EF42" w14:textId="77777777" w:rsidR="00270E6A" w:rsidRPr="009D49BC" w:rsidRDefault="00270E6A" w:rsidP="002959BC">
      <w:pPr>
        <w:pStyle w:val="FootnoteText"/>
        <w:ind w:left="425" w:hanging="425"/>
        <w:jc w:val="both"/>
        <w:rPr>
          <w:rFonts w:ascii="Simplified Arabic" w:hAnsi="Simplified Arabic" w:cs="Simplified Arabic"/>
          <w:rtl/>
        </w:rPr>
      </w:pPr>
      <w:r w:rsidRPr="009D49BC">
        <w:rPr>
          <w:rFonts w:ascii="Simplified Arabic" w:hAnsi="Simplified Arabic" w:cs="Simplified Arabic"/>
          <w:rtl/>
        </w:rPr>
        <w:t>(</w:t>
      </w:r>
      <w:r w:rsidRPr="009D49BC">
        <w:rPr>
          <w:rFonts w:ascii="Simplified Arabic" w:hAnsi="Simplified Arabic" w:cs="Simplified Arabic"/>
        </w:rPr>
        <w:footnoteRef/>
      </w:r>
      <w:r w:rsidRPr="009D49BC">
        <w:rPr>
          <w:rFonts w:ascii="Simplified Arabic" w:hAnsi="Simplified Arabic" w:cs="Simplified Arabic"/>
          <w:rtl/>
        </w:rPr>
        <w:t>)</w:t>
      </w:r>
      <w:r w:rsidRPr="009D49BC">
        <w:rPr>
          <w:rFonts w:ascii="Simplified Arabic" w:hAnsi="Simplified Arabic" w:cs="Simplified Arabic" w:hint="cs"/>
          <w:rtl/>
        </w:rPr>
        <w:t xml:space="preserve"> لمزيد من التفاصيل أنظر: القاضي، حسن محمد (2014). الإدارة المالية العامة. الأكاديميون للنشر والتوزيع. ص 169.</w:t>
      </w:r>
    </w:p>
  </w:footnote>
  <w:footnote w:id="40">
    <w:p w14:paraId="62C86EF2" w14:textId="77777777" w:rsidR="00270E6A" w:rsidRPr="009D49BC" w:rsidRDefault="00270E6A" w:rsidP="002959BC">
      <w:pPr>
        <w:pStyle w:val="FootnoteText"/>
        <w:ind w:left="425" w:hanging="425"/>
        <w:jc w:val="both"/>
        <w:rPr>
          <w:rFonts w:ascii="Simplified Arabic" w:hAnsi="Simplified Arabic" w:cs="Simplified Arabic"/>
          <w:rtl/>
        </w:rPr>
      </w:pPr>
      <w:r w:rsidRPr="009D49BC">
        <w:rPr>
          <w:rFonts w:ascii="Simplified Arabic" w:hAnsi="Simplified Arabic" w:cs="Simplified Arabic"/>
          <w:rtl/>
        </w:rPr>
        <w:t>(</w:t>
      </w:r>
      <w:r w:rsidRPr="009D49BC">
        <w:rPr>
          <w:rFonts w:ascii="Simplified Arabic" w:hAnsi="Simplified Arabic" w:cs="Simplified Arabic"/>
        </w:rPr>
        <w:footnoteRef/>
      </w:r>
      <w:r w:rsidRPr="009D49BC">
        <w:rPr>
          <w:rFonts w:ascii="Simplified Arabic" w:hAnsi="Simplified Arabic" w:cs="Simplified Arabic"/>
          <w:rtl/>
        </w:rPr>
        <w:t>)</w:t>
      </w:r>
      <w:r w:rsidRPr="009D49BC">
        <w:rPr>
          <w:rFonts w:ascii="Simplified Arabic" w:hAnsi="Simplified Arabic" w:cs="Simplified Arabic" w:hint="cs"/>
          <w:rtl/>
        </w:rPr>
        <w:t xml:space="preserve"> مقلد، رمضان محمد، نعمة الله، أحمد رمضان، القفاش، سحر عبد الرؤوف (2009). مبادئ الاقتصاد الكلي. قسم الاقتصاد كلية التجارة جامعة الإسكندرية. ص 206 - 2010.</w:t>
      </w:r>
    </w:p>
  </w:footnote>
  <w:footnote w:id="41">
    <w:p w14:paraId="3E552E0E" w14:textId="77777777" w:rsidR="00270E6A" w:rsidRPr="009D49BC" w:rsidRDefault="00270E6A" w:rsidP="002959BC">
      <w:pPr>
        <w:pStyle w:val="FootnoteText"/>
        <w:ind w:left="425" w:hanging="425"/>
        <w:jc w:val="both"/>
        <w:rPr>
          <w:rFonts w:ascii="Simplified Arabic" w:hAnsi="Simplified Arabic" w:cs="Simplified Arabic"/>
          <w:rtl/>
        </w:rPr>
      </w:pPr>
      <w:r w:rsidRPr="009D49BC">
        <w:rPr>
          <w:rFonts w:ascii="Simplified Arabic" w:hAnsi="Simplified Arabic" w:cs="Simplified Arabic"/>
          <w:rtl/>
        </w:rPr>
        <w:t>(</w:t>
      </w:r>
      <w:r w:rsidRPr="009D49BC">
        <w:rPr>
          <w:rFonts w:ascii="Simplified Arabic" w:hAnsi="Simplified Arabic" w:cs="Simplified Arabic"/>
        </w:rPr>
        <w:footnoteRef/>
      </w:r>
      <w:r w:rsidRPr="009D49BC">
        <w:rPr>
          <w:rFonts w:ascii="Simplified Arabic" w:hAnsi="Simplified Arabic" w:cs="Simplified Arabic"/>
          <w:rtl/>
        </w:rPr>
        <w:t>)</w:t>
      </w:r>
      <w:r w:rsidRPr="009D49BC">
        <w:rPr>
          <w:rFonts w:ascii="Simplified Arabic" w:hAnsi="Simplified Arabic" w:cs="Simplified Arabic" w:hint="cs"/>
          <w:rtl/>
        </w:rPr>
        <w:t xml:space="preserve"> طالب، زياد عزالدين طه، عبد الله، كيلان إسماعيل (2015). مرجع سبق ذكره. ص 198-204.</w:t>
      </w:r>
    </w:p>
  </w:footnote>
  <w:footnote w:id="42">
    <w:p w14:paraId="64D49764" w14:textId="77777777" w:rsidR="00270E6A" w:rsidRPr="009D49BC" w:rsidRDefault="00270E6A" w:rsidP="002959BC">
      <w:pPr>
        <w:pStyle w:val="FootnoteText"/>
        <w:ind w:left="425" w:hanging="425"/>
        <w:jc w:val="both"/>
        <w:rPr>
          <w:rFonts w:ascii="Simplified Arabic" w:hAnsi="Simplified Arabic" w:cs="Simplified Arabic"/>
          <w:rtl/>
        </w:rPr>
      </w:pPr>
      <w:r w:rsidRPr="009D49BC">
        <w:rPr>
          <w:rFonts w:ascii="Simplified Arabic" w:hAnsi="Simplified Arabic" w:cs="Simplified Arabic"/>
          <w:rtl/>
        </w:rPr>
        <w:t>(</w:t>
      </w:r>
      <w:r w:rsidRPr="009D49BC">
        <w:rPr>
          <w:rFonts w:ascii="Simplified Arabic" w:hAnsi="Simplified Arabic" w:cs="Simplified Arabic"/>
        </w:rPr>
        <w:footnoteRef/>
      </w:r>
      <w:r w:rsidRPr="009D49BC">
        <w:rPr>
          <w:rFonts w:ascii="Simplified Arabic" w:hAnsi="Simplified Arabic" w:cs="Simplified Arabic"/>
          <w:rtl/>
        </w:rPr>
        <w:t>)</w:t>
      </w:r>
      <w:r w:rsidRPr="009D49BC">
        <w:rPr>
          <w:rFonts w:ascii="Simplified Arabic" w:hAnsi="Simplified Arabic" w:cs="Simplified Arabic" w:hint="cs"/>
          <w:rtl/>
        </w:rPr>
        <w:t xml:space="preserve"> الجنابي، نبيل مهدي (2017). التوقعات العقلانية: المدخل الحديث لنظرية الاقتصاد الكلي. دار غيداء للنشر والتوزيع. ص 187.</w:t>
      </w:r>
    </w:p>
    <w:p w14:paraId="4AC0BC08" w14:textId="77777777" w:rsidR="00270E6A" w:rsidRPr="009D49BC" w:rsidRDefault="00270E6A" w:rsidP="002959BC">
      <w:pPr>
        <w:pStyle w:val="FootnoteText"/>
        <w:ind w:left="425" w:hanging="425"/>
        <w:jc w:val="both"/>
        <w:rPr>
          <w:rFonts w:ascii="Simplified Arabic" w:hAnsi="Simplified Arabic" w:cs="Simplified Arabic"/>
          <w:rtl/>
        </w:rPr>
      </w:pPr>
    </w:p>
  </w:footnote>
  <w:footnote w:id="43">
    <w:p w14:paraId="5EFA5D8A" w14:textId="77777777" w:rsidR="00270E6A" w:rsidRPr="009D49BC" w:rsidRDefault="00270E6A" w:rsidP="002959BC">
      <w:pPr>
        <w:pStyle w:val="FootnoteText"/>
        <w:ind w:left="425" w:hanging="425"/>
        <w:jc w:val="both"/>
        <w:rPr>
          <w:rFonts w:ascii="Simplified Arabic" w:hAnsi="Simplified Arabic" w:cs="Simplified Arabic"/>
          <w:rtl/>
        </w:rPr>
      </w:pPr>
      <w:r w:rsidRPr="009D49BC">
        <w:rPr>
          <w:rFonts w:ascii="Simplified Arabic" w:hAnsi="Simplified Arabic" w:cs="Simplified Arabic"/>
          <w:rtl/>
        </w:rPr>
        <w:t>(</w:t>
      </w:r>
      <w:r w:rsidRPr="009D49BC">
        <w:rPr>
          <w:rFonts w:ascii="Simplified Arabic" w:hAnsi="Simplified Arabic" w:cs="Simplified Arabic"/>
        </w:rPr>
        <w:footnoteRef/>
      </w:r>
      <w:r w:rsidRPr="009D49BC">
        <w:rPr>
          <w:rFonts w:ascii="Simplified Arabic" w:hAnsi="Simplified Arabic" w:cs="Simplified Arabic"/>
          <w:rtl/>
        </w:rPr>
        <w:t>)</w:t>
      </w:r>
      <w:r w:rsidRPr="009D49BC">
        <w:rPr>
          <w:rFonts w:ascii="Simplified Arabic" w:hAnsi="Simplified Arabic" w:cs="Simplified Arabic" w:hint="cs"/>
          <w:rtl/>
        </w:rPr>
        <w:t xml:space="preserve"> فكما يرى آثر لافر (</w:t>
      </w:r>
      <w:r w:rsidRPr="009D49BC">
        <w:rPr>
          <w:rFonts w:ascii="Simplified Arabic" w:hAnsi="Simplified Arabic" w:cs="Simplified Arabic"/>
        </w:rPr>
        <w:t>Arthur Laffer</w:t>
      </w:r>
      <w:r w:rsidRPr="009D49BC">
        <w:rPr>
          <w:rFonts w:ascii="Simplified Arabic" w:hAnsi="Simplified Arabic" w:cs="Simplified Arabic" w:hint="cs"/>
          <w:rtl/>
        </w:rPr>
        <w:t xml:space="preserve">)، الذي يشير إلى بعض أفكار الفيلسوف ابن خلدون </w:t>
      </w:r>
      <w:r w:rsidRPr="009D49BC">
        <w:rPr>
          <w:rFonts w:ascii="Simplified Arabic" w:hAnsi="Simplified Arabic" w:cs="Simplified Arabic"/>
          <w:rtl/>
        </w:rPr>
        <w:t>–</w:t>
      </w:r>
      <w:r w:rsidRPr="009D49BC">
        <w:rPr>
          <w:rFonts w:ascii="Simplified Arabic" w:hAnsi="Simplified Arabic" w:cs="Simplified Arabic" w:hint="cs"/>
          <w:rtl/>
        </w:rPr>
        <w:t xml:space="preserve"> في القرن الرابع عشر </w:t>
      </w:r>
      <w:r w:rsidRPr="009D49BC">
        <w:rPr>
          <w:rFonts w:ascii="Simplified Arabic" w:hAnsi="Simplified Arabic" w:cs="Simplified Arabic"/>
          <w:rtl/>
        </w:rPr>
        <w:t>–</w:t>
      </w:r>
      <w:r w:rsidRPr="009D49BC">
        <w:rPr>
          <w:rFonts w:ascii="Simplified Arabic" w:hAnsi="Simplified Arabic" w:cs="Simplified Arabic" w:hint="cs"/>
          <w:rtl/>
        </w:rPr>
        <w:t xml:space="preserve"> وإلى الاقتصاديات الكينزية، فإن معدلات الضرائب، والإيرادات لا يتناسبان طردياً، بل تأخذ علاقتهما شكل المنحنى الناقوسي، وليست علاقة خطية، ويبين بمنحنى لافر أن الإيرادات من الضرائب ستنعدم (ستكون صفر) عندما يكون معدل الضريبة صفر أو 100%، أي عندما تكون معدلات الضريبة مرتفعة جداً فإن هذا يثبط الهمة للعمل، وستكون الإيرادات من ثم ضعيفة ويصبح المدى الذي ترتفع فيه معدلات الضريبة إلى الحد الذي يحقق أعلى إيرادات ضريبية هو الحد المانع </w:t>
      </w:r>
      <w:r w:rsidRPr="009D49BC">
        <w:rPr>
          <w:rFonts w:ascii="Simplified Arabic" w:hAnsi="Simplified Arabic" w:cs="Simplified Arabic"/>
        </w:rPr>
        <w:t>Prohibitive</w:t>
      </w:r>
      <w:r w:rsidRPr="009D49BC">
        <w:rPr>
          <w:rFonts w:ascii="Simplified Arabic" w:hAnsi="Simplified Arabic" w:cs="Simplified Arabic" w:hint="cs"/>
          <w:rtl/>
        </w:rPr>
        <w:t>. لمزيد من التفاصيل أنظر:</w:t>
      </w:r>
    </w:p>
    <w:p w14:paraId="45E360C8" w14:textId="77777777" w:rsidR="00270E6A" w:rsidRPr="009D49BC" w:rsidRDefault="00270E6A" w:rsidP="0041332D">
      <w:pPr>
        <w:pStyle w:val="FootnoteText"/>
        <w:numPr>
          <w:ilvl w:val="0"/>
          <w:numId w:val="18"/>
        </w:numPr>
        <w:ind w:left="708" w:hanging="283"/>
        <w:jc w:val="both"/>
        <w:rPr>
          <w:rFonts w:ascii="Simplified Arabic" w:hAnsi="Simplified Arabic" w:cs="Simplified Arabic"/>
          <w:rtl/>
        </w:rPr>
      </w:pPr>
      <w:r w:rsidRPr="009D49BC">
        <w:rPr>
          <w:rFonts w:ascii="Simplified Arabic" w:hAnsi="Simplified Arabic" w:cs="Simplified Arabic" w:hint="cs"/>
          <w:rtl/>
        </w:rPr>
        <w:t xml:space="preserve">عثمان، محمد عثمان (2016). التنمية العادلة: النمو الاقتصادي </w:t>
      </w:r>
      <w:r w:rsidRPr="009D49BC">
        <w:rPr>
          <w:rFonts w:ascii="Simplified Arabic" w:hAnsi="Simplified Arabic" w:cs="Simplified Arabic"/>
          <w:rtl/>
        </w:rPr>
        <w:t>–</w:t>
      </w:r>
      <w:r w:rsidRPr="009D49BC">
        <w:rPr>
          <w:rFonts w:ascii="Simplified Arabic" w:hAnsi="Simplified Arabic" w:cs="Simplified Arabic" w:hint="cs"/>
          <w:rtl/>
        </w:rPr>
        <w:t xml:space="preserve"> توزيع الدخل </w:t>
      </w:r>
      <w:r w:rsidRPr="009D49BC">
        <w:rPr>
          <w:rFonts w:ascii="Simplified Arabic" w:hAnsi="Simplified Arabic" w:cs="Simplified Arabic"/>
          <w:rtl/>
        </w:rPr>
        <w:t>–</w:t>
      </w:r>
      <w:r w:rsidRPr="009D49BC">
        <w:rPr>
          <w:rFonts w:ascii="Simplified Arabic" w:hAnsi="Simplified Arabic" w:cs="Simplified Arabic" w:hint="cs"/>
          <w:rtl/>
        </w:rPr>
        <w:t xml:space="preserve"> مشكلة الفقر. روابط للنشر وتقنية المعلومات. ص ص 165-168.</w:t>
      </w:r>
    </w:p>
  </w:footnote>
  <w:footnote w:id="44">
    <w:p w14:paraId="3F04B6D7" w14:textId="77777777" w:rsidR="00270E6A" w:rsidRPr="009D49BC" w:rsidRDefault="00270E6A" w:rsidP="002959BC">
      <w:pPr>
        <w:pStyle w:val="FootnoteText"/>
        <w:ind w:left="425" w:hanging="425"/>
        <w:jc w:val="both"/>
        <w:rPr>
          <w:rFonts w:ascii="Simplified Arabic" w:hAnsi="Simplified Arabic" w:cs="Simplified Arabic"/>
          <w:rtl/>
        </w:rPr>
      </w:pPr>
      <w:r w:rsidRPr="009D49BC">
        <w:rPr>
          <w:rFonts w:ascii="Simplified Arabic" w:hAnsi="Simplified Arabic" w:cs="Simplified Arabic"/>
          <w:rtl/>
        </w:rPr>
        <w:t>(</w:t>
      </w:r>
      <w:r w:rsidRPr="009D49BC">
        <w:rPr>
          <w:rFonts w:ascii="Simplified Arabic" w:hAnsi="Simplified Arabic" w:cs="Simplified Arabic"/>
        </w:rPr>
        <w:footnoteRef/>
      </w:r>
      <w:r w:rsidRPr="009D49BC">
        <w:rPr>
          <w:rFonts w:ascii="Simplified Arabic" w:hAnsi="Simplified Arabic" w:cs="Simplified Arabic"/>
          <w:rtl/>
        </w:rPr>
        <w:t>)</w:t>
      </w:r>
      <w:r w:rsidRPr="009D49BC">
        <w:rPr>
          <w:rFonts w:ascii="Simplified Arabic" w:hAnsi="Simplified Arabic" w:cs="Simplified Arabic" w:hint="cs"/>
          <w:rtl/>
        </w:rPr>
        <w:t xml:space="preserve"> المتولي، عمرو محمد محمد. مرجع سبق ذكره. ص 29. </w:t>
      </w:r>
    </w:p>
  </w:footnote>
  <w:footnote w:id="45">
    <w:p w14:paraId="32E73C4F" w14:textId="77777777" w:rsidR="00270E6A" w:rsidRPr="009D49BC" w:rsidRDefault="00270E6A" w:rsidP="002959BC">
      <w:pPr>
        <w:pStyle w:val="FootnoteText"/>
        <w:ind w:left="425" w:hanging="425"/>
        <w:jc w:val="both"/>
        <w:rPr>
          <w:rFonts w:ascii="Simplified Arabic" w:hAnsi="Simplified Arabic" w:cs="Simplified Arabic"/>
          <w:rtl/>
        </w:rPr>
      </w:pPr>
      <w:r w:rsidRPr="009D49BC">
        <w:rPr>
          <w:rFonts w:ascii="Simplified Arabic" w:hAnsi="Simplified Arabic" w:cs="Simplified Arabic"/>
          <w:rtl/>
        </w:rPr>
        <w:t>(</w:t>
      </w:r>
      <w:r w:rsidRPr="009D49BC">
        <w:rPr>
          <w:rFonts w:ascii="Simplified Arabic" w:hAnsi="Simplified Arabic" w:cs="Simplified Arabic"/>
        </w:rPr>
        <w:footnoteRef/>
      </w:r>
      <w:r w:rsidRPr="009D49BC">
        <w:rPr>
          <w:rFonts w:ascii="Simplified Arabic" w:hAnsi="Simplified Arabic" w:cs="Simplified Arabic"/>
          <w:rtl/>
        </w:rPr>
        <w:t>)</w:t>
      </w:r>
      <w:r w:rsidRPr="009D49BC">
        <w:rPr>
          <w:rFonts w:ascii="Simplified Arabic" w:hAnsi="Simplified Arabic" w:cs="Simplified Arabic" w:hint="cs"/>
          <w:rtl/>
        </w:rPr>
        <w:t xml:space="preserve"> العيسوي، إبراهيم (1993)، التشابكات بين توزيع الدخل والنمو الاقتصادي في سياق التنمية الاقتصادية في مصر. ندوة الاقتصاد السياسي لتوزيع الدخل في مصر. تحرير د. جودة عبد الخالق. الهيئة المصرية العامة للكتاب. ص242.</w:t>
      </w:r>
    </w:p>
  </w:footnote>
  <w:footnote w:id="46">
    <w:p w14:paraId="6C01733F" w14:textId="77777777" w:rsidR="00270E6A" w:rsidRPr="009D49BC" w:rsidRDefault="00270E6A" w:rsidP="002959BC">
      <w:pPr>
        <w:pStyle w:val="FootnoteText"/>
        <w:ind w:left="425" w:hanging="425"/>
        <w:jc w:val="both"/>
        <w:rPr>
          <w:rFonts w:ascii="Simplified Arabic" w:hAnsi="Simplified Arabic" w:cs="Simplified Arabic"/>
          <w:rtl/>
        </w:rPr>
      </w:pPr>
      <w:r w:rsidRPr="009D49BC">
        <w:rPr>
          <w:rFonts w:ascii="Simplified Arabic" w:hAnsi="Simplified Arabic" w:cs="Simplified Arabic"/>
          <w:rtl/>
        </w:rPr>
        <w:t>(</w:t>
      </w:r>
      <w:r w:rsidRPr="009D49BC">
        <w:rPr>
          <w:rFonts w:ascii="Simplified Arabic" w:hAnsi="Simplified Arabic" w:cs="Simplified Arabic"/>
        </w:rPr>
        <w:footnoteRef/>
      </w:r>
      <w:r w:rsidRPr="009D49BC">
        <w:rPr>
          <w:rFonts w:ascii="Simplified Arabic" w:hAnsi="Simplified Arabic" w:cs="Simplified Arabic"/>
          <w:rtl/>
        </w:rPr>
        <w:t>)</w:t>
      </w:r>
      <w:r w:rsidRPr="009D49BC">
        <w:rPr>
          <w:rFonts w:ascii="Simplified Arabic" w:hAnsi="Simplified Arabic" w:cs="Simplified Arabic" w:hint="cs"/>
          <w:rtl/>
        </w:rPr>
        <w:t xml:space="preserve"> عامر، عادل (2016)، دور الدولة في تحقيق التوازن الاقتصادي وفي ظل الاقتصاد الحر. حروف منثورة للنشر الإلكتروني. ص 373.</w:t>
      </w:r>
    </w:p>
  </w:footnote>
  <w:footnote w:id="47">
    <w:p w14:paraId="0EAF1BD8" w14:textId="77777777" w:rsidR="00270E6A" w:rsidRPr="009D49BC" w:rsidRDefault="00270E6A" w:rsidP="002959BC">
      <w:pPr>
        <w:pStyle w:val="FootnoteText"/>
        <w:ind w:left="425" w:hanging="425"/>
        <w:jc w:val="both"/>
        <w:rPr>
          <w:rFonts w:ascii="Simplified Arabic" w:hAnsi="Simplified Arabic" w:cs="Simplified Arabic"/>
          <w:rtl/>
        </w:rPr>
      </w:pPr>
      <w:r w:rsidRPr="009D49BC">
        <w:rPr>
          <w:rFonts w:ascii="Simplified Arabic" w:hAnsi="Simplified Arabic" w:cs="Simplified Arabic"/>
          <w:rtl/>
        </w:rPr>
        <w:t>(</w:t>
      </w:r>
      <w:r w:rsidRPr="009D49BC">
        <w:rPr>
          <w:rFonts w:ascii="Simplified Arabic" w:hAnsi="Simplified Arabic" w:cs="Simplified Arabic"/>
        </w:rPr>
        <w:footnoteRef/>
      </w:r>
      <w:r w:rsidRPr="009D49BC">
        <w:rPr>
          <w:rFonts w:ascii="Simplified Arabic" w:hAnsi="Simplified Arabic" w:cs="Simplified Arabic"/>
          <w:rtl/>
        </w:rPr>
        <w:t>)</w:t>
      </w:r>
      <w:r w:rsidRPr="009D49BC">
        <w:rPr>
          <w:rFonts w:ascii="Simplified Arabic" w:hAnsi="Simplified Arabic" w:cs="Simplified Arabic" w:hint="cs"/>
          <w:rtl/>
        </w:rPr>
        <w:t xml:space="preserve"> لحسن، دردوري، الأخضر، لقليطي (2018)، أساسيات المالية العامة. دار حميثرا للنشر والترجمة. ص 33.</w:t>
      </w:r>
    </w:p>
  </w:footnote>
  <w:footnote w:id="48">
    <w:p w14:paraId="1641231C" w14:textId="77777777" w:rsidR="00270E6A" w:rsidRPr="00FD5BEE" w:rsidRDefault="00270E6A" w:rsidP="002959BC">
      <w:pPr>
        <w:pStyle w:val="FootnoteText"/>
        <w:rPr>
          <w:rFonts w:ascii="Simplified Arabic" w:hAnsi="Simplified Arabic" w:cs="Simplified Arabic"/>
          <w:rtl/>
        </w:rPr>
      </w:pPr>
      <w:r w:rsidRPr="00FD5BEE">
        <w:rPr>
          <w:rFonts w:ascii="Simplified Arabic" w:hAnsi="Simplified Arabic" w:cs="Simplified Arabic"/>
          <w:rtl/>
        </w:rPr>
        <w:t>(</w:t>
      </w:r>
      <w:r w:rsidRPr="00FD5BEE">
        <w:rPr>
          <w:rFonts w:ascii="Simplified Arabic" w:hAnsi="Simplified Arabic" w:cs="Simplified Arabic"/>
          <w:vertAlign w:val="superscript"/>
        </w:rPr>
        <w:footnoteRef/>
      </w:r>
      <w:r w:rsidRPr="00FD5BEE">
        <w:rPr>
          <w:rFonts w:ascii="Simplified Arabic" w:hAnsi="Simplified Arabic" w:cs="Simplified Arabic"/>
          <w:rtl/>
        </w:rPr>
        <w:t>) البواب، سيد (2000). عجز الموازنة العامة للدولة: النظرية والصراع الفكري للمذاهب الاقتصادية ومناهج العلاج. القاهرة. ص 12.</w:t>
      </w:r>
    </w:p>
  </w:footnote>
  <w:footnote w:id="49">
    <w:p w14:paraId="5BECA470" w14:textId="77777777" w:rsidR="00270E6A" w:rsidRPr="00FD5BEE" w:rsidRDefault="00270E6A" w:rsidP="002959BC">
      <w:pPr>
        <w:pStyle w:val="FootnoteText"/>
        <w:rPr>
          <w:rFonts w:ascii="Simplified Arabic" w:hAnsi="Simplified Arabic" w:cs="Simplified Arabic"/>
          <w:rtl/>
        </w:rPr>
      </w:pPr>
      <w:r w:rsidRPr="00FD5BEE">
        <w:rPr>
          <w:rFonts w:ascii="Simplified Arabic" w:hAnsi="Simplified Arabic" w:cs="Simplified Arabic"/>
          <w:rtl/>
        </w:rPr>
        <w:t>(</w:t>
      </w:r>
      <w:r w:rsidRPr="00FD5BEE">
        <w:rPr>
          <w:rFonts w:ascii="Simplified Arabic" w:hAnsi="Simplified Arabic" w:cs="Simplified Arabic"/>
          <w:vertAlign w:val="superscript"/>
        </w:rPr>
        <w:footnoteRef/>
      </w:r>
      <w:r w:rsidRPr="00FD5BEE">
        <w:rPr>
          <w:rFonts w:ascii="Simplified Arabic" w:hAnsi="Simplified Arabic" w:cs="Simplified Arabic"/>
          <w:rtl/>
        </w:rPr>
        <w:t>) يونس، إيهاب محمد (أبريل ۲۰۱۲). نحو رؤية لتشخيص وعلاج عجز الموازنة العامة في مصر. النهضة. المجلد</w:t>
      </w:r>
      <w:r w:rsidRPr="00FD5BEE">
        <w:rPr>
          <w:rFonts w:ascii="Simplified Arabic" w:hAnsi="Simplified Arabic" w:cs="Simplified Arabic"/>
        </w:rPr>
        <w:t xml:space="preserve"> </w:t>
      </w:r>
      <w:r w:rsidRPr="00FD5BEE">
        <w:rPr>
          <w:rFonts w:ascii="Simplified Arabic" w:hAnsi="Simplified Arabic" w:cs="Simplified Arabic"/>
          <w:rtl/>
        </w:rPr>
        <w:t>الثالث عشر. العدد الثاني. ص3.</w:t>
      </w:r>
    </w:p>
  </w:footnote>
  <w:footnote w:id="50">
    <w:p w14:paraId="206D5087" w14:textId="77777777" w:rsidR="00270E6A" w:rsidRPr="00FD5BEE" w:rsidRDefault="00270E6A" w:rsidP="002959BC">
      <w:pPr>
        <w:pStyle w:val="FootnoteText"/>
        <w:rPr>
          <w:rFonts w:ascii="Simplified Arabic" w:hAnsi="Simplified Arabic" w:cs="Simplified Arabic"/>
          <w:rtl/>
        </w:rPr>
      </w:pPr>
      <w:r w:rsidRPr="00FD5BEE">
        <w:rPr>
          <w:rFonts w:ascii="Simplified Arabic" w:hAnsi="Simplified Arabic" w:cs="Simplified Arabic"/>
          <w:rtl/>
        </w:rPr>
        <w:t>(</w:t>
      </w:r>
      <w:r w:rsidRPr="00FD5BEE">
        <w:rPr>
          <w:rFonts w:ascii="Simplified Arabic" w:hAnsi="Simplified Arabic" w:cs="Simplified Arabic"/>
          <w:vertAlign w:val="superscript"/>
        </w:rPr>
        <w:footnoteRef/>
      </w:r>
      <w:r w:rsidRPr="00FD5BEE">
        <w:rPr>
          <w:rFonts w:ascii="Simplified Arabic" w:hAnsi="Simplified Arabic" w:cs="Simplified Arabic"/>
          <w:rtl/>
        </w:rPr>
        <w:t>) وزارة المالية (2016). دليل تصنيف الموازنة العامة للدولة في جمهورية مصر العربية: وفقاً لإحصاءات مالية الحكومة لعام 2001. القاهرة. ص31.</w:t>
      </w:r>
    </w:p>
  </w:footnote>
  <w:footnote w:id="51">
    <w:p w14:paraId="1CB71DD7" w14:textId="77777777" w:rsidR="00270E6A" w:rsidRPr="00FD5BEE" w:rsidRDefault="00270E6A" w:rsidP="002959BC">
      <w:pPr>
        <w:pStyle w:val="FootnoteText"/>
        <w:rPr>
          <w:rFonts w:ascii="Simplified Arabic" w:hAnsi="Simplified Arabic" w:cs="Simplified Arabic"/>
          <w:rtl/>
        </w:rPr>
      </w:pPr>
      <w:r w:rsidRPr="00FD5BEE">
        <w:rPr>
          <w:rFonts w:ascii="Simplified Arabic" w:hAnsi="Simplified Arabic" w:cs="Simplified Arabic"/>
          <w:rtl/>
        </w:rPr>
        <w:t>(</w:t>
      </w:r>
      <w:r w:rsidRPr="00FD5BEE">
        <w:rPr>
          <w:rFonts w:ascii="Simplified Arabic" w:hAnsi="Simplified Arabic" w:cs="Simplified Arabic"/>
        </w:rPr>
        <w:footnoteRef/>
      </w:r>
      <w:r w:rsidRPr="00FD5BEE">
        <w:rPr>
          <w:rFonts w:ascii="Simplified Arabic" w:hAnsi="Simplified Arabic" w:cs="Simplified Arabic"/>
          <w:rtl/>
        </w:rPr>
        <w:t>)</w:t>
      </w:r>
      <w:r w:rsidRPr="00FD5BEE">
        <w:rPr>
          <w:rFonts w:ascii="Simplified Arabic" w:hAnsi="Simplified Arabic" w:cs="Simplified Arabic" w:hint="cs"/>
          <w:rtl/>
        </w:rPr>
        <w:t xml:space="preserve"> لمزيد من التفصيل أنظر:</w:t>
      </w:r>
    </w:p>
    <w:p w14:paraId="38008FEE" w14:textId="77777777" w:rsidR="00270E6A" w:rsidRPr="00FD5BEE" w:rsidRDefault="00270E6A" w:rsidP="0041332D">
      <w:pPr>
        <w:pStyle w:val="FootnoteText"/>
        <w:numPr>
          <w:ilvl w:val="0"/>
          <w:numId w:val="23"/>
        </w:numPr>
        <w:ind w:left="567" w:right="142"/>
        <w:jc w:val="lowKashida"/>
        <w:rPr>
          <w:rFonts w:ascii="Simplified Arabic" w:hAnsi="Simplified Arabic" w:cs="Simplified Arabic"/>
          <w:rtl/>
        </w:rPr>
      </w:pPr>
      <w:r w:rsidRPr="00FD5BEE">
        <w:rPr>
          <w:rFonts w:ascii="Simplified Arabic" w:hAnsi="Simplified Arabic" w:cs="Simplified Arabic" w:hint="cs"/>
          <w:rtl/>
        </w:rPr>
        <w:t>وزارة المالية (2016). دليل تصنيف الموازنة العامة للدولة في جمهورية مصر العربية: وفقاً لإحصاءات مالية الحكومة لعام 2001. القاهرة. ص27.</w:t>
      </w:r>
    </w:p>
    <w:p w14:paraId="089E7A9A" w14:textId="77777777" w:rsidR="00270E6A" w:rsidRPr="00FD5BEE" w:rsidRDefault="00270E6A" w:rsidP="0041332D">
      <w:pPr>
        <w:pStyle w:val="FootnoteText"/>
        <w:numPr>
          <w:ilvl w:val="0"/>
          <w:numId w:val="23"/>
        </w:numPr>
        <w:ind w:left="567" w:right="142"/>
        <w:jc w:val="lowKashida"/>
        <w:rPr>
          <w:rFonts w:ascii="Simplified Arabic" w:hAnsi="Simplified Arabic" w:cs="Simplified Arabic"/>
          <w:rtl/>
        </w:rPr>
      </w:pPr>
      <w:r w:rsidRPr="00FD5BEE">
        <w:rPr>
          <w:rFonts w:ascii="Simplified Arabic" w:hAnsi="Simplified Arabic" w:cs="Simplified Arabic" w:hint="cs"/>
          <w:rtl/>
        </w:rPr>
        <w:t>عبد المعطي، علاء إبراهيم (2016). أذون وسندات الخزانة العامة: دراسة مقارنة. دار الفكر والقانون للنشر والتوزيع. المنصورة. ص 62-67.</w:t>
      </w:r>
    </w:p>
  </w:footnote>
  <w:footnote w:id="52">
    <w:p w14:paraId="42D210F4" w14:textId="77777777" w:rsidR="00270E6A" w:rsidRPr="008C087F" w:rsidRDefault="00270E6A" w:rsidP="002959BC">
      <w:pPr>
        <w:pStyle w:val="FootnoteText"/>
        <w:rPr>
          <w:rtl/>
        </w:rPr>
      </w:pPr>
      <w:r w:rsidRPr="008C087F">
        <w:rPr>
          <w:rtl/>
        </w:rPr>
        <w:t>(</w:t>
      </w:r>
      <w:r w:rsidRPr="008C087F">
        <w:rPr>
          <w:vertAlign w:val="superscript"/>
        </w:rPr>
        <w:footnoteRef/>
      </w:r>
      <w:r w:rsidRPr="008C087F">
        <w:rPr>
          <w:rtl/>
        </w:rPr>
        <w:t>)</w:t>
      </w:r>
      <w:r>
        <w:rPr>
          <w:rFonts w:hint="cs"/>
          <w:rtl/>
        </w:rPr>
        <w:t xml:space="preserve"> أعده الباحث بناءً على القانون رقم 53 لسنة 1973 بشأن الموازنة العامة للدولة وتعديلاته، ولائحته التنفيذية.</w:t>
      </w:r>
    </w:p>
  </w:footnote>
  <w:footnote w:id="53">
    <w:p w14:paraId="0FE14486" w14:textId="77777777" w:rsidR="00270E6A" w:rsidRPr="00FD5BEE" w:rsidRDefault="00270E6A" w:rsidP="002959BC">
      <w:pPr>
        <w:pStyle w:val="FootnoteText"/>
        <w:rPr>
          <w:rFonts w:ascii="Simplified Arabic" w:hAnsi="Simplified Arabic" w:cs="Simplified Arabic"/>
          <w:rtl/>
        </w:rPr>
      </w:pPr>
      <w:r w:rsidRPr="00FD5BEE">
        <w:rPr>
          <w:rFonts w:ascii="Simplified Arabic" w:hAnsi="Simplified Arabic" w:cs="Simplified Arabic"/>
          <w:rtl/>
        </w:rPr>
        <w:t>(</w:t>
      </w:r>
      <w:r w:rsidRPr="00FD5BEE">
        <w:rPr>
          <w:rFonts w:ascii="Simplified Arabic" w:hAnsi="Simplified Arabic" w:cs="Simplified Arabic"/>
        </w:rPr>
        <w:footnoteRef/>
      </w:r>
      <w:r w:rsidRPr="00FD5BEE">
        <w:rPr>
          <w:rFonts w:ascii="Simplified Arabic" w:hAnsi="Simplified Arabic" w:cs="Simplified Arabic"/>
          <w:rtl/>
        </w:rPr>
        <w:t>)</w:t>
      </w:r>
      <w:r w:rsidRPr="00FD5BEE">
        <w:rPr>
          <w:rFonts w:ascii="Simplified Arabic" w:hAnsi="Simplified Arabic" w:cs="Simplified Arabic" w:hint="cs"/>
          <w:rtl/>
        </w:rPr>
        <w:t xml:space="preserve"> </w:t>
      </w:r>
      <w:r w:rsidRPr="00FD5BEE">
        <w:rPr>
          <w:rFonts w:ascii="Simplified Arabic" w:hAnsi="Simplified Arabic" w:cs="Simplified Arabic"/>
          <w:rtl/>
        </w:rPr>
        <w:t>الاقتـصادي الالمـاني ادولـف فـاجنر</w:t>
      </w:r>
      <w:r w:rsidRPr="00FD5BEE">
        <w:rPr>
          <w:rFonts w:ascii="Simplified Arabic" w:hAnsi="Simplified Arabic" w:cs="Simplified Arabic" w:hint="cs"/>
          <w:rtl/>
        </w:rPr>
        <w:t xml:space="preserve"> (</w:t>
      </w:r>
      <w:r w:rsidRPr="00FD5BEE">
        <w:rPr>
          <w:rFonts w:ascii="Simplified Arabic" w:hAnsi="Simplified Arabic" w:cs="Simplified Arabic"/>
        </w:rPr>
        <w:t>Wagner. A</w:t>
      </w:r>
      <w:r w:rsidRPr="00FD5BEE">
        <w:rPr>
          <w:rFonts w:ascii="Simplified Arabic" w:hAnsi="Simplified Arabic" w:cs="Simplified Arabic" w:hint="cs"/>
          <w:rtl/>
        </w:rPr>
        <w:t xml:space="preserve">) أول من لاحظ العلاقة بين الإنفاق الحكومي والناتج المحلي الإجمالي وصاغ قانون سماه قانون التوسع المستمر للنشاط الحكومي، يقرر هذا القانون أن </w:t>
      </w:r>
      <w:r w:rsidRPr="00FD5BEE">
        <w:rPr>
          <w:rFonts w:ascii="Simplified Arabic" w:hAnsi="Simplified Arabic" w:cs="Simplified Arabic"/>
          <w:rtl/>
        </w:rPr>
        <w:t xml:space="preserve">الإنفاق الحكـومي ينمـو باسـتمرار سـواء فـي حجمـه المطلـق او النسبي بفعل التطور المتحقق في المجتمع، أي ان الحاجة الـى زيـادة نفقـات الدولـة </w:t>
      </w:r>
      <w:r w:rsidRPr="00FD5BEE">
        <w:rPr>
          <w:rFonts w:ascii="Simplified Arabic" w:hAnsi="Simplified Arabic" w:cs="Simplified Arabic" w:hint="cs"/>
          <w:rtl/>
        </w:rPr>
        <w:t xml:space="preserve">تعود إلى ثلاثة أسباب، أولها أن الطلب على السلع العامة ينمو مع ارتفاع معدلات التحضر والتصنيع ومن ثم التوسع في القطاع العام من أجل ضمان وكفاءة الأداء الاقتصادي. لمزيد من التفاصيل أنظر:  </w:t>
      </w:r>
    </w:p>
    <w:p w14:paraId="500E8106" w14:textId="77777777" w:rsidR="00270E6A" w:rsidRPr="00FD5BEE" w:rsidRDefault="00270E6A" w:rsidP="0041332D">
      <w:pPr>
        <w:pStyle w:val="FootnoteText"/>
        <w:numPr>
          <w:ilvl w:val="0"/>
          <w:numId w:val="23"/>
        </w:numPr>
        <w:jc w:val="lowKashida"/>
        <w:rPr>
          <w:rFonts w:ascii="Simplified Arabic" w:hAnsi="Simplified Arabic" w:cs="Simplified Arabic"/>
          <w:rtl/>
        </w:rPr>
      </w:pPr>
      <w:r w:rsidRPr="00FD5BEE">
        <w:rPr>
          <w:rFonts w:ascii="Simplified Arabic" w:hAnsi="Simplified Arabic" w:cs="Simplified Arabic" w:hint="cs"/>
          <w:rtl/>
        </w:rPr>
        <w:t>الغالبي، كريم سالم حسين، ا</w:t>
      </w:r>
      <w:r w:rsidRPr="00FD5BEE">
        <w:rPr>
          <w:rFonts w:ascii="Simplified Arabic" w:hAnsi="Simplified Arabic" w:cs="Simplified Arabic"/>
          <w:rtl/>
        </w:rPr>
        <w:t>لإنفاق الحكومي واختبار قانون فاجنر</w:t>
      </w:r>
      <w:r w:rsidRPr="00FD5BEE">
        <w:rPr>
          <w:rFonts w:ascii="Simplified Arabic" w:hAnsi="Simplified Arabic" w:cs="Simplified Arabic" w:hint="cs"/>
          <w:rtl/>
        </w:rPr>
        <w:t xml:space="preserve"> (</w:t>
      </w:r>
      <w:r w:rsidRPr="00FD5BEE">
        <w:rPr>
          <w:rFonts w:ascii="Simplified Arabic" w:hAnsi="Simplified Arabic" w:cs="Simplified Arabic"/>
        </w:rPr>
        <w:t>Wagner’s law</w:t>
      </w:r>
      <w:r w:rsidRPr="00FD5BEE">
        <w:rPr>
          <w:rFonts w:ascii="Simplified Arabic" w:hAnsi="Simplified Arabic" w:cs="Simplified Arabic" w:hint="cs"/>
          <w:rtl/>
        </w:rPr>
        <w:t>)</w:t>
      </w:r>
      <w:r w:rsidRPr="00FD5BEE">
        <w:rPr>
          <w:rFonts w:ascii="Simplified Arabic" w:hAnsi="Simplified Arabic" w:cs="Simplified Arabic"/>
        </w:rPr>
        <w:t xml:space="preserve"> </w:t>
      </w:r>
      <w:r w:rsidRPr="00FD5BEE">
        <w:rPr>
          <w:rFonts w:ascii="Simplified Arabic" w:hAnsi="Simplified Arabic" w:cs="Simplified Arabic" w:hint="cs"/>
          <w:rtl/>
        </w:rPr>
        <w:t>ف</w:t>
      </w:r>
      <w:r w:rsidRPr="00FD5BEE">
        <w:rPr>
          <w:rFonts w:ascii="Simplified Arabic" w:hAnsi="Simplified Arabic" w:cs="Simplified Arabic"/>
          <w:rtl/>
        </w:rPr>
        <w:t>ي العراق للمدة</w:t>
      </w:r>
      <w:r w:rsidRPr="00FD5BEE">
        <w:rPr>
          <w:rFonts w:ascii="Simplified Arabic" w:hAnsi="Simplified Arabic" w:cs="Simplified Arabic" w:hint="cs"/>
          <w:rtl/>
        </w:rPr>
        <w:t xml:space="preserve"> (1975- 2010)</w:t>
      </w:r>
      <w:r w:rsidRPr="00FD5BEE">
        <w:rPr>
          <w:rFonts w:ascii="Simplified Arabic" w:hAnsi="Simplified Arabic" w:cs="Simplified Arabic"/>
          <w:rtl/>
        </w:rPr>
        <w:t>:</w:t>
      </w:r>
      <w:r w:rsidRPr="00FD5BEE">
        <w:rPr>
          <w:rFonts w:ascii="Simplified Arabic" w:hAnsi="Simplified Arabic" w:cs="Simplified Arabic" w:hint="cs"/>
          <w:rtl/>
        </w:rPr>
        <w:t xml:space="preserve"> </w:t>
      </w:r>
      <w:r w:rsidRPr="00FD5BEE">
        <w:rPr>
          <w:rFonts w:ascii="Simplified Arabic" w:hAnsi="Simplified Arabic" w:cs="Simplified Arabic"/>
          <w:rtl/>
        </w:rPr>
        <w:t>تحليل قياسي</w:t>
      </w:r>
      <w:r w:rsidRPr="00FD5BEE">
        <w:rPr>
          <w:rFonts w:ascii="Simplified Arabic" w:hAnsi="Simplified Arabic" w:cs="Simplified Arabic" w:hint="cs"/>
          <w:rtl/>
        </w:rPr>
        <w:t>. الغربي للعلوم الاقتصادية والإدارية. السنة الثامنة. العدد الخامس والعشرون.  جامعة القادسية. كلية الإدارة والاقتصاد. ص 35. نقلاً عن</w:t>
      </w:r>
      <w:r w:rsidRPr="00FD5BEE">
        <w:rPr>
          <w:rFonts w:ascii="Simplified Arabic" w:hAnsi="Simplified Arabic" w:cs="Simplified Arabic"/>
        </w:rPr>
        <w:t>:</w:t>
      </w:r>
      <w:r w:rsidRPr="00FD5BEE">
        <w:rPr>
          <w:rFonts w:ascii="Simplified Arabic" w:hAnsi="Simplified Arabic" w:cs="Simplified Arabic" w:hint="cs"/>
          <w:rtl/>
        </w:rPr>
        <w:t xml:space="preserve"> </w:t>
      </w:r>
      <w:r w:rsidRPr="00FD5BEE">
        <w:rPr>
          <w:rFonts w:ascii="Simplified Arabic" w:hAnsi="Simplified Arabic" w:cs="Simplified Arabic"/>
        </w:rPr>
        <w:t>Bird, R.M. (1971). Wagner law of Expanding State. Public Finance. Vol. 26. No. 1. Pp 1-2</w:t>
      </w:r>
    </w:p>
  </w:footnote>
  <w:footnote w:id="54">
    <w:p w14:paraId="5778B3CC" w14:textId="77777777" w:rsidR="00270E6A" w:rsidRPr="00FD5BEE" w:rsidRDefault="00270E6A" w:rsidP="002959BC">
      <w:pPr>
        <w:pStyle w:val="FootnoteText"/>
        <w:rPr>
          <w:rFonts w:ascii="Simplified Arabic" w:hAnsi="Simplified Arabic" w:cs="Simplified Arabic"/>
          <w:rtl/>
        </w:rPr>
      </w:pPr>
      <w:r w:rsidRPr="00FD5BEE">
        <w:rPr>
          <w:rFonts w:ascii="Simplified Arabic" w:hAnsi="Simplified Arabic" w:cs="Simplified Arabic"/>
          <w:rtl/>
        </w:rPr>
        <w:t>(</w:t>
      </w:r>
      <w:r w:rsidRPr="00FD5BEE">
        <w:rPr>
          <w:rFonts w:ascii="Simplified Arabic" w:hAnsi="Simplified Arabic" w:cs="Simplified Arabic"/>
        </w:rPr>
        <w:footnoteRef/>
      </w:r>
      <w:r w:rsidRPr="00FD5BEE">
        <w:rPr>
          <w:rFonts w:ascii="Simplified Arabic" w:hAnsi="Simplified Arabic" w:cs="Simplified Arabic"/>
          <w:rtl/>
        </w:rPr>
        <w:t>)</w:t>
      </w:r>
      <w:r w:rsidRPr="00FD5BEE">
        <w:rPr>
          <w:rFonts w:ascii="Simplified Arabic" w:hAnsi="Simplified Arabic" w:cs="Simplified Arabic" w:hint="cs"/>
          <w:rtl/>
        </w:rPr>
        <w:t xml:space="preserve"> المصدر بيانات البنك الدولي </w:t>
      </w:r>
    </w:p>
    <w:p w14:paraId="4C96732C" w14:textId="77777777" w:rsidR="00270E6A" w:rsidRPr="00FD5BEE" w:rsidRDefault="00270E6A" w:rsidP="002959BC">
      <w:pPr>
        <w:pStyle w:val="FootnoteText"/>
        <w:bidi w:val="0"/>
        <w:ind w:left="425" w:hanging="425"/>
        <w:jc w:val="both"/>
        <w:rPr>
          <w:rFonts w:asciiTheme="majorHAnsi" w:hAnsiTheme="majorHAnsi" w:cs="Times New Roman"/>
          <w:shd w:val="clear" w:color="auto" w:fill="FFFFFF"/>
          <w:rtl/>
        </w:rPr>
      </w:pPr>
      <w:hyperlink r:id="rId4" w:history="1">
        <w:r w:rsidRPr="00FD5BEE">
          <w:rPr>
            <w:rFonts w:asciiTheme="majorHAnsi" w:hAnsiTheme="majorHAnsi" w:cs="Times New Roman"/>
            <w:shd w:val="clear" w:color="auto" w:fill="FFFFFF"/>
          </w:rPr>
          <w:t>https://data.albankaldawli.org/indicator/NG.GNP.PACP.KN?start=1990&amp;locations=EG</w:t>
        </w:r>
      </w:hyperlink>
      <w:r w:rsidRPr="00FD5BEE">
        <w:rPr>
          <w:rFonts w:asciiTheme="majorHAnsi" w:hAnsiTheme="majorHAnsi" w:cs="Times New Roman" w:hint="cs"/>
          <w:shd w:val="clear" w:color="auto" w:fill="FFFFFF"/>
          <w:rtl/>
        </w:rPr>
        <w:t xml:space="preserve">   </w:t>
      </w:r>
    </w:p>
  </w:footnote>
  <w:footnote w:id="55">
    <w:p w14:paraId="42CD4590" w14:textId="77777777" w:rsidR="00270E6A" w:rsidRPr="00FD5BEE" w:rsidRDefault="00270E6A" w:rsidP="002959BC">
      <w:pPr>
        <w:pStyle w:val="FootnoteText"/>
        <w:rPr>
          <w:rFonts w:ascii="Simplified Arabic" w:hAnsi="Simplified Arabic" w:cs="Simplified Arabic"/>
          <w:rtl/>
        </w:rPr>
      </w:pPr>
      <w:r w:rsidRPr="00FD5BEE">
        <w:rPr>
          <w:rFonts w:ascii="Simplified Arabic" w:hAnsi="Simplified Arabic" w:cs="Simplified Arabic"/>
          <w:rtl/>
        </w:rPr>
        <w:t>(</w:t>
      </w:r>
      <w:r w:rsidRPr="00FD5BEE">
        <w:rPr>
          <w:rFonts w:ascii="Simplified Arabic" w:hAnsi="Simplified Arabic" w:cs="Simplified Arabic"/>
        </w:rPr>
        <w:footnoteRef/>
      </w:r>
      <w:r w:rsidRPr="00FD5BEE">
        <w:rPr>
          <w:rFonts w:ascii="Simplified Arabic" w:hAnsi="Simplified Arabic" w:cs="Simplified Arabic"/>
          <w:rtl/>
        </w:rPr>
        <w:t>)</w:t>
      </w:r>
      <w:r w:rsidRPr="00FD5BEE">
        <w:rPr>
          <w:rFonts w:ascii="Simplified Arabic" w:hAnsi="Simplified Arabic" w:cs="Simplified Arabic" w:hint="cs"/>
          <w:rtl/>
        </w:rPr>
        <w:t xml:space="preserve"> لمزيد من التفاصيل: </w:t>
      </w:r>
    </w:p>
    <w:p w14:paraId="57F27256" w14:textId="77777777" w:rsidR="00270E6A" w:rsidRPr="00FD5BEE" w:rsidRDefault="00270E6A" w:rsidP="0041332D">
      <w:pPr>
        <w:pStyle w:val="FootnoteText"/>
        <w:numPr>
          <w:ilvl w:val="0"/>
          <w:numId w:val="22"/>
        </w:numPr>
        <w:bidi w:val="0"/>
        <w:ind w:left="284" w:right="425" w:hanging="284"/>
        <w:jc w:val="both"/>
        <w:rPr>
          <w:rFonts w:asciiTheme="majorHAnsi" w:hAnsiTheme="majorHAnsi" w:cs="Times New Roman"/>
          <w:shd w:val="clear" w:color="auto" w:fill="FFFFFF"/>
        </w:rPr>
      </w:pPr>
      <w:r w:rsidRPr="00FD5BEE">
        <w:rPr>
          <w:rFonts w:asciiTheme="majorHAnsi" w:hAnsiTheme="majorHAnsi" w:cs="Times New Roman"/>
          <w:shd w:val="clear" w:color="auto" w:fill="FFFFFF"/>
        </w:rPr>
        <w:t xml:space="preserve">Kreiner, Claus Thustrup; Andersen, Torben (2015). Baumol's Cost Disease and the Sustainability of the Welfare State. Economic Policy Research Unit, Inst. of Economics, University of Copenhagen. </w:t>
      </w:r>
    </w:p>
  </w:footnote>
  <w:footnote w:id="56">
    <w:p w14:paraId="0B1942F5" w14:textId="77777777" w:rsidR="00270E6A" w:rsidRDefault="00270E6A" w:rsidP="002959BC">
      <w:pPr>
        <w:pStyle w:val="FootnoteText"/>
        <w:rPr>
          <w:rFonts w:ascii="Simplified Arabic" w:hAnsi="Simplified Arabic" w:cs="Simplified Arabic"/>
          <w:rtl/>
        </w:rPr>
      </w:pPr>
      <w:r w:rsidRPr="00FD5BEE">
        <w:rPr>
          <w:rFonts w:ascii="Simplified Arabic" w:hAnsi="Simplified Arabic" w:cs="Simplified Arabic"/>
          <w:rtl/>
        </w:rPr>
        <w:t>(</w:t>
      </w:r>
      <w:r w:rsidRPr="00FD5BEE">
        <w:rPr>
          <w:rFonts w:ascii="Simplified Arabic" w:hAnsi="Simplified Arabic" w:cs="Simplified Arabic"/>
        </w:rPr>
        <w:footnoteRef/>
      </w:r>
      <w:r w:rsidRPr="00FD5BEE">
        <w:rPr>
          <w:rFonts w:ascii="Simplified Arabic" w:hAnsi="Simplified Arabic" w:cs="Simplified Arabic"/>
          <w:rtl/>
        </w:rPr>
        <w:t>)</w:t>
      </w:r>
      <w:r>
        <w:rPr>
          <w:rFonts w:ascii="Simplified Arabic" w:hAnsi="Simplified Arabic" w:cs="Simplified Arabic" w:hint="cs"/>
          <w:rtl/>
        </w:rPr>
        <w:t xml:space="preserve"> </w:t>
      </w:r>
      <w:r w:rsidRPr="00FD5BEE">
        <w:rPr>
          <w:rFonts w:ascii="Simplified Arabic" w:hAnsi="Simplified Arabic" w:cs="Simplified Arabic" w:hint="cs"/>
          <w:rtl/>
        </w:rPr>
        <w:t>المصدر</w:t>
      </w:r>
      <w:r>
        <w:rPr>
          <w:rFonts w:ascii="Simplified Arabic" w:hAnsi="Simplified Arabic" w:cs="Simplified Arabic" w:hint="cs"/>
          <w:rtl/>
        </w:rPr>
        <w:t xml:space="preserve"> قاعدة</w:t>
      </w:r>
      <w:r w:rsidRPr="00FD5BEE">
        <w:rPr>
          <w:rFonts w:ascii="Simplified Arabic" w:hAnsi="Simplified Arabic" w:cs="Simplified Arabic" w:hint="cs"/>
          <w:rtl/>
        </w:rPr>
        <w:t xml:space="preserve"> بيانات البنك الدولي</w:t>
      </w:r>
    </w:p>
    <w:p w14:paraId="632A7231" w14:textId="77777777" w:rsidR="00270E6A" w:rsidRPr="00FD5BEE" w:rsidRDefault="00270E6A" w:rsidP="002959BC">
      <w:pPr>
        <w:pStyle w:val="FootnoteText"/>
        <w:bidi w:val="0"/>
        <w:rPr>
          <w:rFonts w:asciiTheme="majorHAnsi" w:hAnsiTheme="majorHAnsi" w:cs="Times New Roman"/>
          <w:shd w:val="clear" w:color="auto" w:fill="FFFFFF"/>
          <w:rtl/>
        </w:rPr>
      </w:pPr>
      <w:r w:rsidRPr="00127548">
        <w:rPr>
          <w:rFonts w:asciiTheme="majorHAnsi" w:hAnsiTheme="majorHAnsi" w:cs="Times New Roman"/>
          <w:shd w:val="clear" w:color="auto" w:fill="FFFFFF"/>
        </w:rPr>
        <w:t>https://data.albankaldawli.org/indicator/SP.POP.TOTL?locations=EG</w:t>
      </w:r>
      <w:r w:rsidRPr="00FD5BEE">
        <w:rPr>
          <w:rFonts w:asciiTheme="majorHAnsi" w:hAnsiTheme="majorHAnsi" w:cs="Times New Roman" w:hint="cs"/>
          <w:shd w:val="clear" w:color="auto" w:fill="FFFFFF"/>
          <w:rtl/>
        </w:rPr>
        <w:t xml:space="preserve">   </w:t>
      </w:r>
    </w:p>
  </w:footnote>
  <w:footnote w:id="57">
    <w:p w14:paraId="6E6B9CB0" w14:textId="77777777" w:rsidR="00270E6A" w:rsidRPr="005674E1" w:rsidRDefault="00270E6A" w:rsidP="002959BC">
      <w:pPr>
        <w:pStyle w:val="FootnoteText"/>
        <w:jc w:val="both"/>
        <w:rPr>
          <w:rFonts w:ascii="Simplified Arabic" w:hAnsi="Simplified Arabic" w:cs="Simplified Arabic"/>
          <w:rtl/>
        </w:rPr>
      </w:pPr>
      <w:r w:rsidRPr="00FD5BEE">
        <w:rPr>
          <w:rFonts w:ascii="Simplified Arabic" w:hAnsi="Simplified Arabic" w:cs="Simplified Arabic"/>
          <w:rtl/>
        </w:rPr>
        <w:t>(</w:t>
      </w:r>
      <w:r w:rsidRPr="00FD5BEE">
        <w:rPr>
          <w:rFonts w:ascii="Simplified Arabic" w:hAnsi="Simplified Arabic" w:cs="Simplified Arabic"/>
        </w:rPr>
        <w:footnoteRef/>
      </w:r>
      <w:r w:rsidRPr="00FD5BEE">
        <w:rPr>
          <w:rFonts w:ascii="Simplified Arabic" w:hAnsi="Simplified Arabic" w:cs="Simplified Arabic"/>
          <w:rtl/>
        </w:rPr>
        <w:t>)</w:t>
      </w:r>
      <w:r w:rsidRPr="00FD5BEE">
        <w:rPr>
          <w:rFonts w:ascii="Simplified Arabic" w:hAnsi="Simplified Arabic" w:cs="Simplified Arabic" w:hint="cs"/>
          <w:rtl/>
        </w:rPr>
        <w:t xml:space="preserve"> </w:t>
      </w:r>
      <w:r w:rsidRPr="005674E1">
        <w:rPr>
          <w:rFonts w:ascii="Simplified Arabic" w:hAnsi="Simplified Arabic" w:cs="Simplified Arabic"/>
          <w:rtl/>
        </w:rPr>
        <w:t>المتولي، عمرو محمد محمد (2016). إطار مقترح لعلاج عجز الموازنة العامة للدولة في ضوء بعض التجارب الدولية: دراسة حالة لجمهورية مصر العربية. أطروحة (ماجستير). معهد التخطيط القومي. القاهرة ص21.</w:t>
      </w:r>
    </w:p>
  </w:footnote>
  <w:footnote w:id="58">
    <w:p w14:paraId="3166F271" w14:textId="77777777" w:rsidR="00270E6A" w:rsidRPr="005674E1" w:rsidRDefault="00270E6A" w:rsidP="002959BC">
      <w:pPr>
        <w:pStyle w:val="FootnoteText"/>
        <w:jc w:val="both"/>
        <w:rPr>
          <w:rFonts w:ascii="Simplified Arabic" w:hAnsi="Simplified Arabic" w:cs="Simplified Arabic"/>
          <w:rtl/>
        </w:rPr>
      </w:pPr>
      <w:r w:rsidRPr="005674E1">
        <w:rPr>
          <w:rFonts w:ascii="Simplified Arabic" w:hAnsi="Simplified Arabic" w:cs="Simplified Arabic"/>
          <w:rtl/>
        </w:rPr>
        <w:t>(</w:t>
      </w:r>
      <w:r w:rsidRPr="005674E1">
        <w:rPr>
          <w:rFonts w:ascii="Simplified Arabic" w:hAnsi="Simplified Arabic" w:cs="Simplified Arabic"/>
        </w:rPr>
        <w:footnoteRef/>
      </w:r>
      <w:r w:rsidRPr="005674E1">
        <w:rPr>
          <w:rFonts w:ascii="Simplified Arabic" w:hAnsi="Simplified Arabic" w:cs="Simplified Arabic"/>
          <w:rtl/>
        </w:rPr>
        <w:t xml:space="preserve">) المصدر: </w:t>
      </w:r>
    </w:p>
    <w:p w14:paraId="556F9F1C" w14:textId="77777777" w:rsidR="00270E6A" w:rsidRPr="005674E1" w:rsidRDefault="00270E6A" w:rsidP="0041332D">
      <w:pPr>
        <w:pStyle w:val="ListParagraph"/>
        <w:numPr>
          <w:ilvl w:val="0"/>
          <w:numId w:val="22"/>
        </w:numPr>
        <w:spacing w:after="0" w:line="240" w:lineRule="auto"/>
        <w:ind w:left="567" w:hanging="284"/>
        <w:contextualSpacing w:val="0"/>
        <w:jc w:val="both"/>
        <w:rPr>
          <w:rFonts w:ascii="Simplified Arabic" w:hAnsi="Simplified Arabic" w:cs="Simplified Arabic"/>
          <w:sz w:val="24"/>
          <w:szCs w:val="24"/>
          <w:lang w:bidi="ar-EG"/>
        </w:rPr>
      </w:pPr>
      <w:r w:rsidRPr="005674E1">
        <w:rPr>
          <w:rFonts w:ascii="Simplified Arabic" w:hAnsi="Simplified Arabic" w:cs="Simplified Arabic"/>
          <w:sz w:val="24"/>
          <w:szCs w:val="24"/>
          <w:rtl/>
          <w:lang w:bidi="ar-EG"/>
        </w:rPr>
        <w:t>وزارة المالية. التقرير المالي الشهري. مايو 2020. مجلد (15)، عدد (7) -  ص 3.</w:t>
      </w:r>
    </w:p>
    <w:p w14:paraId="3637C8A5" w14:textId="77777777" w:rsidR="00270E6A" w:rsidRPr="00FD5BEE" w:rsidRDefault="00270E6A" w:rsidP="0041332D">
      <w:pPr>
        <w:pStyle w:val="FootnoteText"/>
        <w:numPr>
          <w:ilvl w:val="0"/>
          <w:numId w:val="22"/>
        </w:numPr>
        <w:ind w:left="567" w:hanging="284"/>
        <w:jc w:val="both"/>
        <w:rPr>
          <w:rFonts w:ascii="Simplified Arabic" w:hAnsi="Simplified Arabic" w:cs="Simplified Arabic"/>
          <w:rtl/>
        </w:rPr>
      </w:pPr>
      <w:r w:rsidRPr="005674E1">
        <w:rPr>
          <w:rFonts w:ascii="Simplified Arabic" w:hAnsi="Simplified Arabic" w:cs="Simplified Arabic"/>
          <w:shd w:val="clear" w:color="auto" w:fill="FFFFFF"/>
          <w:rtl/>
        </w:rPr>
        <w:t xml:space="preserve">قاعدة بيانات البنك الدولي </w:t>
      </w:r>
      <w:hyperlink r:id="rId5" w:history="1">
        <w:r w:rsidRPr="00405617">
          <w:rPr>
            <w:rFonts w:asciiTheme="majorHAnsi" w:hAnsiTheme="majorHAnsi" w:cs="Times New Roman"/>
            <w:shd w:val="clear" w:color="auto" w:fill="FFFFFF"/>
          </w:rPr>
          <w:t>https://data.albankaldawli.org/indicator/GC.TAX.TOTL.GD.ZS</w:t>
        </w:r>
      </w:hyperlink>
    </w:p>
  </w:footnote>
  <w:footnote w:id="59">
    <w:p w14:paraId="151922C2" w14:textId="77777777" w:rsidR="00270E6A" w:rsidRDefault="00270E6A" w:rsidP="002959BC">
      <w:pPr>
        <w:pStyle w:val="FootnoteText"/>
        <w:jc w:val="both"/>
        <w:rPr>
          <w:rFonts w:ascii="Simplified Arabic" w:hAnsi="Simplified Arabic" w:cs="Simplified Arabic"/>
        </w:rPr>
      </w:pPr>
      <w:r w:rsidRPr="005674E1">
        <w:rPr>
          <w:rFonts w:ascii="Simplified Arabic" w:hAnsi="Simplified Arabic" w:cs="Simplified Arabic"/>
          <w:rtl/>
        </w:rPr>
        <w:t>(</w:t>
      </w:r>
      <w:r w:rsidRPr="005674E1">
        <w:rPr>
          <w:rFonts w:ascii="Simplified Arabic" w:hAnsi="Simplified Arabic" w:cs="Simplified Arabic"/>
        </w:rPr>
        <w:footnoteRef/>
      </w:r>
      <w:r w:rsidRPr="005674E1">
        <w:rPr>
          <w:rFonts w:ascii="Simplified Arabic" w:hAnsi="Simplified Arabic" w:cs="Simplified Arabic"/>
          <w:rtl/>
        </w:rPr>
        <w:t xml:space="preserve">) </w:t>
      </w:r>
      <w:r>
        <w:rPr>
          <w:rFonts w:ascii="Simplified Arabic" w:hAnsi="Simplified Arabic" w:cs="Simplified Arabic" w:hint="cs"/>
          <w:rtl/>
        </w:rPr>
        <w:t xml:space="preserve">رأي في أزمة: الاقتصاد غير الرسمي. المركز المصري للدراسات الاقتصادية. العدد 7. بتاريخ 6-4-2020. ص3. نقلاً عن:   </w:t>
      </w:r>
    </w:p>
    <w:p w14:paraId="00572487" w14:textId="77777777" w:rsidR="00270E6A" w:rsidRPr="00405617" w:rsidRDefault="00270E6A" w:rsidP="0041332D">
      <w:pPr>
        <w:pStyle w:val="FootnoteText"/>
        <w:numPr>
          <w:ilvl w:val="0"/>
          <w:numId w:val="22"/>
        </w:numPr>
        <w:bidi w:val="0"/>
        <w:ind w:left="284" w:right="425" w:hanging="284"/>
        <w:jc w:val="both"/>
        <w:rPr>
          <w:rFonts w:asciiTheme="majorHAnsi" w:hAnsiTheme="majorHAnsi" w:cs="Times New Roman"/>
          <w:shd w:val="clear" w:color="auto" w:fill="FFFFFF"/>
          <w:rtl/>
        </w:rPr>
      </w:pPr>
      <w:r w:rsidRPr="00405617">
        <w:rPr>
          <w:rFonts w:asciiTheme="majorHAnsi" w:hAnsiTheme="majorHAnsi" w:cs="Times New Roman"/>
          <w:shd w:val="clear" w:color="auto" w:fill="FFFFFF"/>
        </w:rPr>
        <w:t>Medina, L. and F. Schneider. 2018. Shadow Economies Around the World: What Did We Learn Over the Last 20 Years? IMF Working Paper 18/17</w:t>
      </w:r>
    </w:p>
  </w:footnote>
  <w:footnote w:id="60">
    <w:p w14:paraId="5052596A" w14:textId="77777777" w:rsidR="00270E6A" w:rsidRPr="005F470C" w:rsidRDefault="00270E6A" w:rsidP="002959BC">
      <w:pPr>
        <w:pStyle w:val="FootnoteText"/>
        <w:rPr>
          <w:rtl/>
        </w:rPr>
      </w:pPr>
      <w:r w:rsidRPr="005F470C">
        <w:rPr>
          <w:rtl/>
        </w:rPr>
        <w:t>(</w:t>
      </w:r>
      <w:r w:rsidRPr="005F470C">
        <w:rPr>
          <w:vertAlign w:val="superscript"/>
        </w:rPr>
        <w:footnoteRef/>
      </w:r>
      <w:r w:rsidRPr="005F470C">
        <w:rPr>
          <w:rtl/>
        </w:rPr>
        <w:t>) معتوق، سهير محمود (1990). سياسة التمويل التضخمي ومدى فاعليتها في السنوات التسعينية. المؤتمر العلمي السنوي الخامس عشر للاقتصاديين المصريين: السياسات الاقتصادية لمصر في التسعينات. الجمعية المصرية للاقتصاد السياسي والإحصاء والتشريع. القاهرة. ص 40.</w:t>
      </w:r>
    </w:p>
  </w:footnote>
  <w:footnote w:id="61">
    <w:p w14:paraId="023D12ED" w14:textId="77777777" w:rsidR="00270E6A" w:rsidRPr="008C087F" w:rsidRDefault="00270E6A" w:rsidP="002959BC">
      <w:pPr>
        <w:pStyle w:val="FootnoteText"/>
        <w:rPr>
          <w:rtl/>
        </w:rPr>
      </w:pPr>
      <w:r w:rsidRPr="008C087F">
        <w:rPr>
          <w:rtl/>
        </w:rPr>
        <w:t>(</w:t>
      </w:r>
      <w:r w:rsidRPr="005F470C">
        <w:footnoteRef/>
      </w:r>
      <w:r w:rsidRPr="008C087F">
        <w:rPr>
          <w:rtl/>
        </w:rPr>
        <w:t>)</w:t>
      </w:r>
      <w:r>
        <w:rPr>
          <w:rFonts w:hint="cs"/>
          <w:rtl/>
        </w:rPr>
        <w:t xml:space="preserve"> أحمد، </w:t>
      </w:r>
      <w:r>
        <w:rPr>
          <w:rtl/>
        </w:rPr>
        <w:t xml:space="preserve">عبد الرحمن </w:t>
      </w:r>
      <w:r>
        <w:rPr>
          <w:rFonts w:hint="cs"/>
          <w:rtl/>
        </w:rPr>
        <w:t xml:space="preserve">يسري (1981). التنمية الاقتصادية والاجتماعية في الإسلام. مؤسسة شباب الجامعة. الإسكندرية. </w:t>
      </w:r>
      <w:r>
        <w:rPr>
          <w:rtl/>
        </w:rPr>
        <w:t>ص78</w:t>
      </w:r>
      <w:r>
        <w:rPr>
          <w:rFonts w:hint="cs"/>
          <w:rtl/>
        </w:rPr>
        <w:t>.</w:t>
      </w:r>
    </w:p>
  </w:footnote>
  <w:footnote w:id="62">
    <w:p w14:paraId="7C0BB249" w14:textId="77777777" w:rsidR="00270E6A" w:rsidRPr="00CC4C03" w:rsidRDefault="00270E6A" w:rsidP="002959BC">
      <w:pPr>
        <w:pStyle w:val="FootnoteText"/>
        <w:rPr>
          <w:rtl/>
        </w:rPr>
      </w:pPr>
      <w:r w:rsidRPr="008C087F">
        <w:rPr>
          <w:rtl/>
        </w:rPr>
        <w:t>(</w:t>
      </w:r>
      <w:r w:rsidRPr="005F470C">
        <w:footnoteRef/>
      </w:r>
      <w:r w:rsidRPr="008C087F">
        <w:rPr>
          <w:rtl/>
        </w:rPr>
        <w:t>)</w:t>
      </w:r>
      <w:r>
        <w:rPr>
          <w:rFonts w:hint="cs"/>
          <w:rtl/>
        </w:rPr>
        <w:t xml:space="preserve"> </w:t>
      </w:r>
      <w:r w:rsidRPr="00CC4C03">
        <w:rPr>
          <w:rFonts w:hint="cs"/>
          <w:rtl/>
        </w:rPr>
        <w:t>راشد</w:t>
      </w:r>
      <w:r>
        <w:rPr>
          <w:rFonts w:hint="cs"/>
          <w:rtl/>
        </w:rPr>
        <w:t xml:space="preserve">، </w:t>
      </w:r>
      <w:r w:rsidRPr="00CC4C03">
        <w:rPr>
          <w:rFonts w:hint="cs"/>
          <w:rtl/>
        </w:rPr>
        <w:t xml:space="preserve">منير </w:t>
      </w:r>
      <w:r>
        <w:rPr>
          <w:rFonts w:hint="cs"/>
          <w:rtl/>
        </w:rPr>
        <w:t>(1998)</w:t>
      </w:r>
      <w:r w:rsidRPr="00CC4C03">
        <w:rPr>
          <w:rFonts w:hint="cs"/>
          <w:rtl/>
        </w:rPr>
        <w:t>. تصميم برامج الاستقرار والتصحيح الاقتصادي، صندوق النقد العربي، معهد السياسات الاقتصادية. أبو ظب</w:t>
      </w:r>
      <w:r w:rsidRPr="00CC4C03">
        <w:rPr>
          <w:rFonts w:hint="eastAsia"/>
          <w:rtl/>
        </w:rPr>
        <w:t>ي</w:t>
      </w:r>
      <w:r>
        <w:rPr>
          <w:rFonts w:hint="cs"/>
          <w:rtl/>
        </w:rPr>
        <w:t>.</w:t>
      </w:r>
    </w:p>
  </w:footnote>
  <w:footnote w:id="63">
    <w:p w14:paraId="67C39075" w14:textId="77777777" w:rsidR="00270E6A" w:rsidRPr="00742E6D" w:rsidRDefault="00270E6A" w:rsidP="002959BC">
      <w:pPr>
        <w:pStyle w:val="FootnoteText"/>
        <w:rPr>
          <w:rtl/>
        </w:rPr>
      </w:pPr>
      <w:r w:rsidRPr="005F470C">
        <w:t>(</w:t>
      </w:r>
      <w:r w:rsidRPr="005F470C">
        <w:footnoteRef/>
      </w:r>
      <w:r w:rsidRPr="005F470C">
        <w:t>)</w:t>
      </w:r>
      <w:r>
        <w:rPr>
          <w:rFonts w:hint="cs"/>
          <w:rtl/>
        </w:rPr>
        <w:t xml:space="preserve"> </w:t>
      </w:r>
      <w:r w:rsidRPr="005F470C">
        <w:t xml:space="preserve"> </w:t>
      </w:r>
      <w:r>
        <w:rPr>
          <w:rFonts w:hint="cs"/>
          <w:rtl/>
        </w:rPr>
        <w:t xml:space="preserve">حسين، رحيم (2013) تحليل ظاهرة التضخم: أي تفسير لأي اقتصاد؟. جامعة جيجل. كلية العلوم الاقتصادية والتجارية وعلوم التسيير. الملتقى الوطني الثاني حول التضخم في الجزائر. ص 8. نقلاً عن: </w:t>
      </w:r>
    </w:p>
    <w:p w14:paraId="5489C5AC" w14:textId="77777777" w:rsidR="00270E6A" w:rsidRPr="005F470C" w:rsidRDefault="00270E6A" w:rsidP="002959BC">
      <w:pPr>
        <w:pStyle w:val="FootnoteText"/>
        <w:jc w:val="right"/>
        <w:rPr>
          <w:rtl/>
        </w:rPr>
      </w:pPr>
      <w:r w:rsidRPr="005F470C">
        <w:t>Friedman, Milton. Inflation et systèémes monetaires. Calmam-levy, Paris. 1975. P148</w:t>
      </w:r>
      <w:r w:rsidRPr="005F470C">
        <w:rPr>
          <w:rtl/>
        </w:rPr>
        <w:t xml:space="preserve">   </w:t>
      </w:r>
    </w:p>
  </w:footnote>
  <w:footnote w:id="64">
    <w:p w14:paraId="44714A46" w14:textId="77777777" w:rsidR="00270E6A" w:rsidRPr="008C087F" w:rsidRDefault="00270E6A" w:rsidP="002959BC">
      <w:pPr>
        <w:pStyle w:val="FootnoteText"/>
        <w:rPr>
          <w:rtl/>
        </w:rPr>
      </w:pPr>
      <w:r w:rsidRPr="008C087F">
        <w:rPr>
          <w:rtl/>
        </w:rPr>
        <w:t>(</w:t>
      </w:r>
      <w:r w:rsidRPr="005F470C">
        <w:footnoteRef/>
      </w:r>
      <w:r w:rsidRPr="008C087F">
        <w:rPr>
          <w:rtl/>
        </w:rPr>
        <w:t>)</w:t>
      </w:r>
      <w:r>
        <w:rPr>
          <w:rFonts w:hint="cs"/>
          <w:rtl/>
        </w:rPr>
        <w:t xml:space="preserve"> معتوق، سهير محمود (1990). مرجع سبق </w:t>
      </w:r>
      <w:r w:rsidRPr="00662F24">
        <w:rPr>
          <w:rtl/>
        </w:rPr>
        <w:t>ذ</w:t>
      </w:r>
      <w:r>
        <w:rPr>
          <w:rFonts w:hint="cs"/>
          <w:rtl/>
        </w:rPr>
        <w:t>كره. ص 11.</w:t>
      </w:r>
    </w:p>
  </w:footnote>
  <w:footnote w:id="65">
    <w:p w14:paraId="493B43C2" w14:textId="77777777" w:rsidR="00270E6A" w:rsidRPr="008C087F" w:rsidRDefault="00270E6A" w:rsidP="002959BC">
      <w:pPr>
        <w:pStyle w:val="FootnoteText"/>
        <w:rPr>
          <w:rtl/>
        </w:rPr>
      </w:pPr>
      <w:r w:rsidRPr="008C087F">
        <w:rPr>
          <w:rtl/>
        </w:rPr>
        <w:t>(</w:t>
      </w:r>
      <w:r w:rsidRPr="005F470C">
        <w:footnoteRef/>
      </w:r>
      <w:r w:rsidRPr="008C087F">
        <w:rPr>
          <w:rtl/>
        </w:rPr>
        <w:t>)</w:t>
      </w:r>
      <w:r>
        <w:rPr>
          <w:rFonts w:hint="cs"/>
          <w:rtl/>
        </w:rPr>
        <w:t xml:space="preserve"> </w:t>
      </w:r>
      <w:r w:rsidRPr="00322E1E">
        <w:rPr>
          <w:rtl/>
        </w:rPr>
        <w:t>المتولي، عمرو محمد محمد (2016).</w:t>
      </w:r>
      <w:r w:rsidRPr="00322E1E">
        <w:rPr>
          <w:rFonts w:hint="cs"/>
          <w:rtl/>
        </w:rPr>
        <w:t xml:space="preserve"> </w:t>
      </w:r>
      <w:r>
        <w:rPr>
          <w:rFonts w:hint="cs"/>
          <w:rtl/>
        </w:rPr>
        <w:t xml:space="preserve">مرجع سبق </w:t>
      </w:r>
      <w:r w:rsidRPr="00662F24">
        <w:rPr>
          <w:rtl/>
        </w:rPr>
        <w:t>ذ</w:t>
      </w:r>
      <w:r>
        <w:rPr>
          <w:rFonts w:hint="cs"/>
          <w:rtl/>
        </w:rPr>
        <w:t xml:space="preserve">كره. </w:t>
      </w:r>
      <w:r w:rsidRPr="00322E1E">
        <w:rPr>
          <w:rFonts w:hint="cs"/>
          <w:rtl/>
        </w:rPr>
        <w:t>ص 40</w:t>
      </w:r>
      <w:r>
        <w:rPr>
          <w:rFonts w:hint="cs"/>
          <w:rtl/>
        </w:rPr>
        <w:t>.</w:t>
      </w:r>
    </w:p>
  </w:footnote>
  <w:footnote w:id="66">
    <w:p w14:paraId="01A34BA3" w14:textId="77777777" w:rsidR="00270E6A" w:rsidRPr="008C087F" w:rsidRDefault="00270E6A" w:rsidP="002959BC">
      <w:pPr>
        <w:pStyle w:val="FootnoteText"/>
        <w:rPr>
          <w:rtl/>
        </w:rPr>
      </w:pPr>
      <w:r w:rsidRPr="008C087F">
        <w:rPr>
          <w:rtl/>
        </w:rPr>
        <w:t>(</w:t>
      </w:r>
      <w:r w:rsidRPr="005F470C">
        <w:footnoteRef/>
      </w:r>
      <w:r w:rsidRPr="008C087F">
        <w:rPr>
          <w:rtl/>
        </w:rPr>
        <w:t>)</w:t>
      </w:r>
      <w:r>
        <w:rPr>
          <w:rFonts w:hint="cs"/>
          <w:rtl/>
        </w:rPr>
        <w:t xml:space="preserve"> زكي، رمزي (1991). محنة الديون وسياسات التحرر في دول العالم الثالث. دار العالم الثالث للطباعة والنشر. القاهرة. ص 331.</w:t>
      </w:r>
    </w:p>
  </w:footnote>
  <w:footnote w:id="67">
    <w:p w14:paraId="70995DBD" w14:textId="77777777" w:rsidR="00270E6A" w:rsidRPr="008C087F" w:rsidRDefault="00270E6A" w:rsidP="002959BC">
      <w:pPr>
        <w:pStyle w:val="FootnoteText"/>
        <w:rPr>
          <w:rtl/>
        </w:rPr>
      </w:pPr>
      <w:r w:rsidRPr="008C087F">
        <w:rPr>
          <w:rtl/>
        </w:rPr>
        <w:t>(</w:t>
      </w:r>
      <w:r w:rsidRPr="005F470C">
        <w:footnoteRef/>
      </w:r>
      <w:r w:rsidRPr="008C087F">
        <w:rPr>
          <w:rtl/>
        </w:rPr>
        <w:t>)</w:t>
      </w:r>
      <w:r>
        <w:rPr>
          <w:rFonts w:hint="cs"/>
          <w:rtl/>
        </w:rPr>
        <w:t xml:space="preserve"> صندوق النقد الدولي (1995). إدارة الشئون المالية. مبادئ إرشادية للتصحيح المالي. سلسلة كتيبات رقم (49) واشنطن. ص 11-12.</w:t>
      </w:r>
    </w:p>
  </w:footnote>
  <w:footnote w:id="68">
    <w:p w14:paraId="46AE1E56" w14:textId="77777777" w:rsidR="00270E6A" w:rsidRPr="008C087F" w:rsidRDefault="00270E6A" w:rsidP="002959BC">
      <w:pPr>
        <w:pStyle w:val="FootnoteText"/>
        <w:rPr>
          <w:rtl/>
        </w:rPr>
      </w:pPr>
      <w:r w:rsidRPr="008C087F">
        <w:rPr>
          <w:rtl/>
        </w:rPr>
        <w:t>(</w:t>
      </w:r>
      <w:r w:rsidRPr="005F470C">
        <w:footnoteRef/>
      </w:r>
      <w:r w:rsidRPr="008C087F">
        <w:rPr>
          <w:rtl/>
        </w:rPr>
        <w:t>)</w:t>
      </w:r>
      <w:r>
        <w:rPr>
          <w:rFonts w:hint="cs"/>
          <w:rtl/>
        </w:rPr>
        <w:t xml:space="preserve"> أمين، جلال (2012). قصة الاقتصاد المصري: من عهد محمد علي إلى عهد مبارك. دار الشروق. القاهرة. ص 120.</w:t>
      </w:r>
    </w:p>
  </w:footnote>
  <w:footnote w:id="69">
    <w:p w14:paraId="20CEA63B" w14:textId="77777777" w:rsidR="00270E6A" w:rsidRPr="008C087F" w:rsidRDefault="00270E6A" w:rsidP="002959BC">
      <w:pPr>
        <w:pStyle w:val="FootnoteText"/>
        <w:rPr>
          <w:rtl/>
        </w:rPr>
      </w:pPr>
      <w:r w:rsidRPr="008C087F">
        <w:rPr>
          <w:rtl/>
        </w:rPr>
        <w:t>(</w:t>
      </w:r>
      <w:r w:rsidRPr="005F470C">
        <w:footnoteRef/>
      </w:r>
      <w:r w:rsidRPr="008C087F">
        <w:rPr>
          <w:rtl/>
        </w:rPr>
        <w:t>)</w:t>
      </w:r>
      <w:r>
        <w:rPr>
          <w:rFonts w:hint="cs"/>
          <w:rtl/>
        </w:rPr>
        <w:t xml:space="preserve"> </w:t>
      </w:r>
      <w:r w:rsidRPr="00742E6D">
        <w:rPr>
          <w:rtl/>
        </w:rPr>
        <w:t xml:space="preserve">معوض، رانيا رمضان (2010). </w:t>
      </w:r>
      <w:r w:rsidRPr="00742E6D">
        <w:rPr>
          <w:rFonts w:hint="cs"/>
          <w:rtl/>
        </w:rPr>
        <w:t xml:space="preserve">مرجع سبق </w:t>
      </w:r>
      <w:r w:rsidRPr="00662F24">
        <w:rPr>
          <w:rtl/>
        </w:rPr>
        <w:t>ذ</w:t>
      </w:r>
      <w:r w:rsidRPr="00742E6D">
        <w:rPr>
          <w:rFonts w:hint="cs"/>
          <w:rtl/>
        </w:rPr>
        <w:t xml:space="preserve">كره. ص 13. </w:t>
      </w:r>
    </w:p>
  </w:footnote>
  <w:footnote w:id="70">
    <w:p w14:paraId="32CBE8DF" w14:textId="77777777" w:rsidR="00270E6A" w:rsidRPr="008C087F" w:rsidRDefault="00270E6A" w:rsidP="002959BC">
      <w:pPr>
        <w:pStyle w:val="FootnoteText"/>
        <w:rPr>
          <w:rtl/>
        </w:rPr>
      </w:pPr>
      <w:r w:rsidRPr="008C087F">
        <w:rPr>
          <w:rtl/>
        </w:rPr>
        <w:t>(</w:t>
      </w:r>
      <w:r w:rsidRPr="005F470C">
        <w:footnoteRef/>
      </w:r>
      <w:r w:rsidRPr="008C087F">
        <w:rPr>
          <w:rtl/>
        </w:rPr>
        <w:t>)</w:t>
      </w:r>
      <w:r>
        <w:rPr>
          <w:rFonts w:hint="cs"/>
          <w:rtl/>
        </w:rPr>
        <w:t xml:space="preserve"> </w:t>
      </w:r>
      <w:r w:rsidRPr="00742E6D">
        <w:rPr>
          <w:rtl/>
        </w:rPr>
        <w:t>ذكي</w:t>
      </w:r>
      <w:r>
        <w:rPr>
          <w:rFonts w:hint="cs"/>
          <w:rtl/>
        </w:rPr>
        <w:t>،</w:t>
      </w:r>
      <w:r w:rsidRPr="00742E6D">
        <w:rPr>
          <w:rtl/>
        </w:rPr>
        <w:t xml:space="preserve"> رمزي (1980). مشكلة التضخم في مصر: أسبابها ونتائجها مع برنامج مقترح لمكافحة الغلاء. الهيئة المصرية العامة للكتاب. القاهرة</w:t>
      </w:r>
      <w:r w:rsidRPr="00742E6D">
        <w:rPr>
          <w:rFonts w:hint="cs"/>
          <w:rtl/>
        </w:rPr>
        <w:t>. ص 110.</w:t>
      </w:r>
    </w:p>
  </w:footnote>
  <w:footnote w:id="71">
    <w:p w14:paraId="53B178C5" w14:textId="77777777" w:rsidR="00270E6A" w:rsidRPr="008C087F" w:rsidRDefault="00270E6A" w:rsidP="002959BC">
      <w:pPr>
        <w:pStyle w:val="FootnoteText"/>
        <w:rPr>
          <w:rtl/>
        </w:rPr>
      </w:pPr>
      <w:r w:rsidRPr="008C087F">
        <w:rPr>
          <w:rtl/>
        </w:rPr>
        <w:t>(</w:t>
      </w:r>
      <w:r w:rsidRPr="005F470C">
        <w:footnoteRef/>
      </w:r>
      <w:r w:rsidRPr="008C087F">
        <w:rPr>
          <w:rtl/>
        </w:rPr>
        <w:t>)</w:t>
      </w:r>
      <w:r>
        <w:rPr>
          <w:rFonts w:hint="cs"/>
          <w:rtl/>
        </w:rPr>
        <w:t xml:space="preserve"> لمزيد من التفاصيل أنظر: </w:t>
      </w:r>
      <w:r w:rsidRPr="00662F24">
        <w:rPr>
          <w:rtl/>
        </w:rPr>
        <w:t>معوض، رانيا رمضان (2010).</w:t>
      </w:r>
      <w:r w:rsidRPr="00662F24">
        <w:rPr>
          <w:rFonts w:hint="cs"/>
          <w:rtl/>
        </w:rPr>
        <w:t xml:space="preserve"> مصدر </w:t>
      </w:r>
      <w:r>
        <w:rPr>
          <w:rFonts w:hint="cs"/>
          <w:rtl/>
        </w:rPr>
        <w:t xml:space="preserve">سبق </w:t>
      </w:r>
      <w:r w:rsidRPr="00662F24">
        <w:rPr>
          <w:rtl/>
        </w:rPr>
        <w:t>ذ</w:t>
      </w:r>
      <w:r w:rsidRPr="00662F24">
        <w:rPr>
          <w:rFonts w:hint="cs"/>
          <w:rtl/>
        </w:rPr>
        <w:t>كره. ص ص 11 - 12</w:t>
      </w:r>
      <w:r w:rsidRPr="00742E6D">
        <w:rPr>
          <w:rFonts w:hint="cs"/>
          <w:rtl/>
        </w:rPr>
        <w:t>.</w:t>
      </w:r>
    </w:p>
  </w:footnote>
  <w:footnote w:id="72">
    <w:p w14:paraId="5A72FB86" w14:textId="77777777" w:rsidR="00270E6A" w:rsidRPr="008C087F" w:rsidRDefault="00270E6A" w:rsidP="002959BC">
      <w:pPr>
        <w:pStyle w:val="FootnoteText"/>
        <w:rPr>
          <w:rtl/>
        </w:rPr>
      </w:pPr>
      <w:r w:rsidRPr="008C087F">
        <w:rPr>
          <w:rtl/>
        </w:rPr>
        <w:t>(</w:t>
      </w:r>
      <w:r w:rsidRPr="005F470C">
        <w:footnoteRef/>
      </w:r>
      <w:r w:rsidRPr="008C087F">
        <w:rPr>
          <w:rtl/>
        </w:rPr>
        <w:t>)</w:t>
      </w:r>
      <w:r>
        <w:rPr>
          <w:rFonts w:hint="cs"/>
          <w:rtl/>
        </w:rPr>
        <w:t xml:space="preserve"> لمزيد من التفاصيل أنظر: </w:t>
      </w:r>
      <w:r w:rsidRPr="00742E6D">
        <w:rPr>
          <w:rtl/>
        </w:rPr>
        <w:t>ذكي</w:t>
      </w:r>
      <w:r>
        <w:rPr>
          <w:rFonts w:hint="cs"/>
          <w:rtl/>
        </w:rPr>
        <w:t>،</w:t>
      </w:r>
      <w:r w:rsidRPr="00742E6D">
        <w:rPr>
          <w:rtl/>
        </w:rPr>
        <w:t xml:space="preserve"> رمزي (1980). مشكلة التضخم في مصر: أسبابها ونتائجها مع برنامج مقترح لمكافحة الغلاء. </w:t>
      </w:r>
      <w:r>
        <w:rPr>
          <w:rFonts w:hint="cs"/>
          <w:rtl/>
        </w:rPr>
        <w:t xml:space="preserve">مرجع سبق </w:t>
      </w:r>
      <w:r w:rsidRPr="00742E6D">
        <w:rPr>
          <w:rtl/>
        </w:rPr>
        <w:t>ذ</w:t>
      </w:r>
      <w:r>
        <w:rPr>
          <w:rFonts w:hint="cs"/>
          <w:rtl/>
        </w:rPr>
        <w:t>كره</w:t>
      </w:r>
      <w:r w:rsidRPr="00742E6D">
        <w:rPr>
          <w:rFonts w:hint="cs"/>
          <w:rtl/>
        </w:rPr>
        <w:t>. ص</w:t>
      </w:r>
      <w:r>
        <w:rPr>
          <w:rFonts w:hint="cs"/>
          <w:rtl/>
        </w:rPr>
        <w:t xml:space="preserve"> ص </w:t>
      </w:r>
      <w:r w:rsidRPr="00742E6D">
        <w:rPr>
          <w:rFonts w:hint="cs"/>
          <w:rtl/>
        </w:rPr>
        <w:t>110</w:t>
      </w:r>
      <w:r>
        <w:rPr>
          <w:rFonts w:hint="cs"/>
          <w:rtl/>
        </w:rPr>
        <w:t xml:space="preserve"> </w:t>
      </w:r>
      <w:r>
        <w:rPr>
          <w:rtl/>
        </w:rPr>
        <w:t>–</w:t>
      </w:r>
      <w:r>
        <w:rPr>
          <w:rFonts w:hint="cs"/>
          <w:rtl/>
        </w:rPr>
        <w:t xml:space="preserve"> 111.</w:t>
      </w:r>
    </w:p>
  </w:footnote>
  <w:footnote w:id="73">
    <w:p w14:paraId="08283B58" w14:textId="77777777" w:rsidR="00270E6A" w:rsidRPr="008C087F" w:rsidRDefault="00270E6A" w:rsidP="002959BC">
      <w:pPr>
        <w:pStyle w:val="FootnoteText"/>
        <w:rPr>
          <w:rtl/>
        </w:rPr>
      </w:pPr>
      <w:r w:rsidRPr="008C087F">
        <w:rPr>
          <w:rtl/>
        </w:rPr>
        <w:t>(</w:t>
      </w:r>
      <w:r w:rsidRPr="005F470C">
        <w:footnoteRef/>
      </w:r>
      <w:r w:rsidRPr="008C087F">
        <w:rPr>
          <w:rtl/>
        </w:rPr>
        <w:t>)</w:t>
      </w:r>
      <w:r>
        <w:rPr>
          <w:rFonts w:hint="cs"/>
          <w:rtl/>
        </w:rPr>
        <w:t xml:space="preserve"> دراز، حامد عبد الحميد (2000). مبادرة المالية: القروض العامة. الدار الجامعية. القاهرة. ص70.</w:t>
      </w:r>
    </w:p>
  </w:footnote>
  <w:footnote w:id="74">
    <w:p w14:paraId="0A795585" w14:textId="77777777" w:rsidR="00270E6A" w:rsidRPr="008C087F" w:rsidRDefault="00270E6A" w:rsidP="002959BC">
      <w:pPr>
        <w:pStyle w:val="FootnoteText"/>
        <w:rPr>
          <w:rtl/>
        </w:rPr>
      </w:pPr>
      <w:r w:rsidRPr="008C087F">
        <w:rPr>
          <w:rtl/>
        </w:rPr>
        <w:t>(</w:t>
      </w:r>
      <w:r w:rsidRPr="005F470C">
        <w:footnoteRef/>
      </w:r>
      <w:r w:rsidRPr="008C087F">
        <w:rPr>
          <w:rtl/>
        </w:rPr>
        <w:t>)</w:t>
      </w:r>
      <w:r>
        <w:rPr>
          <w:rFonts w:hint="cs"/>
          <w:rtl/>
        </w:rPr>
        <w:t xml:space="preserve"> لمزيد من التفاصيل أنظر: زكي، رمزي. (1994) الاحتياطيات الدولية والأزمة الاقتصادية في الدول النامية مع إشارة خاصة بالاقتصاد المصري. دار المستقبل العربي. القاهرة. ص 52.</w:t>
      </w:r>
    </w:p>
  </w:footnote>
  <w:footnote w:id="75">
    <w:p w14:paraId="6BD28BC8" w14:textId="77777777" w:rsidR="00270E6A" w:rsidRPr="008C087F" w:rsidRDefault="00270E6A" w:rsidP="002959BC">
      <w:pPr>
        <w:pStyle w:val="FootnoteText"/>
        <w:rPr>
          <w:rtl/>
        </w:rPr>
      </w:pPr>
      <w:r w:rsidRPr="008C087F">
        <w:rPr>
          <w:rtl/>
        </w:rPr>
        <w:t>(</w:t>
      </w:r>
      <w:r w:rsidRPr="005F470C">
        <w:footnoteRef/>
      </w:r>
      <w:r w:rsidRPr="008C087F">
        <w:rPr>
          <w:rtl/>
        </w:rPr>
        <w:t>)</w:t>
      </w:r>
      <w:r>
        <w:rPr>
          <w:rFonts w:hint="cs"/>
          <w:rtl/>
        </w:rPr>
        <w:t xml:space="preserve"> </w:t>
      </w:r>
      <w:r w:rsidRPr="00005C0F">
        <w:rPr>
          <w:rtl/>
        </w:rPr>
        <w:t xml:space="preserve">وزارة المالية (2016). دليل تصنيف الموازنة العامة للدولة في جمهورية مصر العربية: وفقاً لإحصاءات مالية الحكومة لعام 2001. </w:t>
      </w:r>
      <w:r>
        <w:rPr>
          <w:rFonts w:hint="cs"/>
          <w:rtl/>
        </w:rPr>
        <w:t xml:space="preserve">مرجع سبق </w:t>
      </w:r>
      <w:r w:rsidRPr="00662F24">
        <w:rPr>
          <w:rtl/>
        </w:rPr>
        <w:t>ذ</w:t>
      </w:r>
      <w:r>
        <w:rPr>
          <w:rFonts w:hint="cs"/>
          <w:rtl/>
        </w:rPr>
        <w:t>كره. ص 31.</w:t>
      </w:r>
    </w:p>
  </w:footnote>
  <w:footnote w:id="76">
    <w:p w14:paraId="28C2473C" w14:textId="77777777" w:rsidR="00270E6A" w:rsidRPr="00504F31" w:rsidRDefault="00270E6A" w:rsidP="002959BC">
      <w:pPr>
        <w:pStyle w:val="FootnoteText"/>
        <w:bidi w:val="0"/>
        <w:rPr>
          <w:rFonts w:asciiTheme="majorHAnsi" w:hAnsiTheme="majorHAnsi"/>
          <w:rtl/>
        </w:rPr>
      </w:pPr>
      <w:r w:rsidRPr="00504F31">
        <w:rPr>
          <w:rFonts w:asciiTheme="majorHAnsi" w:hAnsiTheme="majorHAnsi"/>
        </w:rPr>
        <w:t>(</w:t>
      </w:r>
      <w:r w:rsidRPr="00504F31">
        <w:rPr>
          <w:rFonts w:asciiTheme="majorHAnsi" w:hAnsiTheme="majorHAnsi"/>
          <w:vertAlign w:val="superscript"/>
        </w:rPr>
        <w:footnoteRef/>
      </w:r>
      <w:r w:rsidRPr="00504F31">
        <w:rPr>
          <w:rFonts w:asciiTheme="majorHAnsi" w:hAnsiTheme="majorHAnsi"/>
          <w:rtl/>
        </w:rPr>
        <w:t>(</w:t>
      </w:r>
      <w:r w:rsidRPr="00504F31">
        <w:rPr>
          <w:rFonts w:asciiTheme="majorHAnsi" w:hAnsiTheme="majorHAnsi"/>
        </w:rPr>
        <w:t xml:space="preserve"> International Monetary Fund (April 2014). Public Expenditure Reform: Making Difficult Choices. Fiscal Monitor. P 22.</w:t>
      </w:r>
    </w:p>
  </w:footnote>
  <w:footnote w:id="77">
    <w:p w14:paraId="4033A496" w14:textId="77777777" w:rsidR="00270E6A" w:rsidRPr="00504F31" w:rsidRDefault="00270E6A" w:rsidP="002959BC">
      <w:pPr>
        <w:pStyle w:val="FootnoteText"/>
        <w:bidi w:val="0"/>
        <w:rPr>
          <w:rFonts w:asciiTheme="majorHAnsi" w:hAnsiTheme="majorHAnsi"/>
        </w:rPr>
      </w:pPr>
      <w:r w:rsidRPr="00504F31">
        <w:rPr>
          <w:rFonts w:asciiTheme="majorHAnsi" w:hAnsiTheme="majorHAnsi"/>
        </w:rPr>
        <w:t>(</w:t>
      </w:r>
      <w:r w:rsidRPr="00504F31">
        <w:rPr>
          <w:rFonts w:asciiTheme="majorHAnsi" w:hAnsiTheme="majorHAnsi"/>
          <w:vertAlign w:val="superscript"/>
        </w:rPr>
        <w:footnoteRef/>
      </w:r>
      <w:r w:rsidRPr="00504F31">
        <w:rPr>
          <w:rFonts w:asciiTheme="majorHAnsi" w:hAnsiTheme="majorHAnsi"/>
          <w:rtl/>
        </w:rPr>
        <w:t>(</w:t>
      </w:r>
      <w:r w:rsidRPr="00504F31">
        <w:rPr>
          <w:rFonts w:asciiTheme="majorHAnsi" w:hAnsiTheme="majorHAnsi"/>
        </w:rPr>
        <w:t xml:space="preserve"> International Monetary Fund (April 2019). Fiscal Monitor: Curbing Corruption. PP 88, 96.</w:t>
      </w:r>
    </w:p>
  </w:footnote>
  <w:footnote w:id="78">
    <w:p w14:paraId="183DD587" w14:textId="77777777" w:rsidR="00270E6A" w:rsidRPr="00E3643D" w:rsidRDefault="00270E6A" w:rsidP="002959BC">
      <w:pPr>
        <w:pStyle w:val="FootnoteText"/>
        <w:rPr>
          <w:rtl/>
        </w:rPr>
      </w:pPr>
      <w:r w:rsidRPr="00E3643D">
        <w:rPr>
          <w:rtl/>
        </w:rPr>
        <w:t>(</w:t>
      </w:r>
      <w:r w:rsidRPr="00E3643D">
        <w:t>(</w:t>
      </w:r>
      <w:r w:rsidRPr="00E3643D">
        <w:rPr>
          <w:vertAlign w:val="superscript"/>
        </w:rPr>
        <w:footnoteRef/>
      </w:r>
      <w:r w:rsidRPr="00E3643D">
        <w:rPr>
          <w:rtl/>
        </w:rPr>
        <w:t xml:space="preserve"> وزارة المالية. التقرير المالي الشهري، يناير 2019 مجلد (15) عدد (3). القاهرة. ص 3. </w:t>
      </w:r>
    </w:p>
  </w:footnote>
  <w:footnote w:id="79">
    <w:p w14:paraId="17355704" w14:textId="77777777" w:rsidR="00270E6A" w:rsidRPr="000311CB" w:rsidRDefault="00270E6A" w:rsidP="002959BC">
      <w:pPr>
        <w:pStyle w:val="FootnoteText"/>
        <w:rPr>
          <w:rtl/>
        </w:rPr>
      </w:pPr>
      <w:r w:rsidRPr="000311CB">
        <w:rPr>
          <w:rFonts w:hint="cs"/>
          <w:rtl/>
        </w:rPr>
        <w:t>(</w:t>
      </w:r>
      <w:r w:rsidRPr="000311CB">
        <w:t>(</w:t>
      </w:r>
      <w:r w:rsidRPr="000E15C8">
        <w:footnoteRef/>
      </w:r>
      <w:r>
        <w:rPr>
          <w:rFonts w:hint="cs"/>
          <w:rtl/>
        </w:rPr>
        <w:t xml:space="preserve"> تتضمن مصادر تمويل عجز الموازنة بالإضافة إلى التمويل المحلي بشقيه (المصرفي وغير المصرفي) والتمويل الخارجي بعض البنود الأخرى ذات الوزن النسبي الضئيل في تمويل عجز الموازنة العامة للدولة</w:t>
      </w:r>
      <w:r>
        <w:rPr>
          <w:rtl/>
        </w:rPr>
        <w:br/>
      </w:r>
      <w:r>
        <w:rPr>
          <w:rFonts w:hint="cs"/>
          <w:rtl/>
        </w:rPr>
        <w:t>والتي تخرج عن نطاق هذا البحث نظراً لعدم ارتباطها بالظاهرة موضوع هذا البحث وهي ظاهرة التضخم، وتشمل تلك البنود " صافي حصيلة الخصخصة، المستخدم من الحساب المجمد في إهلاك جزء من سندات البنك المركزي، حسابات أخرى مستحقة الدفع، أخرى، فروق إعادة التقييم، الفرق بين القيمة الحالية والاسمية لأذون الخزانة، غير موزع". المصدر: وزارة</w:t>
      </w:r>
      <w:r w:rsidRPr="000311CB">
        <w:rPr>
          <w:rFonts w:hint="cs"/>
          <w:rtl/>
        </w:rPr>
        <w:t xml:space="preserve"> المالية. </w:t>
      </w:r>
      <w:r w:rsidRPr="000311CB">
        <w:rPr>
          <w:rtl/>
        </w:rPr>
        <w:t xml:space="preserve">التقرير المالي </w:t>
      </w:r>
      <w:r w:rsidRPr="000311CB">
        <w:rPr>
          <w:rFonts w:hint="cs"/>
          <w:rtl/>
        </w:rPr>
        <w:t>الشهري</w:t>
      </w:r>
      <w:r>
        <w:rPr>
          <w:rFonts w:hint="cs"/>
          <w:rtl/>
        </w:rPr>
        <w:t>.</w:t>
      </w:r>
      <w:r w:rsidRPr="000311CB">
        <w:rPr>
          <w:rFonts w:hint="cs"/>
          <w:rtl/>
        </w:rPr>
        <w:t xml:space="preserve"> </w:t>
      </w:r>
      <w:r>
        <w:rPr>
          <w:rFonts w:hint="cs"/>
          <w:rtl/>
        </w:rPr>
        <w:t>أعداد مختلفة.</w:t>
      </w:r>
      <w:r w:rsidRPr="000311CB">
        <w:rPr>
          <w:rFonts w:hint="cs"/>
          <w:rtl/>
        </w:rPr>
        <w:t xml:space="preserve"> </w:t>
      </w:r>
    </w:p>
  </w:footnote>
  <w:footnote w:id="80">
    <w:p w14:paraId="7CF9816C" w14:textId="77777777" w:rsidR="00270E6A" w:rsidRPr="008C087F" w:rsidRDefault="00270E6A" w:rsidP="002959BC">
      <w:pPr>
        <w:pStyle w:val="FootnoteText"/>
        <w:rPr>
          <w:rtl/>
        </w:rPr>
      </w:pPr>
      <w:r w:rsidRPr="008C087F">
        <w:rPr>
          <w:rtl/>
        </w:rPr>
        <w:t>(</w:t>
      </w:r>
      <w:r w:rsidRPr="008C087F">
        <w:rPr>
          <w:vertAlign w:val="superscript"/>
        </w:rPr>
        <w:footnoteRef/>
      </w:r>
      <w:r w:rsidRPr="008C087F">
        <w:rPr>
          <w:rtl/>
        </w:rPr>
        <w:t>)</w:t>
      </w:r>
      <w:r>
        <w:rPr>
          <w:rFonts w:hint="cs"/>
          <w:rtl/>
        </w:rPr>
        <w:t xml:space="preserve"> </w:t>
      </w:r>
      <w:r w:rsidRPr="00127582">
        <w:rPr>
          <w:rtl/>
        </w:rPr>
        <w:t>يونس</w:t>
      </w:r>
      <w:r>
        <w:rPr>
          <w:rFonts w:hint="cs"/>
          <w:rtl/>
        </w:rPr>
        <w:t xml:space="preserve">، </w:t>
      </w:r>
      <w:r w:rsidRPr="00127582">
        <w:rPr>
          <w:rtl/>
        </w:rPr>
        <w:t xml:space="preserve">إيهاب محمد </w:t>
      </w:r>
      <w:r>
        <w:rPr>
          <w:rFonts w:hint="cs"/>
          <w:rtl/>
        </w:rPr>
        <w:t>(أبريل 2012)</w:t>
      </w:r>
      <w:r w:rsidRPr="00127582">
        <w:rPr>
          <w:rtl/>
        </w:rPr>
        <w:t>. نحو رؤية لتشخيص وعلاج عجز الموازنة العامة في مصر. النهضة. المجلد</w:t>
      </w:r>
      <w:r w:rsidRPr="00127582">
        <w:t xml:space="preserve"> </w:t>
      </w:r>
      <w:r w:rsidRPr="00127582">
        <w:rPr>
          <w:rtl/>
        </w:rPr>
        <w:t xml:space="preserve">الثالث عشر. العدد </w:t>
      </w:r>
      <w:r w:rsidRPr="00561FA8">
        <w:rPr>
          <w:rtl/>
        </w:rPr>
        <w:t>الثان</w:t>
      </w:r>
      <w:r w:rsidRPr="00561FA8">
        <w:rPr>
          <w:rFonts w:hint="cs"/>
          <w:rtl/>
        </w:rPr>
        <w:t>ي</w:t>
      </w:r>
      <w:r w:rsidRPr="00127582">
        <w:rPr>
          <w:rtl/>
        </w:rPr>
        <w:t>.</w:t>
      </w:r>
      <w:r>
        <w:rPr>
          <w:rFonts w:hint="cs"/>
          <w:rtl/>
        </w:rPr>
        <w:t xml:space="preserve"> ص 7.  </w:t>
      </w:r>
    </w:p>
  </w:footnote>
  <w:footnote w:id="81">
    <w:p w14:paraId="0AE6FAD5" w14:textId="77777777" w:rsidR="00270E6A" w:rsidRPr="008C087F" w:rsidRDefault="00270E6A" w:rsidP="002959BC">
      <w:pPr>
        <w:pStyle w:val="FootnoteText"/>
        <w:rPr>
          <w:rtl/>
        </w:rPr>
      </w:pPr>
      <w:r w:rsidRPr="008C087F">
        <w:rPr>
          <w:rtl/>
        </w:rPr>
        <w:t>(</w:t>
      </w:r>
      <w:r w:rsidRPr="008C087F">
        <w:rPr>
          <w:vertAlign w:val="superscript"/>
        </w:rPr>
        <w:footnoteRef/>
      </w:r>
      <w:r w:rsidRPr="008C087F">
        <w:rPr>
          <w:rtl/>
        </w:rPr>
        <w:t>)</w:t>
      </w:r>
      <w:r>
        <w:rPr>
          <w:rFonts w:hint="cs"/>
          <w:rtl/>
        </w:rPr>
        <w:t xml:space="preserve"> أمانيان، أرفند سوبر (أكتوبر 1997). تجربة مصر في الاستقرار الاقتصادي: دراسة تحليلية لاحقة. المركز المصري للدراسات الاقتصادية. ورقة عمل رقم 18. ص 3.</w:t>
      </w:r>
    </w:p>
  </w:footnote>
  <w:footnote w:id="82">
    <w:p w14:paraId="5A3174C0" w14:textId="77777777" w:rsidR="00270E6A" w:rsidRPr="008C087F" w:rsidRDefault="00270E6A" w:rsidP="002959BC">
      <w:pPr>
        <w:pStyle w:val="FootnoteText"/>
        <w:rPr>
          <w:rtl/>
        </w:rPr>
      </w:pPr>
      <w:r w:rsidRPr="008C087F">
        <w:rPr>
          <w:rtl/>
        </w:rPr>
        <w:t>(</w:t>
      </w:r>
      <w:r w:rsidRPr="008C087F">
        <w:rPr>
          <w:vertAlign w:val="superscript"/>
        </w:rPr>
        <w:footnoteRef/>
      </w:r>
      <w:r w:rsidRPr="008C087F">
        <w:rPr>
          <w:rtl/>
        </w:rPr>
        <w:t>)</w:t>
      </w:r>
      <w:r>
        <w:rPr>
          <w:rFonts w:hint="cs"/>
          <w:rtl/>
        </w:rPr>
        <w:t xml:space="preserve"> عبد اللطيف، إيمان محمد (2013). عجز الموازنة العامة للدولة في مصر وطرق تمويله خلال الفترة (2000-2010). رسالة دكتوراة </w:t>
      </w:r>
      <w:r>
        <w:rPr>
          <w:rtl/>
        </w:rPr>
        <w:t>–</w:t>
      </w:r>
      <w:r>
        <w:rPr>
          <w:rFonts w:hint="cs"/>
          <w:rtl/>
        </w:rPr>
        <w:t xml:space="preserve"> جامعة القاهرة كلية الاقتصاد والعلوم السياسية قسم الاقتصاد. ص129 نقلاً عن:  </w:t>
      </w:r>
      <w:r>
        <w:t xml:space="preserve"> Raymond E. Lombra and others (1980). Money and the Financial System. McGra Hill. New York. Pp. 124-127</w:t>
      </w:r>
    </w:p>
  </w:footnote>
  <w:footnote w:id="83">
    <w:p w14:paraId="3658CC82" w14:textId="77777777" w:rsidR="00270E6A" w:rsidRPr="00E44205" w:rsidRDefault="00270E6A" w:rsidP="002959BC">
      <w:pPr>
        <w:pStyle w:val="FootnoteText"/>
      </w:pPr>
      <w:r w:rsidRPr="00E44205">
        <w:rPr>
          <w:rtl/>
        </w:rPr>
        <w:t>(</w:t>
      </w:r>
      <w:r w:rsidRPr="00E44205">
        <w:rPr>
          <w:vertAlign w:val="superscript"/>
        </w:rPr>
        <w:footnoteRef/>
      </w:r>
      <w:r w:rsidRPr="00E44205">
        <w:rPr>
          <w:rtl/>
        </w:rPr>
        <w:t>)</w:t>
      </w:r>
      <w:r w:rsidRPr="00E44205">
        <w:rPr>
          <w:rFonts w:hint="cs"/>
          <w:rtl/>
        </w:rPr>
        <w:t xml:space="preserve"> العيسوي، إبراهيم</w:t>
      </w:r>
      <w:r>
        <w:rPr>
          <w:rFonts w:hint="cs"/>
          <w:rtl/>
        </w:rPr>
        <w:t xml:space="preserve"> (2007)</w:t>
      </w:r>
      <w:r w:rsidRPr="00E44205">
        <w:rPr>
          <w:rFonts w:hint="cs"/>
          <w:rtl/>
        </w:rPr>
        <w:t>.</w:t>
      </w:r>
      <w:r w:rsidRPr="00E44205">
        <w:rPr>
          <w:rtl/>
        </w:rPr>
        <w:t xml:space="preserve"> </w:t>
      </w:r>
      <w:r w:rsidRPr="00E44205">
        <w:rPr>
          <w:rFonts w:hint="cs"/>
          <w:rtl/>
        </w:rPr>
        <w:t xml:space="preserve">الاقتصاد المصري في ثلاثين عاماً: مرجع سبق ذكره. ص </w:t>
      </w:r>
      <w:r>
        <w:rPr>
          <w:rFonts w:hint="cs"/>
          <w:rtl/>
        </w:rPr>
        <w:t>381</w:t>
      </w:r>
      <w:r w:rsidRPr="00E44205">
        <w:t>.</w:t>
      </w:r>
    </w:p>
  </w:footnote>
  <w:footnote w:id="84">
    <w:p w14:paraId="07AA5A24" w14:textId="77777777" w:rsidR="00270E6A" w:rsidRPr="00E44205" w:rsidRDefault="00270E6A" w:rsidP="002959BC">
      <w:pPr>
        <w:pStyle w:val="FootnoteText"/>
      </w:pPr>
      <w:r w:rsidRPr="00E44205">
        <w:rPr>
          <w:rtl/>
        </w:rPr>
        <w:t>(</w:t>
      </w:r>
      <w:r w:rsidRPr="00E44205">
        <w:rPr>
          <w:vertAlign w:val="superscript"/>
        </w:rPr>
        <w:footnoteRef/>
      </w:r>
      <w:r w:rsidRPr="00E44205">
        <w:rPr>
          <w:rtl/>
        </w:rPr>
        <w:t>)</w:t>
      </w:r>
      <w:r w:rsidRPr="00E44205">
        <w:rPr>
          <w:rFonts w:hint="cs"/>
          <w:rtl/>
        </w:rPr>
        <w:t xml:space="preserve"> العيسوي، إبراهيم</w:t>
      </w:r>
      <w:r>
        <w:rPr>
          <w:rFonts w:hint="cs"/>
          <w:rtl/>
        </w:rPr>
        <w:t xml:space="preserve"> (2007)</w:t>
      </w:r>
      <w:r w:rsidRPr="00E44205">
        <w:rPr>
          <w:rFonts w:hint="cs"/>
          <w:rtl/>
        </w:rPr>
        <w:t>.</w:t>
      </w:r>
      <w:r w:rsidRPr="00E44205">
        <w:rPr>
          <w:rtl/>
        </w:rPr>
        <w:t xml:space="preserve"> </w:t>
      </w:r>
      <w:r w:rsidRPr="00E44205">
        <w:rPr>
          <w:rFonts w:hint="cs"/>
          <w:rtl/>
        </w:rPr>
        <w:t xml:space="preserve">الاقتصاد المصري في ثلاثين عاماً: مرجع سبق ذكره. ص 336 نقلاً عن:  </w:t>
      </w:r>
      <w:r w:rsidRPr="00E44205">
        <w:t xml:space="preserve"> IMF. Research Bulletin. Vol. 6 no. 1, March 2005 </w:t>
      </w:r>
      <w:r w:rsidRPr="00E44205">
        <w:rPr>
          <w:rFonts w:hint="cs"/>
          <w:rtl/>
        </w:rPr>
        <w:t xml:space="preserve"> حيث يحيل إلى نتائج الدراسة التالية في هذا الشأن:  </w:t>
      </w:r>
      <w:r w:rsidRPr="00E44205">
        <w:t>L.A. Catao and M.E. Terrones Silva. Fiscal deficits and inflation. IMF Working Paper. No. 03765. 2003.</w:t>
      </w:r>
    </w:p>
  </w:footnote>
  <w:footnote w:id="85">
    <w:p w14:paraId="2D50D26C" w14:textId="77777777" w:rsidR="00270E6A" w:rsidRPr="00E44205" w:rsidRDefault="00270E6A" w:rsidP="002959BC">
      <w:pPr>
        <w:pStyle w:val="FootnoteText"/>
        <w:rPr>
          <w:rtl/>
        </w:rPr>
      </w:pPr>
      <w:r w:rsidRPr="00E44205">
        <w:rPr>
          <w:rtl/>
        </w:rPr>
        <w:t>(</w:t>
      </w:r>
      <w:r w:rsidRPr="00E44205">
        <w:rPr>
          <w:vertAlign w:val="superscript"/>
        </w:rPr>
        <w:footnoteRef/>
      </w:r>
      <w:r w:rsidRPr="00E44205">
        <w:rPr>
          <w:rtl/>
        </w:rPr>
        <w:t>)</w:t>
      </w:r>
      <w:r w:rsidRPr="00E44205">
        <w:rPr>
          <w:rFonts w:hint="cs"/>
          <w:rtl/>
        </w:rPr>
        <w:t xml:space="preserve"> عبد اللطيف، إيمان محمد. عجز الموازنة العامة للدولة في مصر وطرق تمويله خلال الفترة (2000-2010). مرجع سبق ذكره. 2013. ص 18.</w:t>
      </w:r>
    </w:p>
  </w:footnote>
  <w:footnote w:id="86">
    <w:p w14:paraId="420D3EC1" w14:textId="77777777" w:rsidR="00270E6A" w:rsidRPr="00F51EC7" w:rsidRDefault="00270E6A" w:rsidP="002959BC">
      <w:pPr>
        <w:pStyle w:val="FootnoteText"/>
        <w:rPr>
          <w:rtl/>
        </w:rPr>
      </w:pPr>
      <w:r w:rsidRPr="00F51EC7">
        <w:rPr>
          <w:rtl/>
        </w:rPr>
        <w:t>(</w:t>
      </w:r>
      <w:r w:rsidRPr="00F51EC7">
        <w:rPr>
          <w:vertAlign w:val="superscript"/>
        </w:rPr>
        <w:footnoteRef/>
      </w:r>
      <w:r w:rsidRPr="00F51EC7">
        <w:rPr>
          <w:rtl/>
        </w:rPr>
        <w:t>) صدر القانون رقم 87 لسنة 2005 بتعديل بعض أحكام القانون رقم 53 لسنة 1973 بشأن الموازنة العامة للدولة، بما يكفل إعداد تبويب جديد للموازنة العامة للدولة يتفق مع المعايير الدولية ويتسم بالوضوح والشفافية.</w:t>
      </w:r>
    </w:p>
  </w:footnote>
  <w:footnote w:id="87">
    <w:p w14:paraId="112D5120" w14:textId="77777777" w:rsidR="00270E6A" w:rsidRPr="00F51EC7" w:rsidRDefault="00270E6A" w:rsidP="002959BC">
      <w:pPr>
        <w:pStyle w:val="FootnoteText"/>
        <w:rPr>
          <w:rtl/>
        </w:rPr>
      </w:pPr>
      <w:r w:rsidRPr="00F51EC7">
        <w:rPr>
          <w:rtl/>
        </w:rPr>
        <w:t>(</w:t>
      </w:r>
      <w:r w:rsidRPr="00F51EC7">
        <w:rPr>
          <w:vertAlign w:val="superscript"/>
        </w:rPr>
        <w:footnoteRef/>
      </w:r>
      <w:r w:rsidRPr="00F51EC7">
        <w:rPr>
          <w:rtl/>
        </w:rPr>
        <w:t>) قامت الحكومة بتنفيذ عدة مشروعات كبرى تم ضخ بها مبالغ مالية كبيرة، وهي مشروعات توشكى، ومشروع تنمية شمال سيناء، ومشروع ميناء شرق التفريعة ببورسعيد، ومشرع التنمية الصناعية لمنطقة شمال وغرب خليج السويس.</w:t>
      </w:r>
    </w:p>
  </w:footnote>
  <w:footnote w:id="88">
    <w:p w14:paraId="128DF864" w14:textId="77777777" w:rsidR="00270E6A" w:rsidRPr="00702F61" w:rsidRDefault="00270E6A" w:rsidP="002959BC">
      <w:pPr>
        <w:pStyle w:val="FootnoteText"/>
        <w:rPr>
          <w:rtl/>
        </w:rPr>
      </w:pPr>
      <w:r w:rsidRPr="00702F61">
        <w:rPr>
          <w:rtl/>
        </w:rPr>
        <w:t>(</w:t>
      </w:r>
      <w:r w:rsidRPr="00702F61">
        <w:footnoteRef/>
      </w:r>
      <w:r w:rsidRPr="00702F61">
        <w:rPr>
          <w:rtl/>
        </w:rPr>
        <w:t>) العيسوي، إبراهيم. الاقتصاد المصري في ثلاثين عاماً: مرجع سبق ذكره. ص329</w:t>
      </w:r>
    </w:p>
  </w:footnote>
  <w:footnote w:id="89">
    <w:p w14:paraId="6B7EDDE8" w14:textId="77777777" w:rsidR="00270E6A" w:rsidRPr="00E676A8" w:rsidRDefault="00270E6A" w:rsidP="002959BC">
      <w:pPr>
        <w:pStyle w:val="FootnoteText"/>
        <w:rPr>
          <w:rtl/>
        </w:rPr>
      </w:pPr>
      <w:r w:rsidRPr="00E676A8">
        <w:rPr>
          <w:rtl/>
        </w:rPr>
        <w:t>(</w:t>
      </w:r>
      <w:r w:rsidRPr="00E676A8">
        <w:footnoteRef/>
      </w:r>
      <w:r w:rsidRPr="00E676A8">
        <w:rPr>
          <w:rtl/>
        </w:rPr>
        <w:t>)</w:t>
      </w:r>
      <w:r w:rsidRPr="00E676A8">
        <w:rPr>
          <w:rFonts w:hint="cs"/>
          <w:rtl/>
        </w:rPr>
        <w:t xml:space="preserve"> تمثلت أهم القوانين المرتبطة بإصلاح المالية العامة والصادرة خلال عام 2005 في الآتي:</w:t>
      </w:r>
    </w:p>
    <w:p w14:paraId="7D13F55A" w14:textId="77777777" w:rsidR="00270E6A" w:rsidRPr="00E676A8" w:rsidRDefault="00270E6A" w:rsidP="002959BC">
      <w:pPr>
        <w:pStyle w:val="FootnoteText"/>
        <w:ind w:hanging="23"/>
      </w:pPr>
      <w:r w:rsidRPr="00E676A8">
        <w:rPr>
          <w:rFonts w:hint="cs"/>
          <w:rtl/>
        </w:rPr>
        <w:t>صدر القانون رقم 87 لسنة 2005 بتعديل بعض أحكام قانون الموازنة العامة للدولة رقم 53 لسنة 1973.</w:t>
      </w:r>
    </w:p>
    <w:p w14:paraId="01B88971" w14:textId="77777777" w:rsidR="00270E6A" w:rsidRPr="00E676A8" w:rsidRDefault="00270E6A" w:rsidP="002959BC">
      <w:pPr>
        <w:pStyle w:val="FootnoteText"/>
        <w:ind w:hanging="23"/>
      </w:pPr>
      <w:r w:rsidRPr="00E676A8">
        <w:rPr>
          <w:rFonts w:hint="cs"/>
          <w:rtl/>
        </w:rPr>
        <w:t>صدر القانون رقم 9 لسنة 2005 بتعديل بعض أحكام قانون الضريبية العامة على المبيعات.</w:t>
      </w:r>
    </w:p>
    <w:p w14:paraId="1F7D5E63" w14:textId="77777777" w:rsidR="00270E6A" w:rsidRPr="00E676A8" w:rsidRDefault="00270E6A" w:rsidP="002959BC">
      <w:pPr>
        <w:pStyle w:val="FootnoteText"/>
        <w:ind w:hanging="23"/>
      </w:pPr>
      <w:r w:rsidRPr="00E676A8">
        <w:rPr>
          <w:rFonts w:hint="cs"/>
          <w:rtl/>
        </w:rPr>
        <w:t>صدر القانون رقم 91 لسنة 2005 بشأن الضرائب على الدخل.</w:t>
      </w:r>
    </w:p>
    <w:p w14:paraId="279AC77F" w14:textId="77777777" w:rsidR="00270E6A" w:rsidRPr="00E676A8" w:rsidRDefault="00270E6A" w:rsidP="002959BC">
      <w:pPr>
        <w:pStyle w:val="FootnoteText"/>
        <w:ind w:hanging="23"/>
      </w:pPr>
      <w:r w:rsidRPr="00E676A8">
        <w:rPr>
          <w:rFonts w:hint="cs"/>
          <w:rtl/>
        </w:rPr>
        <w:t>صدر القانون رقم 95 لسنة 2005 بتعديل بعض أحكام قانون الجمارك رقم 66 لسنة 1963.</w:t>
      </w:r>
    </w:p>
    <w:p w14:paraId="77E42135" w14:textId="77777777" w:rsidR="00270E6A" w:rsidRPr="00E676A8" w:rsidRDefault="00270E6A" w:rsidP="002959BC">
      <w:pPr>
        <w:pStyle w:val="FootnoteText"/>
        <w:rPr>
          <w:rtl/>
        </w:rPr>
      </w:pPr>
      <w:r w:rsidRPr="00E676A8">
        <w:rPr>
          <w:rFonts w:hint="cs"/>
          <w:rtl/>
        </w:rPr>
        <w:t>لمزيد من التفاصيل:</w:t>
      </w:r>
    </w:p>
    <w:p w14:paraId="05DAF8CD" w14:textId="77777777" w:rsidR="00270E6A" w:rsidRPr="00E676A8" w:rsidRDefault="00270E6A" w:rsidP="002959BC">
      <w:pPr>
        <w:pStyle w:val="FootnoteText"/>
        <w:ind w:hanging="23"/>
        <w:rPr>
          <w:rtl/>
        </w:rPr>
      </w:pPr>
      <w:r w:rsidRPr="00E676A8">
        <w:rPr>
          <w:rtl/>
        </w:rPr>
        <w:t>يونس</w:t>
      </w:r>
      <w:r w:rsidRPr="00E676A8">
        <w:rPr>
          <w:rFonts w:hint="cs"/>
          <w:rtl/>
        </w:rPr>
        <w:t xml:space="preserve">، </w:t>
      </w:r>
      <w:r w:rsidRPr="00E676A8">
        <w:rPr>
          <w:rtl/>
        </w:rPr>
        <w:t xml:space="preserve">إيهاب محمد </w:t>
      </w:r>
      <w:r w:rsidRPr="00E676A8">
        <w:rPr>
          <w:rFonts w:hint="cs"/>
          <w:rtl/>
        </w:rPr>
        <w:t>(</w:t>
      </w:r>
      <w:r w:rsidRPr="00E676A8">
        <w:rPr>
          <w:rtl/>
        </w:rPr>
        <w:t>أبريل ۲۰۱۲</w:t>
      </w:r>
      <w:r w:rsidRPr="00E676A8">
        <w:rPr>
          <w:rFonts w:hint="cs"/>
          <w:rtl/>
        </w:rPr>
        <w:t>)</w:t>
      </w:r>
      <w:r w:rsidRPr="00E676A8">
        <w:rPr>
          <w:rtl/>
        </w:rPr>
        <w:t>. نحو رؤية لتشخيص وعلاج عجز الموازنة العامة في مصر. النهضة. المجلد</w:t>
      </w:r>
      <w:r w:rsidRPr="00E676A8">
        <w:t xml:space="preserve"> </w:t>
      </w:r>
      <w:r w:rsidRPr="00E676A8">
        <w:rPr>
          <w:rtl/>
        </w:rPr>
        <w:t>الثالث عشر. العدد الثان</w:t>
      </w:r>
      <w:r w:rsidRPr="00E676A8">
        <w:rPr>
          <w:rFonts w:hint="cs"/>
          <w:rtl/>
        </w:rPr>
        <w:t>ي</w:t>
      </w:r>
      <w:r w:rsidRPr="00E676A8">
        <w:rPr>
          <w:rtl/>
        </w:rPr>
        <w:t xml:space="preserve">. </w:t>
      </w:r>
      <w:r w:rsidRPr="00E676A8">
        <w:rPr>
          <w:rFonts w:hint="cs"/>
          <w:rtl/>
        </w:rPr>
        <w:t xml:space="preserve">ص ص 11 </w:t>
      </w:r>
      <w:r w:rsidRPr="00E676A8">
        <w:rPr>
          <w:rtl/>
        </w:rPr>
        <w:t>–</w:t>
      </w:r>
      <w:r w:rsidRPr="00E676A8">
        <w:rPr>
          <w:rFonts w:hint="cs"/>
          <w:rtl/>
        </w:rPr>
        <w:t xml:space="preserve"> 14.</w:t>
      </w:r>
    </w:p>
  </w:footnote>
  <w:footnote w:id="90">
    <w:p w14:paraId="3C877E67" w14:textId="77777777" w:rsidR="00270E6A" w:rsidRPr="00E676A8" w:rsidRDefault="00270E6A" w:rsidP="002959BC">
      <w:pPr>
        <w:pStyle w:val="FootnoteText"/>
        <w:rPr>
          <w:rtl/>
        </w:rPr>
      </w:pPr>
      <w:r w:rsidRPr="00E676A8">
        <w:rPr>
          <w:rtl/>
        </w:rPr>
        <w:t>(</w:t>
      </w:r>
      <w:r w:rsidRPr="00E676A8">
        <w:footnoteRef/>
      </w:r>
      <w:r w:rsidRPr="00E676A8">
        <w:rPr>
          <w:rtl/>
        </w:rPr>
        <w:t>)</w:t>
      </w:r>
      <w:r w:rsidRPr="00E676A8">
        <w:rPr>
          <w:rFonts w:hint="cs"/>
          <w:rtl/>
        </w:rPr>
        <w:t xml:space="preserve"> لمزيد من التفاصيل:</w:t>
      </w:r>
    </w:p>
    <w:p w14:paraId="35091C85" w14:textId="77777777" w:rsidR="00270E6A" w:rsidRPr="00E676A8" w:rsidRDefault="00270E6A" w:rsidP="0041332D">
      <w:pPr>
        <w:pStyle w:val="FootnoteText"/>
        <w:numPr>
          <w:ilvl w:val="0"/>
          <w:numId w:val="32"/>
        </w:numPr>
        <w:jc w:val="lowKashida"/>
      </w:pPr>
      <w:r w:rsidRPr="00E676A8">
        <w:rPr>
          <w:rFonts w:hint="cs"/>
          <w:rtl/>
        </w:rPr>
        <w:t>وزارة المالية. دليل تصنيف الموازنة العامة للدولة في جمهورية مصر العربية: وفقاً لإحصاءات مالية الحكومة لعام 2001 (2016). القاهرة. ص ص 29- 30.</w:t>
      </w:r>
    </w:p>
    <w:p w14:paraId="3997F1C2" w14:textId="77777777" w:rsidR="00270E6A" w:rsidRPr="00E676A8" w:rsidRDefault="00270E6A" w:rsidP="0041332D">
      <w:pPr>
        <w:pStyle w:val="FootnoteText"/>
        <w:numPr>
          <w:ilvl w:val="0"/>
          <w:numId w:val="32"/>
        </w:numPr>
        <w:jc w:val="lowKashida"/>
        <w:rPr>
          <w:rtl/>
        </w:rPr>
      </w:pPr>
      <w:r w:rsidRPr="00E676A8">
        <w:rPr>
          <w:rFonts w:hint="cs"/>
          <w:rtl/>
        </w:rPr>
        <w:t>الحسيني، إسراء عادل السيد أحمد (2014). العلاقة بين مكونات السياسة المالية والنمو الاقتصادي: دراسة تطبيقية على الاقتصاد المصري. أطروحة (دكتوراة). كلية الاقتصاد والعلوم السياسية - جامعة القاهرة. ملحق أ. ص ص 1 - 12.</w:t>
      </w:r>
    </w:p>
  </w:footnote>
  <w:footnote w:id="91">
    <w:p w14:paraId="15227858" w14:textId="77777777" w:rsidR="00270E6A" w:rsidRPr="00E676A8" w:rsidRDefault="00270E6A" w:rsidP="002959BC">
      <w:pPr>
        <w:pStyle w:val="FootnoteText"/>
        <w:rPr>
          <w:rtl/>
        </w:rPr>
      </w:pPr>
      <w:r w:rsidRPr="00E676A8">
        <w:rPr>
          <w:rtl/>
        </w:rPr>
        <w:t>(</w:t>
      </w:r>
      <w:r w:rsidRPr="00E676A8">
        <w:footnoteRef/>
      </w:r>
      <w:r w:rsidRPr="00E676A8">
        <w:rPr>
          <w:rtl/>
        </w:rPr>
        <w:t>)</w:t>
      </w:r>
      <w:r w:rsidRPr="00E676A8">
        <w:rPr>
          <w:rFonts w:hint="cs"/>
          <w:rtl/>
        </w:rPr>
        <w:t xml:space="preserve"> تراجعت الإيرادات العامة في معظم دول العالم تأثراً بالأزمة المالية العالمية حيث انخفضت الإيرادات الضريبية في معظم دول العالم في تلك الفترة من نسبة 14.9% إلى إجمالي الناتج في عام 2007 حتى وصلت لنسبة 13.1%  في عام 2009، وتحسنت قليلاً بعد ذلك لتسجل في عام 2011 نسبة 13.8%. المصدر: بيانات البنك الدولي، منشورة بالموقع الالكتروني:</w:t>
      </w:r>
    </w:p>
    <w:p w14:paraId="666F8BC7" w14:textId="77777777" w:rsidR="00270E6A" w:rsidRPr="007E4617" w:rsidRDefault="00270E6A" w:rsidP="002959BC">
      <w:pPr>
        <w:pStyle w:val="FootnoteText"/>
        <w:rPr>
          <w:rtl/>
        </w:rPr>
      </w:pPr>
      <w:r w:rsidRPr="007E4617">
        <w:t>https://data.albankaldawli.org/indicator/GC.TAX.TOTL.GD.ZS</w:t>
      </w:r>
    </w:p>
  </w:footnote>
  <w:footnote w:id="92">
    <w:p w14:paraId="605239E4" w14:textId="77777777" w:rsidR="00270E6A" w:rsidRPr="00E676A8" w:rsidRDefault="00270E6A" w:rsidP="002959BC">
      <w:pPr>
        <w:pStyle w:val="FootnoteText"/>
        <w:rPr>
          <w:rtl/>
        </w:rPr>
      </w:pPr>
      <w:r w:rsidRPr="00E676A8">
        <w:rPr>
          <w:rtl/>
        </w:rPr>
        <w:t>(</w:t>
      </w:r>
      <w:r w:rsidRPr="00E676A8">
        <w:footnoteRef/>
      </w:r>
      <w:r w:rsidRPr="00E676A8">
        <w:rPr>
          <w:rtl/>
        </w:rPr>
        <w:t>)</w:t>
      </w:r>
      <w:r w:rsidRPr="00E676A8">
        <w:rPr>
          <w:rFonts w:hint="cs"/>
          <w:rtl/>
        </w:rPr>
        <w:t xml:space="preserve"> وزارة المالية، البيان المالي الشهري. نوفمبر 2011. ص 39.</w:t>
      </w:r>
    </w:p>
  </w:footnote>
  <w:footnote w:id="93">
    <w:p w14:paraId="4D83CF8C" w14:textId="77777777" w:rsidR="00270E6A" w:rsidRPr="00E676A8" w:rsidRDefault="00270E6A" w:rsidP="002959BC">
      <w:pPr>
        <w:pStyle w:val="FootnoteText"/>
        <w:rPr>
          <w:rtl/>
        </w:rPr>
      </w:pPr>
      <w:r w:rsidRPr="00E676A8">
        <w:rPr>
          <w:rtl/>
        </w:rPr>
        <w:t>(</w:t>
      </w:r>
      <w:r w:rsidRPr="00E676A8">
        <w:footnoteRef/>
      </w:r>
      <w:r w:rsidRPr="00E676A8">
        <w:rPr>
          <w:rtl/>
        </w:rPr>
        <w:t xml:space="preserve">) </w:t>
      </w:r>
      <w:r w:rsidRPr="00E676A8">
        <w:rPr>
          <w:rFonts w:hint="cs"/>
          <w:rtl/>
        </w:rPr>
        <w:t>البيان المالي الشهري (نوفمبر 2010). وزارة المالية. ص 27.</w:t>
      </w:r>
    </w:p>
  </w:footnote>
  <w:footnote w:id="94">
    <w:p w14:paraId="54BE0107" w14:textId="77777777" w:rsidR="00270E6A" w:rsidRPr="00E676A8" w:rsidRDefault="00270E6A" w:rsidP="002959BC">
      <w:pPr>
        <w:pStyle w:val="FootnoteText"/>
      </w:pPr>
      <w:r w:rsidRPr="00E676A8">
        <w:t>(</w:t>
      </w:r>
      <w:r w:rsidRPr="00E676A8">
        <w:rPr>
          <w:vertAlign w:val="superscript"/>
        </w:rPr>
        <w:footnoteRef/>
      </w:r>
      <w:r w:rsidRPr="00E676A8">
        <w:t>) El-Refaie, Faika (April 2001). The Coordination of Monetary and Fiscal Policies in Egypt. WP. 54. ECES,.p 2.</w:t>
      </w:r>
    </w:p>
  </w:footnote>
  <w:footnote w:id="95">
    <w:p w14:paraId="0884B9C7" w14:textId="77777777" w:rsidR="00270E6A" w:rsidRPr="00365DDD" w:rsidRDefault="00270E6A" w:rsidP="002959BC">
      <w:pPr>
        <w:pStyle w:val="FootnoteText"/>
        <w:rPr>
          <w:rtl/>
        </w:rPr>
      </w:pPr>
      <w:r w:rsidRPr="00365DDD">
        <w:t>(</w:t>
      </w:r>
      <w:r w:rsidRPr="00365DDD">
        <w:footnoteRef/>
      </w:r>
      <w:r w:rsidRPr="00365DDD">
        <w:t>)</w:t>
      </w:r>
      <w:r w:rsidRPr="00365DDD">
        <w:rPr>
          <w:rtl/>
        </w:rPr>
        <w:t xml:space="preserve"> انخفضت نسبة نمو الناتج المحلي الإجمالي الحقيقي من 5.1% عام 2009/2010 إلى 1.8% عام 2010/2011، كما انخفض صافي الاستثمارات الأجنبية المباشرة من مبلغ 6758 مليون دولار عام 2009/2010، إلى مبلغ 2189 مليون دولار عام 2010/2011 (المصدر: التقرير المالي الشهري (نوفمبر 2013). وزارة المالية. ص 3 و61).</w:t>
      </w:r>
    </w:p>
    <w:p w14:paraId="66D7C076" w14:textId="77777777" w:rsidR="00270E6A" w:rsidRPr="008C087F" w:rsidRDefault="00270E6A" w:rsidP="002959BC">
      <w:pPr>
        <w:pStyle w:val="FootnoteText"/>
        <w:rPr>
          <w:rtl/>
        </w:rPr>
      </w:pPr>
    </w:p>
  </w:footnote>
  <w:footnote w:id="96">
    <w:p w14:paraId="7DFF5F68" w14:textId="77777777" w:rsidR="00270E6A" w:rsidRPr="008C087F" w:rsidRDefault="00270E6A" w:rsidP="002959BC">
      <w:pPr>
        <w:pStyle w:val="FootnoteText"/>
        <w:rPr>
          <w:rtl/>
        </w:rPr>
      </w:pPr>
      <w:r>
        <w:t>(</w:t>
      </w:r>
      <w:r w:rsidRPr="00365DDD">
        <w:footnoteRef/>
      </w:r>
      <w:r>
        <w:t>)</w:t>
      </w:r>
      <w:r>
        <w:rPr>
          <w:rFonts w:hint="cs"/>
          <w:rtl/>
        </w:rPr>
        <w:t xml:space="preserve"> شهدت هذه الفترة تشكيل 8 وزارات خلال تلك الفترة (وزارة أحمد شفيق من 31/1/2011 حتى 6/3/2011) (وزارة عصام شرف من 7/3/2011 حتى 6/12/2011) (وزارة كمال الجنزوري من 7/12/2011 حتى 1/8/2012) (وزارة هشام قنديل من 2/8/2012 حتى 15/7/2013) (وزارة حازم الببلاوي من 16/7/2013 حتى 1/3/2014) (وزارة إبراهيم محلب من 1/3/2014 حتى 18/9/2015) (وزارة شريف إسماعيل من 19/9/2015 حتى 13/6/2018) (وزارة مصطفى مدبولي من 14/6/2018 حتى تاريخه)، بالإضافة إلى التغيرات الوزارية التي تمت على بعض هذه الوزارات، وهو ما أدى إلى وجود 9 وزراء مالية خلال هذه الفترة القصيرة (9 سنوات مالية) أي بمتوسط وزير لكل سنة مالية!! </w:t>
      </w:r>
    </w:p>
  </w:footnote>
  <w:footnote w:id="97">
    <w:p w14:paraId="48FC123D" w14:textId="77777777" w:rsidR="00270E6A" w:rsidRPr="008C087F" w:rsidRDefault="00270E6A" w:rsidP="002959BC">
      <w:pPr>
        <w:pStyle w:val="FootnoteText"/>
        <w:rPr>
          <w:rtl/>
        </w:rPr>
      </w:pPr>
      <w:r w:rsidRPr="008C087F">
        <w:rPr>
          <w:rtl/>
        </w:rPr>
        <w:t>(</w:t>
      </w:r>
      <w:r w:rsidRPr="00365DDD">
        <w:footnoteRef/>
      </w:r>
      <w:r w:rsidRPr="008C087F">
        <w:rPr>
          <w:rtl/>
        </w:rPr>
        <w:t>)</w:t>
      </w:r>
      <w:r w:rsidRPr="00365DDD">
        <w:rPr>
          <w:rFonts w:hint="cs"/>
          <w:rtl/>
        </w:rPr>
        <w:t xml:space="preserve"> </w:t>
      </w:r>
      <w:r w:rsidRPr="00CD3380">
        <w:rPr>
          <w:rFonts w:hint="cs"/>
          <w:rtl/>
        </w:rPr>
        <w:t>ن</w:t>
      </w:r>
      <w:r w:rsidRPr="00CD3380">
        <w:rPr>
          <w:rtl/>
        </w:rPr>
        <w:t xml:space="preserve">شر </w:t>
      </w:r>
      <w:r>
        <w:rPr>
          <w:rFonts w:hint="cs"/>
          <w:rtl/>
        </w:rPr>
        <w:t>ب</w:t>
      </w:r>
      <w:r w:rsidRPr="00CD3380">
        <w:rPr>
          <w:rtl/>
        </w:rPr>
        <w:t xml:space="preserve">الجريدة الرسمية –العدد 35 مكرر (ج) </w:t>
      </w:r>
      <w:r w:rsidRPr="00CD3380">
        <w:rPr>
          <w:rFonts w:hint="cs"/>
          <w:rtl/>
        </w:rPr>
        <w:t>في</w:t>
      </w:r>
      <w:r w:rsidRPr="00CD3380">
        <w:rPr>
          <w:rtl/>
        </w:rPr>
        <w:t xml:space="preserve"> 7 سبتمبر سنة 2016</w:t>
      </w:r>
      <w:r>
        <w:rPr>
          <w:rFonts w:hint="cs"/>
          <w:rtl/>
        </w:rPr>
        <w:t>.</w:t>
      </w:r>
    </w:p>
  </w:footnote>
  <w:footnote w:id="98">
    <w:p w14:paraId="095498F0" w14:textId="77777777" w:rsidR="00270E6A" w:rsidRPr="008C087F" w:rsidRDefault="00270E6A" w:rsidP="002959BC">
      <w:pPr>
        <w:pStyle w:val="FootnoteText"/>
        <w:rPr>
          <w:rtl/>
        </w:rPr>
      </w:pPr>
      <w:r>
        <w:t>(</w:t>
      </w:r>
      <w:r w:rsidRPr="00365DDD">
        <w:footnoteRef/>
      </w:r>
      <w:r>
        <w:t>)</w:t>
      </w:r>
      <w:r>
        <w:rPr>
          <w:rFonts w:hint="cs"/>
          <w:rtl/>
        </w:rPr>
        <w:t xml:space="preserve"> صدر القانون رقم 81 لسنة 2016 بإصدار قانون الخدمة المدنية في 1/11/2016 ونشر بالجريدة الرسمية بالعدد 43 مكرر (أ) في أول نوفمبر سنة 2016، وذلك في محاولة لتقييد الزيادة في أجور وتعويضات العاملين. </w:t>
      </w:r>
    </w:p>
  </w:footnote>
  <w:footnote w:id="99">
    <w:p w14:paraId="0D7BDC73" w14:textId="77777777" w:rsidR="00270E6A" w:rsidRPr="008C087F" w:rsidRDefault="00270E6A" w:rsidP="002959BC">
      <w:pPr>
        <w:pStyle w:val="FootnoteText"/>
        <w:rPr>
          <w:rtl/>
        </w:rPr>
      </w:pPr>
      <w:r w:rsidRPr="008C087F">
        <w:rPr>
          <w:rtl/>
        </w:rPr>
        <w:t>(</w:t>
      </w:r>
      <w:r w:rsidRPr="00365DDD">
        <w:footnoteRef/>
      </w:r>
      <w:r w:rsidRPr="008C087F">
        <w:rPr>
          <w:rtl/>
        </w:rPr>
        <w:t>)</w:t>
      </w:r>
      <w:r w:rsidRPr="00365DDD">
        <w:rPr>
          <w:rFonts w:hint="cs"/>
          <w:rtl/>
        </w:rPr>
        <w:t xml:space="preserve"> </w:t>
      </w:r>
      <w:r>
        <w:rPr>
          <w:rFonts w:hint="cs"/>
          <w:rtl/>
        </w:rPr>
        <w:t>تم تحرير سعر صرف الجنيه في نوفمبر 2016.</w:t>
      </w:r>
    </w:p>
  </w:footnote>
  <w:footnote w:id="100">
    <w:p w14:paraId="26CE7824" w14:textId="77777777" w:rsidR="00270E6A" w:rsidRPr="005A2B03" w:rsidRDefault="00270E6A" w:rsidP="002959BC">
      <w:pPr>
        <w:pStyle w:val="FootnoteText"/>
        <w:jc w:val="both"/>
        <w:rPr>
          <w:rFonts w:ascii="Simplified Arabic" w:hAnsi="Simplified Arabic" w:cs="Simplified Arabic"/>
          <w:rtl/>
        </w:rPr>
      </w:pPr>
      <w:r w:rsidRPr="005A2B03">
        <w:rPr>
          <w:rFonts w:ascii="Simplified Arabic" w:hAnsi="Simplified Arabic" w:cs="Simplified Arabic"/>
          <w:rtl/>
        </w:rPr>
        <w:t>(</w:t>
      </w:r>
      <w:r w:rsidRPr="005A2B03">
        <w:rPr>
          <w:rFonts w:ascii="Simplified Arabic" w:hAnsi="Simplified Arabic" w:cs="Simplified Arabic"/>
          <w:vertAlign w:val="superscript"/>
        </w:rPr>
        <w:footnoteRef/>
      </w:r>
      <w:r w:rsidRPr="005A2B03">
        <w:rPr>
          <w:rFonts w:ascii="Simplified Arabic" w:hAnsi="Simplified Arabic" w:cs="Simplified Arabic"/>
          <w:rtl/>
        </w:rPr>
        <w:t>)</w:t>
      </w:r>
      <w:r w:rsidRPr="005A2B03">
        <w:rPr>
          <w:rFonts w:ascii="Simplified Arabic" w:hAnsi="Simplified Arabic" w:cs="Simplified Arabic"/>
          <w:color w:val="333333"/>
          <w:shd w:val="clear" w:color="auto" w:fill="FFFFFF"/>
          <w:rtl/>
        </w:rPr>
        <w:t xml:space="preserve"> لمزيد من التفاصيل: </w:t>
      </w:r>
    </w:p>
    <w:p w14:paraId="59E3B5DF" w14:textId="77777777" w:rsidR="00270E6A" w:rsidRPr="005A2B03" w:rsidRDefault="00270E6A" w:rsidP="0041332D">
      <w:pPr>
        <w:pStyle w:val="FootnoteText"/>
        <w:numPr>
          <w:ilvl w:val="0"/>
          <w:numId w:val="34"/>
        </w:numPr>
        <w:ind w:left="595"/>
        <w:jc w:val="both"/>
        <w:rPr>
          <w:rFonts w:ascii="Simplified Arabic" w:hAnsi="Simplified Arabic" w:cs="Simplified Arabic"/>
          <w:rtl/>
        </w:rPr>
      </w:pPr>
      <w:r w:rsidRPr="005A2B03">
        <w:rPr>
          <w:rFonts w:ascii="Simplified Arabic" w:hAnsi="Simplified Arabic" w:cs="Simplified Arabic"/>
          <w:rtl/>
        </w:rPr>
        <w:t xml:space="preserve">عبد العزيز، بركات (2014). مقدمة في التحليل الإحصائي لبحوث الإعلام. الدار المصرية اللبنانية. </w:t>
      </w:r>
      <w:r w:rsidRPr="005A2B03">
        <w:rPr>
          <w:rFonts w:ascii="Simplified Arabic" w:hAnsi="Simplified Arabic" w:cs="Simplified Arabic"/>
          <w:rtl/>
        </w:rPr>
        <w:br/>
        <w:t>ص ص 173- 174.</w:t>
      </w:r>
    </w:p>
  </w:footnote>
  <w:footnote w:id="101">
    <w:p w14:paraId="0FC52014" w14:textId="77777777" w:rsidR="00270E6A" w:rsidRPr="005A2B03" w:rsidRDefault="00270E6A" w:rsidP="002959BC">
      <w:pPr>
        <w:pStyle w:val="FootnoteText"/>
        <w:jc w:val="both"/>
        <w:rPr>
          <w:rFonts w:ascii="Simplified Arabic" w:hAnsi="Simplified Arabic" w:cs="Simplified Arabic"/>
          <w:rtl/>
        </w:rPr>
      </w:pPr>
      <w:r w:rsidRPr="005A2B03">
        <w:rPr>
          <w:rFonts w:ascii="Simplified Arabic" w:hAnsi="Simplified Arabic" w:cs="Simplified Arabic"/>
          <w:rtl/>
        </w:rPr>
        <w:t>(</w:t>
      </w:r>
      <w:r w:rsidRPr="005A2B03">
        <w:rPr>
          <w:rFonts w:ascii="Simplified Arabic" w:hAnsi="Simplified Arabic" w:cs="Simplified Arabic"/>
          <w:vertAlign w:val="superscript"/>
        </w:rPr>
        <w:footnoteRef/>
      </w:r>
      <w:r w:rsidRPr="005A2B03">
        <w:rPr>
          <w:rFonts w:ascii="Simplified Arabic" w:hAnsi="Simplified Arabic" w:cs="Simplified Arabic"/>
          <w:rtl/>
        </w:rPr>
        <w:t>) ناصر عبد الله الصالح، محمد محمود السيراني (2014). الجغرافيا الكمية والإحصائية: أسس وتطبيقات بالأساليب الحاسوبية الحديثة. العبيكان للنشر. ص 23.</w:t>
      </w:r>
    </w:p>
  </w:footnote>
  <w:footnote w:id="102">
    <w:p w14:paraId="176EC138" w14:textId="77777777" w:rsidR="00270E6A" w:rsidRPr="003B5BAA" w:rsidRDefault="00270E6A" w:rsidP="002959BC">
      <w:pPr>
        <w:pStyle w:val="FootnoteText"/>
        <w:jc w:val="both"/>
        <w:rPr>
          <w:rFonts w:ascii="Simplified Arabic" w:hAnsi="Simplified Arabic" w:cs="Simplified Arabic"/>
        </w:rPr>
      </w:pPr>
      <w:r w:rsidRPr="003B5BAA">
        <w:rPr>
          <w:rFonts w:ascii="Simplified Arabic" w:hAnsi="Simplified Arabic" w:cs="Simplified Arabic"/>
          <w:rtl/>
        </w:rPr>
        <w:t>(</w:t>
      </w:r>
      <w:r w:rsidRPr="003B5BAA">
        <w:rPr>
          <w:rFonts w:ascii="Simplified Arabic" w:hAnsi="Simplified Arabic" w:cs="Simplified Arabic"/>
          <w:vertAlign w:val="superscript"/>
        </w:rPr>
        <w:footnoteRef/>
      </w:r>
      <w:r w:rsidRPr="003B5BAA">
        <w:rPr>
          <w:rFonts w:ascii="Simplified Arabic" w:hAnsi="Simplified Arabic" w:cs="Simplified Arabic"/>
          <w:rtl/>
        </w:rPr>
        <w:t>)</w:t>
      </w:r>
      <w:r w:rsidRPr="003B5BAA">
        <w:rPr>
          <w:rFonts w:ascii="Simplified Arabic" w:hAnsi="Simplified Arabic" w:cs="Simplified Arabic"/>
          <w:b/>
          <w:bCs/>
          <w:color w:val="333333"/>
          <w:shd w:val="clear" w:color="auto" w:fill="FFFFFF"/>
          <w:rtl/>
        </w:rPr>
        <w:t xml:space="preserve"> </w:t>
      </w:r>
      <w:r w:rsidRPr="003B5BAA">
        <w:rPr>
          <w:rFonts w:ascii="Simplified Arabic" w:hAnsi="Simplified Arabic" w:cs="Simplified Arabic"/>
          <w:rtl/>
        </w:rPr>
        <w:t>لقد حددت معاهدة ماستريخت عدة شروط يجب على الدول تحقيقها لإمكانية مشاركتها في الانضمام للعملة الأوروبية الموحدة والتي من بينها "نسبة عجز الموازنة: هذا المقياس يعني أنه يشترط ألا تزيد نسبة العجز في ميزانية الدولة المعنية عن 3% من إجمالي الناتج المحلي لها".</w:t>
      </w:r>
    </w:p>
    <w:p w14:paraId="0EF72D41" w14:textId="77777777" w:rsidR="00270E6A" w:rsidRPr="003B5BAA" w:rsidRDefault="00270E6A" w:rsidP="002959BC">
      <w:pPr>
        <w:pStyle w:val="FootnoteText"/>
        <w:jc w:val="both"/>
        <w:rPr>
          <w:rFonts w:ascii="Simplified Arabic" w:hAnsi="Simplified Arabic" w:cs="Simplified Arabic"/>
          <w:rtl/>
        </w:rPr>
      </w:pPr>
      <w:r w:rsidRPr="003B5BAA">
        <w:rPr>
          <w:rFonts w:ascii="Simplified Arabic" w:hAnsi="Simplified Arabic" w:cs="Simplified Arabic"/>
          <w:rtl/>
        </w:rPr>
        <w:t>لمزيد من التفاصيل أنظر:</w:t>
      </w:r>
    </w:p>
    <w:p w14:paraId="3B8FDB06" w14:textId="77777777" w:rsidR="00270E6A" w:rsidRPr="003B5BAA" w:rsidRDefault="00270E6A" w:rsidP="0041332D">
      <w:pPr>
        <w:pStyle w:val="FootnoteText"/>
        <w:numPr>
          <w:ilvl w:val="0"/>
          <w:numId w:val="34"/>
        </w:numPr>
        <w:ind w:left="595"/>
        <w:jc w:val="both"/>
        <w:rPr>
          <w:rFonts w:ascii="Simplified Arabic" w:hAnsi="Simplified Arabic" w:cs="Simplified Arabic"/>
          <w:rtl/>
        </w:rPr>
      </w:pPr>
      <w:r w:rsidRPr="003B5BAA">
        <w:rPr>
          <w:rFonts w:ascii="Simplified Arabic" w:hAnsi="Simplified Arabic" w:cs="Simplified Arabic"/>
          <w:rtl/>
        </w:rPr>
        <w:t>مسعود، محمد رشدي إبراهيم (2010). توحيد العملات النقدية وأثره في اقتصاد الدول المتقدمة والنامية: دراسة مقارنة بين الاقتصاد الوضعي والاقتصاد الإسلامي. در النشر للجامعات. ص 131.</w:t>
      </w:r>
    </w:p>
  </w:footnote>
  <w:footnote w:id="103">
    <w:p w14:paraId="18D248CD" w14:textId="77777777" w:rsidR="00270E6A" w:rsidRPr="003B5BAA" w:rsidRDefault="00270E6A" w:rsidP="002959BC">
      <w:pPr>
        <w:pStyle w:val="FootnoteText"/>
        <w:jc w:val="both"/>
        <w:rPr>
          <w:rFonts w:ascii="Simplified Arabic" w:hAnsi="Simplified Arabic" w:cs="Simplified Arabic"/>
          <w:shd w:val="clear" w:color="auto" w:fill="FFFFFF"/>
          <w:rtl/>
        </w:rPr>
      </w:pPr>
      <w:r w:rsidRPr="003B5BAA">
        <w:rPr>
          <w:rFonts w:ascii="Simplified Arabic" w:hAnsi="Simplified Arabic" w:cs="Simplified Arabic"/>
          <w:shd w:val="clear" w:color="auto" w:fill="FFFFFF"/>
        </w:rPr>
        <w:t>(</w:t>
      </w:r>
      <w:r w:rsidRPr="003B5BAA">
        <w:rPr>
          <w:rStyle w:val="FootnoteReference"/>
          <w:rFonts w:ascii="Simplified Arabic" w:eastAsiaTheme="minorEastAsia" w:hAnsi="Simplified Arabic" w:cs="Simplified Arabic"/>
        </w:rPr>
        <w:footnoteRef/>
      </w:r>
      <w:r w:rsidRPr="003B5BAA">
        <w:rPr>
          <w:rFonts w:ascii="Simplified Arabic" w:hAnsi="Simplified Arabic" w:cs="Simplified Arabic"/>
          <w:shd w:val="clear" w:color="auto" w:fill="FFFFFF"/>
        </w:rPr>
        <w:t>)</w:t>
      </w:r>
      <w:r w:rsidRPr="003B5BAA">
        <w:rPr>
          <w:rFonts w:ascii="Simplified Arabic" w:hAnsi="Simplified Arabic" w:cs="Simplified Arabic"/>
          <w:shd w:val="clear" w:color="auto" w:fill="FFFFFF"/>
          <w:rtl/>
        </w:rPr>
        <w:t xml:space="preserve"> بلغت الإيرادات الضريبية في مصر خلال العام المالي 2018/2019 نسبة 13.8% إلى الناتج المحلي الإجمالي، وهي نسبة ضئيلة إذا ما قورنت بمعدلات الإيرادات الضريبية في بعض الدول المثيلة (لبنان 15.3%، تونس 21.1%، المغرب 21.9%، جنوب إفريقيا 27.5%). نقلاً عن:</w:t>
      </w:r>
    </w:p>
    <w:p w14:paraId="563FAF39" w14:textId="77777777" w:rsidR="00270E6A" w:rsidRPr="003B5BAA" w:rsidRDefault="00270E6A" w:rsidP="0041332D">
      <w:pPr>
        <w:pStyle w:val="FootnoteText"/>
        <w:numPr>
          <w:ilvl w:val="0"/>
          <w:numId w:val="35"/>
        </w:numPr>
        <w:ind w:left="737"/>
        <w:jc w:val="both"/>
        <w:rPr>
          <w:rFonts w:ascii="Simplified Arabic" w:hAnsi="Simplified Arabic" w:cs="Simplified Arabic"/>
          <w:shd w:val="clear" w:color="auto" w:fill="FFFFFF"/>
        </w:rPr>
      </w:pPr>
      <w:r w:rsidRPr="003B5BAA">
        <w:rPr>
          <w:rFonts w:ascii="Simplified Arabic" w:hAnsi="Simplified Arabic" w:cs="Simplified Arabic"/>
          <w:shd w:val="clear" w:color="auto" w:fill="FFFFFF"/>
          <w:rtl/>
        </w:rPr>
        <w:t>وزارة المالية. التقرير المالي الشهري. مايو 2020. مجلد (15)، عدد (7) -  ص 3.</w:t>
      </w:r>
    </w:p>
    <w:p w14:paraId="6431F3DF" w14:textId="77777777" w:rsidR="00270E6A" w:rsidRPr="00F93A48" w:rsidRDefault="00270E6A" w:rsidP="0041332D">
      <w:pPr>
        <w:pStyle w:val="FootnoteText"/>
        <w:numPr>
          <w:ilvl w:val="0"/>
          <w:numId w:val="35"/>
        </w:numPr>
        <w:ind w:left="737"/>
        <w:jc w:val="both"/>
        <w:rPr>
          <w:b/>
          <w:bCs/>
        </w:rPr>
      </w:pPr>
      <w:r w:rsidRPr="003B5BAA">
        <w:rPr>
          <w:rFonts w:ascii="Simplified Arabic" w:hAnsi="Simplified Arabic" w:cs="Simplified Arabic"/>
          <w:shd w:val="clear" w:color="auto" w:fill="FFFFFF"/>
          <w:rtl/>
        </w:rPr>
        <w:t xml:space="preserve">بيانات البنك الدولي  </w:t>
      </w:r>
      <w:hyperlink r:id="rId6" w:history="1">
        <w:r w:rsidRPr="003B5BAA">
          <w:rPr>
            <w:rFonts w:ascii="Simplified Arabic" w:hAnsi="Simplified Arabic" w:cs="Simplified Arabic"/>
            <w:shd w:val="clear" w:color="auto" w:fill="FFFFFF"/>
          </w:rPr>
          <w:t>https://data.albankaldawli.org/indicator/GC.TAX.TOTL.GD.ZS</w:t>
        </w:r>
      </w:hyperlink>
    </w:p>
  </w:footnote>
  <w:footnote w:id="104">
    <w:p w14:paraId="79AD47E7" w14:textId="77777777" w:rsidR="00270E6A" w:rsidRPr="00AB365B" w:rsidRDefault="00270E6A" w:rsidP="002959BC">
      <w:pPr>
        <w:pStyle w:val="FootnoteText"/>
        <w:rPr>
          <w:b/>
          <w:bCs/>
        </w:rPr>
      </w:pPr>
      <w:r w:rsidRPr="00AB365B">
        <w:t>(</w:t>
      </w:r>
      <w:r w:rsidRPr="00AB365B">
        <w:rPr>
          <w:rStyle w:val="FootnoteReference"/>
          <w:rFonts w:eastAsiaTheme="minorEastAsia"/>
        </w:rPr>
        <w:footnoteRef/>
      </w:r>
      <w:r w:rsidRPr="00AB365B">
        <w:t>)</w:t>
      </w:r>
      <w:r w:rsidRPr="00AB365B">
        <w:rPr>
          <w:rtl/>
        </w:rPr>
        <w:t xml:space="preserve"> عبد القادر محمد عبد القادر عطية (2014). الحديث في الاقتصاد القياسي بين النظرية والتطبيق. الدار الجامعية. الإسكندرية. ص 79.</w:t>
      </w:r>
    </w:p>
  </w:footnote>
  <w:footnote w:id="105">
    <w:p w14:paraId="3C84B0F0" w14:textId="77777777" w:rsidR="00270E6A" w:rsidRPr="005E1C8B" w:rsidRDefault="00270E6A" w:rsidP="002959BC">
      <w:pPr>
        <w:pStyle w:val="FootnoteText"/>
        <w:rPr>
          <w:b/>
          <w:bCs/>
        </w:rPr>
      </w:pPr>
      <w:r w:rsidRPr="005E1C8B">
        <w:t>(</w:t>
      </w:r>
      <w:r w:rsidRPr="005E1C8B">
        <w:rPr>
          <w:rStyle w:val="FootnoteReference"/>
          <w:rFonts w:eastAsiaTheme="minorEastAsia"/>
        </w:rPr>
        <w:footnoteRef/>
      </w:r>
      <w:r w:rsidRPr="005E1C8B">
        <w:t>)</w:t>
      </w:r>
      <w:r w:rsidRPr="005E1C8B">
        <w:rPr>
          <w:rtl/>
        </w:rPr>
        <w:t xml:space="preserve"> تعتبر الأرقام القياسية لأسعار المستهلكين أحد المؤشرات الهامة لقياس التضخم بالإضافة إلى أثرها على القرارات التي تتخذ في المجالات الاقتصادية. لمزيد من التفاصيل أنظر: الجهاز المركزي للتعبئة العامة والإحصاء (2021). النشرة الشهرية للأرقام القياسية لأسعار المستهلكين يناير 2021. القاهرة. </w:t>
      </w:r>
    </w:p>
  </w:footnote>
  <w:footnote w:id="106">
    <w:p w14:paraId="4984AA66" w14:textId="77777777" w:rsidR="00270E6A" w:rsidRPr="00AC74C7" w:rsidRDefault="00270E6A" w:rsidP="002959BC">
      <w:pPr>
        <w:pStyle w:val="FootnoteText"/>
        <w:rPr>
          <w:b/>
          <w:bCs/>
        </w:rPr>
      </w:pPr>
      <w:r w:rsidRPr="00AC74C7">
        <w:t>(</w:t>
      </w:r>
      <w:r w:rsidRPr="00AC74C7">
        <w:rPr>
          <w:rStyle w:val="FootnoteReference"/>
          <w:rFonts w:eastAsiaTheme="minorEastAsia"/>
        </w:rPr>
        <w:footnoteRef/>
      </w:r>
      <w:r w:rsidRPr="00AC74C7">
        <w:t>)</w:t>
      </w:r>
      <w:r>
        <w:rPr>
          <w:rFonts w:hint="cs"/>
          <w:rtl/>
        </w:rPr>
        <w:t xml:space="preserve"> رانيا رمضان معوض (</w:t>
      </w:r>
      <w:r w:rsidRPr="00DD7C90">
        <w:rPr>
          <w:rFonts w:hint="cs"/>
          <w:rtl/>
        </w:rPr>
        <w:t>2010</w:t>
      </w:r>
      <w:r>
        <w:rPr>
          <w:rFonts w:hint="cs"/>
          <w:rtl/>
        </w:rPr>
        <w:t>). مرجع سبق ذكره. ص 7.</w:t>
      </w:r>
    </w:p>
  </w:footnote>
  <w:footnote w:id="107">
    <w:p w14:paraId="0189E246" w14:textId="77777777" w:rsidR="00270E6A" w:rsidRPr="00AC74C7" w:rsidRDefault="00270E6A" w:rsidP="002959BC">
      <w:pPr>
        <w:pStyle w:val="FootnoteText"/>
        <w:rPr>
          <w:b/>
          <w:bCs/>
        </w:rPr>
      </w:pPr>
      <w:r w:rsidRPr="00AC74C7">
        <w:t>(</w:t>
      </w:r>
      <w:r w:rsidRPr="00AC74C7">
        <w:rPr>
          <w:rStyle w:val="FootnoteReference"/>
          <w:rFonts w:eastAsiaTheme="minorEastAsia"/>
        </w:rPr>
        <w:footnoteRef/>
      </w:r>
      <w:r w:rsidRPr="00AC74C7">
        <w:t>)</w:t>
      </w:r>
      <w:r>
        <w:rPr>
          <w:rFonts w:hint="cs"/>
          <w:rtl/>
        </w:rPr>
        <w:t xml:space="preserve"> بيانات العام المالي 2015/2016 غير متاحة.</w:t>
      </w:r>
    </w:p>
  </w:footnote>
  <w:footnote w:id="108">
    <w:p w14:paraId="21BA5B64" w14:textId="77777777" w:rsidR="00270E6A" w:rsidRPr="00AC74C7" w:rsidRDefault="00270E6A" w:rsidP="002959BC">
      <w:pPr>
        <w:pStyle w:val="FootnoteText"/>
        <w:rPr>
          <w:b/>
          <w:bCs/>
        </w:rPr>
      </w:pPr>
      <w:r w:rsidRPr="00AC74C7">
        <w:t>(</w:t>
      </w:r>
      <w:r w:rsidRPr="00AC74C7">
        <w:rPr>
          <w:rStyle w:val="FootnoteReference"/>
          <w:rFonts w:eastAsiaTheme="minorEastAsia"/>
        </w:rPr>
        <w:footnoteRef/>
      </w:r>
      <w:r w:rsidRPr="00AC74C7">
        <w:t>)</w:t>
      </w:r>
      <w:r>
        <w:rPr>
          <w:rFonts w:hint="cs"/>
          <w:rtl/>
        </w:rPr>
        <w:t xml:space="preserve"> لمزيد من التفاصي</w:t>
      </w:r>
      <w:r w:rsidRPr="0075426E">
        <w:rPr>
          <w:rFonts w:hint="cs"/>
          <w:rtl/>
        </w:rPr>
        <w:t>ل أنظر: رمزي ذكي</w:t>
      </w:r>
      <w:r>
        <w:rPr>
          <w:rFonts w:hint="cs"/>
          <w:rtl/>
        </w:rPr>
        <w:t xml:space="preserve"> (1980).</w:t>
      </w:r>
      <w:r w:rsidRPr="0075426E">
        <w:rPr>
          <w:rFonts w:hint="cs"/>
          <w:rtl/>
        </w:rPr>
        <w:t xml:space="preserve"> </w:t>
      </w:r>
      <w:r>
        <w:rPr>
          <w:rFonts w:hint="cs"/>
          <w:rtl/>
        </w:rPr>
        <w:t xml:space="preserve">مرجع سبق </w:t>
      </w:r>
      <w:r>
        <w:rPr>
          <w:rFonts w:hint="cs"/>
          <w:sz w:val="28"/>
          <w:szCs w:val="28"/>
          <w:rtl/>
        </w:rPr>
        <w:t>ذ</w:t>
      </w:r>
      <w:r>
        <w:rPr>
          <w:rFonts w:hint="cs"/>
          <w:rtl/>
        </w:rPr>
        <w:t xml:space="preserve">كره. </w:t>
      </w:r>
      <w:r w:rsidRPr="0075426E">
        <w:rPr>
          <w:rFonts w:hint="cs"/>
          <w:rtl/>
        </w:rPr>
        <w:t>ص 270.</w:t>
      </w:r>
    </w:p>
  </w:footnote>
  <w:footnote w:id="109">
    <w:p w14:paraId="0550DB82" w14:textId="77777777" w:rsidR="00270E6A" w:rsidRPr="00AC74C7" w:rsidRDefault="00270E6A" w:rsidP="002959BC">
      <w:pPr>
        <w:pStyle w:val="FootnoteText"/>
        <w:rPr>
          <w:b/>
          <w:bCs/>
        </w:rPr>
      </w:pPr>
      <w:r w:rsidRPr="00AC74C7">
        <w:t>(</w:t>
      </w:r>
      <w:r w:rsidRPr="00AC74C7">
        <w:rPr>
          <w:rStyle w:val="FootnoteReference"/>
          <w:rFonts w:eastAsiaTheme="minorEastAsia"/>
        </w:rPr>
        <w:footnoteRef/>
      </w:r>
      <w:r w:rsidRPr="00AC74C7">
        <w:t>)</w:t>
      </w:r>
      <w:r>
        <w:rPr>
          <w:rFonts w:hint="cs"/>
          <w:rtl/>
        </w:rPr>
        <w:t xml:space="preserve"> بكر، إلهام حسن عبد الرحمن (2015). مرجع سبق ذكره. ص 54. نقلاً عن: على عبد الوهاب نجا، العلاقة بين الاستقرار الاقتصادي والسياسي والنمو الاقتصادي في مصر خلال الفترة (1990-2012) دراسة تحليلية قياسية. ورقة بحثية. مؤتمر التحولات السياسية والاقتصادية الراهنة وآثارها المتوقعة على متطلبات التنمية في الدول العربية، كلية الدراسات الاقتصادية والعلوم السياسية. جامعة الإسكندرية. 29 إبريل 2015.</w:t>
      </w:r>
    </w:p>
  </w:footnote>
  <w:footnote w:id="110">
    <w:p w14:paraId="0A01B07B" w14:textId="77777777" w:rsidR="00270E6A" w:rsidRPr="00230996" w:rsidRDefault="00270E6A" w:rsidP="002959BC">
      <w:pPr>
        <w:pStyle w:val="FootnoteText"/>
      </w:pPr>
      <w:r w:rsidRPr="00AC74C7">
        <w:t>(</w:t>
      </w:r>
      <w:r w:rsidRPr="00AC74C7">
        <w:rPr>
          <w:rStyle w:val="FootnoteReference"/>
          <w:rFonts w:eastAsiaTheme="minorEastAsia"/>
        </w:rPr>
        <w:footnoteRef/>
      </w:r>
      <w:r w:rsidRPr="00AC74C7">
        <w:t>)</w:t>
      </w:r>
      <w:r>
        <w:rPr>
          <w:rFonts w:hint="cs"/>
          <w:rtl/>
        </w:rPr>
        <w:t xml:space="preserve"> </w:t>
      </w:r>
      <w:r w:rsidRPr="0083352C">
        <w:t>Friedman,</w:t>
      </w:r>
      <w:r w:rsidRPr="0083352C">
        <w:rPr>
          <w:rFonts w:hint="cs"/>
          <w:rtl/>
        </w:rPr>
        <w:t xml:space="preserve"> </w:t>
      </w:r>
      <w:r w:rsidRPr="0083352C">
        <w:t>Milton</w:t>
      </w:r>
      <w:r>
        <w:rPr>
          <w:rFonts w:hint="cs"/>
          <w:rtl/>
        </w:rPr>
        <w:t xml:space="preserve"> </w:t>
      </w:r>
      <w:r w:rsidRPr="0083352C">
        <w:t>(1970). The Counter-revolution</w:t>
      </w:r>
      <w:r w:rsidRPr="0083352C">
        <w:rPr>
          <w:rFonts w:hint="cs"/>
          <w:rtl/>
        </w:rPr>
        <w:t xml:space="preserve"> </w:t>
      </w:r>
      <w:r w:rsidRPr="0083352C">
        <w:t xml:space="preserve"> in Monetary Theory:</w:t>
      </w:r>
      <w:r w:rsidRPr="0083352C">
        <w:rPr>
          <w:rFonts w:hint="cs"/>
          <w:rtl/>
        </w:rPr>
        <w:t xml:space="preserve"> </w:t>
      </w:r>
      <w:r w:rsidRPr="0083352C">
        <w:t>First</w:t>
      </w:r>
      <w:r>
        <w:t xml:space="preserve"> </w:t>
      </w:r>
      <w:r w:rsidRPr="0083352C">
        <w:t>Wincott Memorial Lecture. Wincott Foundation. P. 24.</w:t>
      </w:r>
    </w:p>
  </w:footnote>
  <w:footnote w:id="111">
    <w:p w14:paraId="7DDC1AE3" w14:textId="77777777" w:rsidR="00270E6A" w:rsidRPr="00AC74C7" w:rsidRDefault="00270E6A" w:rsidP="002959BC">
      <w:pPr>
        <w:pStyle w:val="FootnoteText"/>
        <w:rPr>
          <w:b/>
          <w:bCs/>
        </w:rPr>
      </w:pPr>
      <w:r w:rsidRPr="00AC74C7">
        <w:t>(</w:t>
      </w:r>
      <w:r w:rsidRPr="00AC74C7">
        <w:rPr>
          <w:rStyle w:val="FootnoteReference"/>
          <w:rFonts w:eastAsiaTheme="minorEastAsia"/>
        </w:rPr>
        <w:footnoteRef/>
      </w:r>
      <w:r w:rsidRPr="00AC74C7">
        <w:t>)</w:t>
      </w:r>
      <w:r>
        <w:rPr>
          <w:rFonts w:hint="cs"/>
          <w:rtl/>
        </w:rPr>
        <w:t xml:space="preserve"> لمزيد من التفصيل أنظر: حسين عبد المنعم حسين الزهوي (2010). مرجع سبق ذكره. ص 81، 82</w:t>
      </w:r>
      <w:r w:rsidRPr="0075426E">
        <w:rPr>
          <w:rFonts w:hint="cs"/>
          <w:rtl/>
        </w:rPr>
        <w:t>.</w:t>
      </w:r>
    </w:p>
  </w:footnote>
  <w:footnote w:id="112">
    <w:p w14:paraId="00006181" w14:textId="77777777" w:rsidR="00270E6A" w:rsidRPr="00AC74C7" w:rsidRDefault="00270E6A" w:rsidP="002959BC">
      <w:pPr>
        <w:pStyle w:val="FootnoteText"/>
        <w:rPr>
          <w:b/>
          <w:bCs/>
        </w:rPr>
      </w:pPr>
      <w:r w:rsidRPr="00AC74C7">
        <w:t>(</w:t>
      </w:r>
      <w:r w:rsidRPr="00AC74C7">
        <w:rPr>
          <w:rStyle w:val="FootnoteReference"/>
          <w:rFonts w:eastAsiaTheme="minorEastAsia"/>
        </w:rPr>
        <w:footnoteRef/>
      </w:r>
      <w:r w:rsidRPr="00AC74C7">
        <w:t>)</w:t>
      </w:r>
      <w:r>
        <w:rPr>
          <w:rFonts w:hint="cs"/>
          <w:rtl/>
        </w:rPr>
        <w:t xml:space="preserve"> ألفت حمدي محمد عيسوي (2016). مرجع سبق ذكره. ص 74.</w:t>
      </w:r>
    </w:p>
  </w:footnote>
  <w:footnote w:id="113">
    <w:p w14:paraId="1BB3A456" w14:textId="77777777" w:rsidR="00270E6A" w:rsidRPr="00AC74C7" w:rsidRDefault="00270E6A" w:rsidP="002959BC">
      <w:pPr>
        <w:pStyle w:val="FootnoteText"/>
        <w:rPr>
          <w:b/>
          <w:bCs/>
        </w:rPr>
      </w:pPr>
      <w:r w:rsidRPr="00AC74C7">
        <w:rPr>
          <w:shd w:val="clear" w:color="auto" w:fill="FFFFFF"/>
        </w:rPr>
        <w:t>(</w:t>
      </w:r>
      <w:r w:rsidRPr="00AC74C7">
        <w:rPr>
          <w:rStyle w:val="FootnoteReference"/>
          <w:rFonts w:eastAsiaTheme="minorEastAsia"/>
        </w:rPr>
        <w:footnoteRef/>
      </w:r>
      <w:r w:rsidRPr="00AC74C7">
        <w:rPr>
          <w:shd w:val="clear" w:color="auto" w:fill="FFFFFF"/>
        </w:rPr>
        <w:t>)</w:t>
      </w:r>
      <w:r>
        <w:rPr>
          <w:rFonts w:hint="cs"/>
          <w:shd w:val="clear" w:color="auto" w:fill="FFFFFF"/>
          <w:rtl/>
        </w:rPr>
        <w:t xml:space="preserve"> بخيت، حسين علي؛ فتح الله، سحر(2006). الاقتصاد القياسي. ص 28</w:t>
      </w:r>
      <w:r w:rsidRPr="0075426E">
        <w:rPr>
          <w:rFonts w:hint="cs"/>
          <w:shd w:val="clear" w:color="auto" w:fill="FFFFFF"/>
          <w:rtl/>
        </w:rPr>
        <w:t>.</w:t>
      </w:r>
    </w:p>
  </w:footnote>
  <w:footnote w:id="114">
    <w:p w14:paraId="55B43A27" w14:textId="77777777" w:rsidR="00270E6A" w:rsidRDefault="00270E6A" w:rsidP="002959BC">
      <w:pPr>
        <w:pStyle w:val="FootnoteText"/>
      </w:pPr>
      <w:r w:rsidRPr="00750079">
        <w:rPr>
          <w:rFonts w:hint="cs"/>
          <w:vertAlign w:val="superscript"/>
          <w:rtl/>
        </w:rPr>
        <w:t>(</w:t>
      </w:r>
      <w:r>
        <w:rPr>
          <w:rStyle w:val="FootnoteReference"/>
          <w:rFonts w:eastAsiaTheme="minorEastAsia"/>
        </w:rPr>
        <w:footnoteRef/>
      </w:r>
      <w:r>
        <w:rPr>
          <w:rFonts w:hint="cs"/>
          <w:vertAlign w:val="superscript"/>
          <w:rtl/>
        </w:rPr>
        <w:t>)</w:t>
      </w:r>
      <w:r w:rsidRPr="00944EBC">
        <w:rPr>
          <w:rFonts w:hint="cs"/>
          <w:vertAlign w:val="superscript"/>
          <w:rtl/>
        </w:rPr>
        <w:t xml:space="preserve">، </w:t>
      </w:r>
      <w:r w:rsidRPr="00944EBC">
        <w:rPr>
          <w:rFonts w:hint="cs"/>
          <w:shd w:val="clear" w:color="auto" w:fill="FFFFFF"/>
          <w:vertAlign w:val="superscript"/>
          <w:rtl/>
        </w:rPr>
        <w:t>(*)</w:t>
      </w:r>
      <w:r>
        <w:rPr>
          <w:rFonts w:hint="cs"/>
          <w:shd w:val="clear" w:color="auto" w:fill="FFFFFF"/>
          <w:rtl/>
        </w:rPr>
        <w:t xml:space="preserve"> </w:t>
      </w:r>
      <w:r w:rsidRPr="00750079">
        <w:rPr>
          <w:rFonts w:hint="cs"/>
          <w:shd w:val="clear" w:color="auto" w:fill="FFFFFF"/>
          <w:rtl/>
        </w:rPr>
        <w:t xml:space="preserve">تعبر كافة البيانات المستخدمة لمصادر </w:t>
      </w:r>
      <w:r>
        <w:rPr>
          <w:rFonts w:hint="cs"/>
          <w:shd w:val="clear" w:color="auto" w:fill="FFFFFF"/>
          <w:rtl/>
        </w:rPr>
        <w:t>تمويل عجز الموازنة</w:t>
      </w:r>
      <w:r w:rsidRPr="00750079">
        <w:rPr>
          <w:rFonts w:hint="cs"/>
          <w:shd w:val="clear" w:color="auto" w:fill="FFFFFF"/>
          <w:rtl/>
        </w:rPr>
        <w:t xml:space="preserve"> أو أسعار الواردات عن القيمة بالعملة المحلية </w:t>
      </w:r>
      <w:r>
        <w:rPr>
          <w:shd w:val="clear" w:color="auto" w:fill="FFFFFF"/>
          <w:rtl/>
        </w:rPr>
        <w:br/>
      </w:r>
      <w:r>
        <w:rPr>
          <w:rFonts w:hint="cs"/>
          <w:shd w:val="clear" w:color="auto" w:fill="FFFFFF"/>
          <w:rtl/>
        </w:rPr>
        <w:t xml:space="preserve">  </w:t>
      </w:r>
      <w:r w:rsidRPr="00750079">
        <w:rPr>
          <w:rFonts w:hint="cs"/>
          <w:shd w:val="clear" w:color="auto" w:fill="FFFFFF"/>
          <w:rtl/>
        </w:rPr>
        <w:t>(الجنية المصري) وذلك لتوحيد بيانات النموذج والوصول إلى أفضل تفسير لتأثير كل منها على المتغير التابع</w:t>
      </w:r>
      <w:r>
        <w:rPr>
          <w:rFonts w:hint="cs"/>
          <w:shd w:val="clear" w:color="auto" w:fill="FFFFFF"/>
          <w:rtl/>
        </w:rPr>
        <w:t>.</w:t>
      </w:r>
    </w:p>
  </w:footnote>
  <w:footnote w:id="115">
    <w:p w14:paraId="7E27CBDF" w14:textId="77777777" w:rsidR="00270E6A" w:rsidRDefault="00270E6A" w:rsidP="002959BC">
      <w:pPr>
        <w:pStyle w:val="FootnoteText"/>
        <w:bidi w:val="0"/>
      </w:pPr>
      <w:r>
        <w:rPr>
          <w:vertAlign w:val="superscript"/>
        </w:rPr>
        <w:t>(</w:t>
      </w:r>
      <w:r>
        <w:rPr>
          <w:rStyle w:val="FootnoteReference"/>
          <w:rFonts w:eastAsiaTheme="minorEastAsia"/>
        </w:rPr>
        <w:footnoteRef/>
      </w:r>
      <w:r>
        <w:rPr>
          <w:vertAlign w:val="superscript"/>
        </w:rPr>
        <w:t xml:space="preserve">) </w:t>
      </w:r>
      <w:r>
        <w:rPr>
          <w:rFonts w:hint="cs"/>
          <w:vertAlign w:val="superscript"/>
          <w:rtl/>
        </w:rPr>
        <w:t xml:space="preserve"> </w:t>
      </w:r>
      <w:r>
        <w:rPr>
          <w:rFonts w:eastAsiaTheme="minorHAnsi"/>
        </w:rPr>
        <w:t>Hallam, David</w:t>
      </w:r>
      <w:r w:rsidRPr="00145AE2">
        <w:rPr>
          <w:rFonts w:eastAsiaTheme="minorHAnsi"/>
        </w:rPr>
        <w:t>. and Zanoli</w:t>
      </w:r>
      <w:r>
        <w:rPr>
          <w:rFonts w:eastAsiaTheme="minorHAnsi"/>
        </w:rPr>
        <w:t xml:space="preserve">, </w:t>
      </w:r>
      <w:r w:rsidRPr="00145AE2">
        <w:rPr>
          <w:rFonts w:eastAsiaTheme="minorHAnsi"/>
        </w:rPr>
        <w:t>R</w:t>
      </w:r>
      <w:r>
        <w:rPr>
          <w:rFonts w:eastAsiaTheme="minorHAnsi"/>
        </w:rPr>
        <w:t>affaele</w:t>
      </w:r>
      <w:r w:rsidRPr="00145AE2">
        <w:rPr>
          <w:rFonts w:eastAsiaTheme="minorHAnsi"/>
        </w:rPr>
        <w:t>, Error-correction models and agricultural supply response, European Review of Agricultural Economics, Vol: 2, N: 20, 1993, p160</w:t>
      </w:r>
      <w:r w:rsidRPr="00145AE2">
        <w:rPr>
          <w:rFonts w:eastAsiaTheme="minorHAnsi" w:hint="cs"/>
          <w:rtl/>
        </w:rPr>
        <w:t>.</w:t>
      </w:r>
    </w:p>
  </w:footnote>
  <w:footnote w:id="116">
    <w:p w14:paraId="57C524D1" w14:textId="77777777" w:rsidR="00270E6A" w:rsidRDefault="00270E6A" w:rsidP="002959BC">
      <w:pPr>
        <w:pStyle w:val="FootnoteText"/>
        <w:rPr>
          <w:shd w:val="clear" w:color="auto" w:fill="FFFFFF"/>
          <w:rtl/>
        </w:rPr>
      </w:pPr>
      <w:r w:rsidRPr="00750079">
        <w:rPr>
          <w:rFonts w:hint="cs"/>
          <w:vertAlign w:val="superscript"/>
          <w:rtl/>
        </w:rPr>
        <w:t>(</w:t>
      </w:r>
      <w:r>
        <w:rPr>
          <w:rFonts w:hint="cs"/>
          <w:vertAlign w:val="superscript"/>
          <w:rtl/>
        </w:rPr>
        <w:t>*</w:t>
      </w:r>
      <w:r w:rsidRPr="00B474DF">
        <w:rPr>
          <w:rStyle w:val="FootnoteReference"/>
          <w:rFonts w:eastAsiaTheme="minorEastAsia"/>
          <w:sz w:val="2"/>
          <w:szCs w:val="2"/>
        </w:rPr>
        <w:footnoteRef/>
      </w:r>
      <w:r>
        <w:rPr>
          <w:rFonts w:hint="cs"/>
          <w:vertAlign w:val="superscript"/>
          <w:rtl/>
        </w:rPr>
        <w:t xml:space="preserve">) </w:t>
      </w:r>
      <w:r>
        <w:rPr>
          <w:rFonts w:hint="cs"/>
          <w:shd w:val="clear" w:color="auto" w:fill="FFFFFF"/>
          <w:rtl/>
        </w:rPr>
        <w:t>إذا كانت القيم المطلقة المحسوبة أكبر من القيم المطلقة الحرجة عند مستوى معنوية محدد، ن</w:t>
      </w:r>
      <w:r w:rsidRPr="00BF0DF9">
        <w:rPr>
          <w:shd w:val="clear" w:color="auto" w:fill="FFFFFF"/>
          <w:rtl/>
        </w:rPr>
        <w:t>رفض الفرض العدمي القائل بوجود جذر الوحدة</w:t>
      </w:r>
      <w:r>
        <w:rPr>
          <w:rFonts w:hint="cs"/>
          <w:shd w:val="clear" w:color="auto" w:fill="FFFFFF"/>
          <w:rtl/>
        </w:rPr>
        <w:t xml:space="preserve"> ونقبل الفرض البديل القائل بعدم وجود جذر الوحدة أي استقرار السلسلة الزمنية. لمزيد من التفاصيل، أنظر: </w:t>
      </w:r>
    </w:p>
    <w:p w14:paraId="41225B0A" w14:textId="77777777" w:rsidR="00270E6A" w:rsidRDefault="00270E6A" w:rsidP="002959BC">
      <w:pPr>
        <w:pStyle w:val="FootnoteText"/>
        <w:rPr>
          <w:shd w:val="clear" w:color="auto" w:fill="FFFFFF"/>
          <w:rtl/>
        </w:rPr>
      </w:pPr>
      <w:r w:rsidRPr="00502713">
        <w:rPr>
          <w:rFonts w:hint="cs"/>
          <w:shd w:val="clear" w:color="auto" w:fill="FFFFFF"/>
          <w:rtl/>
        </w:rPr>
        <w:t>- شيخي، محمد (2011). طرق الاقتصاد القياسي: محاضرات وتط</w:t>
      </w:r>
      <w:r>
        <w:rPr>
          <w:rFonts w:hint="cs"/>
          <w:shd w:val="clear" w:color="auto" w:fill="FFFFFF"/>
          <w:rtl/>
        </w:rPr>
        <w:t>ب</w:t>
      </w:r>
      <w:r w:rsidRPr="00502713">
        <w:rPr>
          <w:rFonts w:hint="cs"/>
          <w:shd w:val="clear" w:color="auto" w:fill="FFFFFF"/>
          <w:rtl/>
        </w:rPr>
        <w:t>يقات.</w:t>
      </w:r>
      <w:r>
        <w:rPr>
          <w:rFonts w:hint="cs"/>
          <w:shd w:val="clear" w:color="auto" w:fill="FFFFFF"/>
          <w:rtl/>
        </w:rPr>
        <w:t xml:space="preserve"> الحامد. الجزائر.</w:t>
      </w:r>
      <w:r w:rsidRPr="00502713">
        <w:rPr>
          <w:rFonts w:hint="cs"/>
          <w:shd w:val="clear" w:color="auto" w:fill="FFFFFF"/>
          <w:rtl/>
        </w:rPr>
        <w:t xml:space="preserve"> ص 208</w:t>
      </w:r>
      <w:r>
        <w:rPr>
          <w:rFonts w:hint="cs"/>
          <w:shd w:val="clear" w:color="auto" w:fill="FFFFFF"/>
          <w:rtl/>
        </w:rPr>
        <w:t>.</w:t>
      </w:r>
    </w:p>
    <w:p w14:paraId="5E0B64CD" w14:textId="77777777" w:rsidR="00270E6A" w:rsidRPr="00BF0DF9" w:rsidRDefault="00270E6A" w:rsidP="002959BC">
      <w:pPr>
        <w:pStyle w:val="FootnoteText"/>
        <w:rPr>
          <w:shd w:val="clear" w:color="auto" w:fill="FFFFFF"/>
        </w:rPr>
      </w:pPr>
      <w:r>
        <w:rPr>
          <w:rFonts w:hint="cs"/>
          <w:shd w:val="clear" w:color="auto" w:fill="FFFFFF"/>
          <w:rtl/>
        </w:rPr>
        <w:t xml:space="preserve">- </w:t>
      </w:r>
      <w:r w:rsidRPr="00502713">
        <w:rPr>
          <w:shd w:val="clear" w:color="auto" w:fill="FFFFFF"/>
          <w:rtl/>
        </w:rPr>
        <w:t>جوجارت، دامودار؛ ترجمة ومراجعة: هند عبد الغفار عودة</w:t>
      </w:r>
      <w:r>
        <w:rPr>
          <w:rFonts w:hint="cs"/>
          <w:shd w:val="clear" w:color="auto" w:fill="FFFFFF"/>
          <w:rtl/>
        </w:rPr>
        <w:t xml:space="preserve"> </w:t>
      </w:r>
      <w:r w:rsidRPr="00502713">
        <w:rPr>
          <w:rFonts w:hint="cs"/>
          <w:shd w:val="clear" w:color="auto" w:fill="FFFFFF"/>
          <w:rtl/>
        </w:rPr>
        <w:t>(2015)</w:t>
      </w:r>
      <w:r w:rsidRPr="00502713">
        <w:rPr>
          <w:shd w:val="clear" w:color="auto" w:fill="FFFFFF"/>
          <w:rtl/>
        </w:rPr>
        <w:t>. الاقتصاد القياسي.</w:t>
      </w:r>
      <w:r w:rsidRPr="00502713">
        <w:rPr>
          <w:rFonts w:hint="cs"/>
          <w:shd w:val="clear" w:color="auto" w:fill="FFFFFF"/>
          <w:rtl/>
        </w:rPr>
        <w:t xml:space="preserve"> </w:t>
      </w:r>
      <w:r w:rsidRPr="00502713">
        <w:rPr>
          <w:shd w:val="clear" w:color="auto" w:fill="FFFFFF"/>
          <w:rtl/>
        </w:rPr>
        <w:t>الجزء الثاني. درا المريخ للنشر</w:t>
      </w:r>
      <w:r>
        <w:rPr>
          <w:rFonts w:hint="cs"/>
          <w:shd w:val="clear" w:color="auto" w:fill="FFFFFF"/>
          <w:rtl/>
        </w:rPr>
        <w:t>. ص 152.</w:t>
      </w:r>
    </w:p>
  </w:footnote>
  <w:footnote w:id="117">
    <w:p w14:paraId="7626E1F6" w14:textId="77777777" w:rsidR="00270E6A" w:rsidRPr="00502713" w:rsidRDefault="00270E6A" w:rsidP="002959BC">
      <w:pPr>
        <w:pStyle w:val="FootnoteText"/>
        <w:rPr>
          <w:shd w:val="clear" w:color="auto" w:fill="FFFFFF"/>
        </w:rPr>
      </w:pPr>
      <w:r w:rsidRPr="00750079">
        <w:rPr>
          <w:rFonts w:hint="cs"/>
          <w:vertAlign w:val="superscript"/>
          <w:rtl/>
        </w:rPr>
        <w:t>(</w:t>
      </w:r>
      <w:r>
        <w:rPr>
          <w:rFonts w:hint="cs"/>
          <w:vertAlign w:val="superscript"/>
          <w:rtl/>
        </w:rPr>
        <w:t>*</w:t>
      </w:r>
      <w:r w:rsidRPr="00B474DF">
        <w:rPr>
          <w:rStyle w:val="FootnoteReference"/>
          <w:rFonts w:eastAsiaTheme="minorEastAsia"/>
          <w:sz w:val="2"/>
          <w:szCs w:val="2"/>
        </w:rPr>
        <w:footnoteRef/>
      </w:r>
      <w:r>
        <w:rPr>
          <w:rFonts w:hint="cs"/>
          <w:vertAlign w:val="superscript"/>
          <w:rtl/>
        </w:rPr>
        <w:t xml:space="preserve">) </w:t>
      </w:r>
      <w:r>
        <w:rPr>
          <w:rFonts w:hint="cs"/>
          <w:shd w:val="clear" w:color="auto" w:fill="FFFFFF"/>
          <w:rtl/>
        </w:rPr>
        <w:t>إذا كانت القيم المطلقة المحسوبة أكبر من القيم المطلقة الحرجة عند مستوى معنوية محدد، ن</w:t>
      </w:r>
      <w:r w:rsidRPr="00BF0DF9">
        <w:rPr>
          <w:shd w:val="clear" w:color="auto" w:fill="FFFFFF"/>
          <w:rtl/>
        </w:rPr>
        <w:t>رفض الفرض العدمي القائل بوجود جذر الوحدة</w:t>
      </w:r>
      <w:r>
        <w:rPr>
          <w:rFonts w:hint="cs"/>
          <w:shd w:val="clear" w:color="auto" w:fill="FFFFFF"/>
          <w:rtl/>
        </w:rPr>
        <w:t xml:space="preserve"> ونقبل الفرض البديل القائل بعدم وجود جذر الوحدة أي استقرار السلسلة الزمنية.</w:t>
      </w:r>
    </w:p>
  </w:footnote>
  <w:footnote w:id="118">
    <w:p w14:paraId="4CB7A43C" w14:textId="77777777" w:rsidR="00270E6A" w:rsidRPr="0023379C" w:rsidRDefault="00270E6A" w:rsidP="002959BC">
      <w:pPr>
        <w:pStyle w:val="FootnoteText"/>
        <w:jc w:val="both"/>
        <w:rPr>
          <w:rFonts w:ascii="Simplified Arabic" w:hAnsi="Simplified Arabic" w:cs="Simplified Arabic"/>
          <w:sz w:val="24"/>
          <w:szCs w:val="24"/>
          <w:shd w:val="clear" w:color="auto" w:fill="FFFFFF"/>
          <w:rtl/>
        </w:rPr>
      </w:pPr>
      <w:r w:rsidRPr="0023379C">
        <w:rPr>
          <w:rFonts w:ascii="Simplified Arabic" w:hAnsi="Simplified Arabic" w:cs="Simplified Arabic"/>
          <w:sz w:val="24"/>
          <w:szCs w:val="24"/>
          <w:shd w:val="clear" w:color="auto" w:fill="FFFFFF"/>
        </w:rPr>
        <w:t>(</w:t>
      </w:r>
      <w:r w:rsidRPr="0023379C">
        <w:rPr>
          <w:rStyle w:val="FootnoteReference"/>
          <w:rFonts w:ascii="Simplified Arabic" w:eastAsiaTheme="minorEastAsia" w:hAnsi="Simplified Arabic" w:cs="Simplified Arabic"/>
          <w:sz w:val="24"/>
          <w:szCs w:val="24"/>
        </w:rPr>
        <w:footnoteRef/>
      </w:r>
      <w:r w:rsidRPr="0023379C">
        <w:rPr>
          <w:rFonts w:ascii="Simplified Arabic" w:hAnsi="Simplified Arabic" w:cs="Simplified Arabic"/>
          <w:sz w:val="24"/>
          <w:szCs w:val="24"/>
          <w:shd w:val="clear" w:color="auto" w:fill="FFFFFF"/>
        </w:rPr>
        <w:t>)</w:t>
      </w:r>
      <w:r w:rsidRPr="0023379C">
        <w:rPr>
          <w:rFonts w:ascii="Simplified Arabic" w:hAnsi="Simplified Arabic" w:cs="Simplified Arabic"/>
          <w:sz w:val="24"/>
          <w:szCs w:val="24"/>
          <w:shd w:val="clear" w:color="auto" w:fill="FFFFFF"/>
          <w:rtl/>
        </w:rPr>
        <w:t xml:space="preserve"> </w:t>
      </w:r>
      <w:r w:rsidRPr="0023379C">
        <w:rPr>
          <w:rFonts w:ascii="Simplified Arabic" w:hAnsi="Simplified Arabic" w:cs="Simplified Arabic"/>
          <w:sz w:val="24"/>
          <w:szCs w:val="24"/>
          <w:shd w:val="clear" w:color="auto" w:fill="FFFFFF"/>
        </w:rPr>
        <w:t>Christopher A. Sims</w:t>
      </w:r>
      <w:r w:rsidRPr="0023379C">
        <w:rPr>
          <w:rFonts w:ascii="Simplified Arabic" w:hAnsi="Simplified Arabic" w:cs="Simplified Arabic"/>
          <w:sz w:val="24"/>
          <w:szCs w:val="24"/>
          <w:shd w:val="clear" w:color="auto" w:fill="FFFFFF"/>
          <w:rtl/>
        </w:rPr>
        <w:t xml:space="preserve"> هو عالم اقتصاد أمريكي ولد عام 1942، حصل على درجة الدكتوراه في عام 1968. عمل في جامعة مينيسوتا وجامعة ييل وحاصل على أستاذ في جامعة برينستون منذ عام 1999، وحصل </w:t>
      </w:r>
      <w:r w:rsidRPr="0023379C">
        <w:rPr>
          <w:rFonts w:ascii="Simplified Arabic" w:hAnsi="Simplified Arabic" w:cs="Simplified Arabic"/>
          <w:sz w:val="24"/>
          <w:szCs w:val="24"/>
          <w:shd w:val="clear" w:color="auto" w:fill="FFFFFF"/>
        </w:rPr>
        <w:t>Sims</w:t>
      </w:r>
      <w:r w:rsidRPr="0023379C">
        <w:rPr>
          <w:rFonts w:ascii="Simplified Arabic" w:hAnsi="Simplified Arabic" w:cs="Simplified Arabic"/>
          <w:sz w:val="24"/>
          <w:szCs w:val="24"/>
          <w:shd w:val="clear" w:color="auto" w:fill="FFFFFF"/>
          <w:rtl/>
        </w:rPr>
        <w:t xml:space="preserve"> على جائزة نوبل للاقتصاد عام 2011 عن أعماله عن كيف يتأثر الاقتصاد بالأحداث غير المتوقعة والتغيرات في السياسة الاقتصادية؟ ما هي آثار رفع أسعار الفائدة وتخفيضات الضرائب على إنتاج السلع والخدمات والبطالة والتضخم والاستثمار؟ طور كريستوفر سيمز طرقًا لدراسة العلاقة بين السياسة والاقتصاد. المصدر: </w:t>
      </w:r>
    </w:p>
    <w:p w14:paraId="3C247407" w14:textId="77777777" w:rsidR="00270E6A" w:rsidRPr="0023379C" w:rsidRDefault="00270E6A" w:rsidP="002959BC">
      <w:pPr>
        <w:pStyle w:val="FootnoteText"/>
        <w:bidi w:val="0"/>
        <w:jc w:val="both"/>
        <w:rPr>
          <w:rFonts w:ascii="Simplified Arabic" w:hAnsi="Simplified Arabic" w:cs="Simplified Arabic"/>
          <w:b/>
          <w:bCs/>
          <w:sz w:val="24"/>
          <w:szCs w:val="24"/>
        </w:rPr>
      </w:pPr>
      <w:hyperlink r:id="rId7" w:history="1">
        <w:r w:rsidRPr="0023379C">
          <w:rPr>
            <w:rStyle w:val="Hyperlink"/>
            <w:rFonts w:ascii="Simplified Arabic" w:hAnsi="Simplified Arabic" w:cs="Simplified Arabic"/>
            <w:sz w:val="24"/>
            <w:szCs w:val="24"/>
          </w:rPr>
          <w:t>https://www.nobelprize.org/prizes/economic-sciences/2011/sims/facts/</w:t>
        </w:r>
      </w:hyperlink>
    </w:p>
  </w:footnote>
  <w:footnote w:id="119">
    <w:p w14:paraId="5D840F67" w14:textId="77777777" w:rsidR="00270E6A" w:rsidRPr="0023379C" w:rsidRDefault="00270E6A" w:rsidP="002959BC">
      <w:pPr>
        <w:pStyle w:val="FootnoteText"/>
        <w:jc w:val="both"/>
        <w:rPr>
          <w:rFonts w:ascii="Simplified Arabic" w:hAnsi="Simplified Arabic" w:cs="Simplified Arabic"/>
          <w:b/>
          <w:bCs/>
          <w:sz w:val="24"/>
          <w:szCs w:val="24"/>
        </w:rPr>
      </w:pPr>
      <w:r w:rsidRPr="0023379C">
        <w:rPr>
          <w:rFonts w:ascii="Simplified Arabic" w:hAnsi="Simplified Arabic" w:cs="Simplified Arabic"/>
          <w:sz w:val="24"/>
          <w:szCs w:val="24"/>
          <w:shd w:val="clear" w:color="auto" w:fill="FFFFFF"/>
        </w:rPr>
        <w:t>(</w:t>
      </w:r>
      <w:r w:rsidRPr="0023379C">
        <w:rPr>
          <w:rStyle w:val="FootnoteReference"/>
          <w:rFonts w:ascii="Simplified Arabic" w:eastAsiaTheme="minorEastAsia" w:hAnsi="Simplified Arabic" w:cs="Simplified Arabic"/>
          <w:sz w:val="24"/>
          <w:szCs w:val="24"/>
        </w:rPr>
        <w:footnoteRef/>
      </w:r>
      <w:r w:rsidRPr="0023379C">
        <w:rPr>
          <w:rFonts w:ascii="Simplified Arabic" w:hAnsi="Simplified Arabic" w:cs="Simplified Arabic"/>
          <w:sz w:val="24"/>
          <w:szCs w:val="24"/>
          <w:shd w:val="clear" w:color="auto" w:fill="FFFFFF"/>
        </w:rPr>
        <w:t>)</w:t>
      </w:r>
      <w:r w:rsidRPr="0023379C">
        <w:rPr>
          <w:rFonts w:ascii="Simplified Arabic" w:hAnsi="Simplified Arabic" w:cs="Simplified Arabic"/>
          <w:sz w:val="24"/>
          <w:szCs w:val="24"/>
          <w:shd w:val="clear" w:color="auto" w:fill="FFFFFF"/>
          <w:rtl/>
        </w:rPr>
        <w:t xml:space="preserve"> عثمان نقار، منذر العواد (2012). استخدام نماذج </w:t>
      </w:r>
      <w:r w:rsidRPr="0023379C">
        <w:rPr>
          <w:rFonts w:ascii="Simplified Arabic" w:hAnsi="Simplified Arabic" w:cs="Simplified Arabic"/>
          <w:sz w:val="24"/>
          <w:szCs w:val="24"/>
          <w:shd w:val="clear" w:color="auto" w:fill="FFFFFF"/>
        </w:rPr>
        <w:t>var</w:t>
      </w:r>
      <w:r w:rsidRPr="0023379C">
        <w:rPr>
          <w:rFonts w:ascii="Simplified Arabic" w:hAnsi="Simplified Arabic" w:cs="Simplified Arabic"/>
          <w:sz w:val="24"/>
          <w:szCs w:val="24"/>
          <w:shd w:val="clear" w:color="auto" w:fill="FFFFFF"/>
          <w:rtl/>
        </w:rPr>
        <w:t xml:space="preserve"> في التنبؤ ودراسة العلاقة السببية بين إجمالي الناتج المحلي وإجمال التكوين الرأسمالي في سورية، مجلة جامعة دمشق للعلوم الاقتصادية والقانونية. المجلد 28. العدد الثاني 2012 كلية الاقتصاد. جامعة دمشق. ص 339.</w:t>
      </w:r>
    </w:p>
  </w:footnote>
  <w:footnote w:id="120">
    <w:p w14:paraId="2E4FBA9C" w14:textId="77777777" w:rsidR="00270E6A" w:rsidRPr="0023379C" w:rsidRDefault="00270E6A" w:rsidP="002959BC">
      <w:pPr>
        <w:pStyle w:val="FootnoteText"/>
        <w:jc w:val="both"/>
        <w:rPr>
          <w:rFonts w:ascii="Simplified Arabic" w:hAnsi="Simplified Arabic" w:cs="Simplified Arabic"/>
          <w:sz w:val="24"/>
          <w:szCs w:val="24"/>
          <w:rtl/>
        </w:rPr>
      </w:pPr>
      <w:r w:rsidRPr="0023379C">
        <w:rPr>
          <w:rFonts w:ascii="Simplified Arabic" w:hAnsi="Simplified Arabic" w:cs="Simplified Arabic"/>
          <w:sz w:val="24"/>
          <w:szCs w:val="24"/>
          <w:shd w:val="clear" w:color="auto" w:fill="FFFFFF"/>
        </w:rPr>
        <w:t>(</w:t>
      </w:r>
      <w:r w:rsidRPr="0023379C">
        <w:rPr>
          <w:rStyle w:val="FootnoteReference"/>
          <w:rFonts w:ascii="Simplified Arabic" w:eastAsiaTheme="minorEastAsia" w:hAnsi="Simplified Arabic" w:cs="Simplified Arabic"/>
          <w:sz w:val="24"/>
          <w:szCs w:val="24"/>
        </w:rPr>
        <w:footnoteRef/>
      </w:r>
      <w:r w:rsidRPr="0023379C">
        <w:rPr>
          <w:rFonts w:ascii="Simplified Arabic" w:hAnsi="Simplified Arabic" w:cs="Simplified Arabic"/>
          <w:sz w:val="24"/>
          <w:szCs w:val="24"/>
          <w:shd w:val="clear" w:color="auto" w:fill="FFFFFF"/>
        </w:rPr>
        <w:t>)</w:t>
      </w:r>
      <w:r w:rsidRPr="0023379C">
        <w:rPr>
          <w:rFonts w:ascii="Simplified Arabic" w:hAnsi="Simplified Arabic" w:cs="Simplified Arabic"/>
          <w:sz w:val="24"/>
          <w:szCs w:val="24"/>
          <w:rtl/>
        </w:rPr>
        <w:t xml:space="preserve"> إن </w:t>
      </w:r>
      <w:r w:rsidRPr="0023379C">
        <w:rPr>
          <w:rFonts w:ascii="Simplified Arabic" w:hAnsi="Simplified Arabic" w:cs="Simplified Arabic"/>
          <w:sz w:val="24"/>
          <w:szCs w:val="24"/>
          <w:shd w:val="clear" w:color="auto" w:fill="FFFFFF"/>
          <w:rtl/>
        </w:rPr>
        <w:t>الشكل</w:t>
      </w:r>
      <w:r w:rsidRPr="0023379C">
        <w:rPr>
          <w:rFonts w:ascii="Simplified Arabic" w:hAnsi="Simplified Arabic" w:cs="Simplified Arabic"/>
          <w:sz w:val="24"/>
          <w:szCs w:val="24"/>
          <w:rtl/>
        </w:rPr>
        <w:t xml:space="preserve"> </w:t>
      </w:r>
      <w:r w:rsidRPr="0023379C">
        <w:rPr>
          <w:rFonts w:ascii="Simplified Arabic" w:hAnsi="Simplified Arabic" w:cs="Simplified Arabic"/>
          <w:sz w:val="24"/>
          <w:szCs w:val="24"/>
          <w:shd w:val="clear" w:color="auto" w:fill="FFFFFF"/>
          <w:rtl/>
        </w:rPr>
        <w:t>الأساسي</w:t>
      </w:r>
      <w:r w:rsidRPr="0023379C">
        <w:rPr>
          <w:rFonts w:ascii="Simplified Arabic" w:hAnsi="Simplified Arabic" w:cs="Simplified Arabic"/>
          <w:sz w:val="24"/>
          <w:szCs w:val="24"/>
          <w:rtl/>
        </w:rPr>
        <w:t xml:space="preserve"> لنموذج </w:t>
      </w:r>
      <w:r w:rsidRPr="0023379C">
        <w:rPr>
          <w:rFonts w:ascii="Simplified Arabic" w:hAnsi="Simplified Arabic" w:cs="Simplified Arabic"/>
          <w:sz w:val="24"/>
          <w:szCs w:val="24"/>
        </w:rPr>
        <w:t>var</w:t>
      </w:r>
      <w:r w:rsidRPr="0023379C">
        <w:rPr>
          <w:rFonts w:ascii="Simplified Arabic" w:hAnsi="Simplified Arabic" w:cs="Simplified Arabic"/>
          <w:sz w:val="24"/>
          <w:szCs w:val="24"/>
          <w:rtl/>
        </w:rPr>
        <w:t xml:space="preserve"> هو:</w:t>
      </w:r>
    </w:p>
    <w:p w14:paraId="43B6C47E" w14:textId="77777777" w:rsidR="00270E6A" w:rsidRPr="0023379C" w:rsidRDefault="00270E6A" w:rsidP="002959BC">
      <w:pPr>
        <w:spacing w:line="228" w:lineRule="auto"/>
        <w:ind w:firstLine="454"/>
        <w:jc w:val="both"/>
        <w:rPr>
          <w:rFonts w:ascii="Simplified Arabic" w:hAnsi="Simplified Arabic" w:cs="Simplified Arabic"/>
          <w:sz w:val="24"/>
          <w:szCs w:val="24"/>
          <w:lang w:bidi="ar-EG"/>
        </w:rPr>
      </w:pPr>
      <m:oMathPara>
        <m:oMath>
          <m:sSub>
            <m:sSubPr>
              <m:ctrlPr>
                <w:rPr>
                  <w:rFonts w:ascii="Cambria Math" w:hAnsi="Cambria Math" w:cs="Simplified Arabic"/>
                  <w:i/>
                  <w:sz w:val="24"/>
                  <w:szCs w:val="24"/>
                  <w:lang w:bidi="ar-EG"/>
                </w:rPr>
              </m:ctrlPr>
            </m:sSubPr>
            <m:e>
              <m:r>
                <w:rPr>
                  <w:rFonts w:ascii="Cambria Math" w:hAnsi="Cambria Math" w:cs="Simplified Arabic"/>
                  <w:sz w:val="24"/>
                  <w:szCs w:val="24"/>
                  <w:lang w:bidi="ar-EG"/>
                </w:rPr>
                <m:t>y</m:t>
              </m:r>
            </m:e>
            <m:sub>
              <m:r>
                <w:rPr>
                  <w:rFonts w:ascii="Cambria Math" w:hAnsi="Cambria Math" w:cs="Simplified Arabic"/>
                  <w:sz w:val="24"/>
                  <w:szCs w:val="24"/>
                  <w:lang w:bidi="ar-EG"/>
                </w:rPr>
                <m:t>t</m:t>
              </m:r>
            </m:sub>
          </m:sSub>
          <m:r>
            <w:rPr>
              <w:rFonts w:ascii="Cambria Math" w:hAnsi="Cambria Math" w:cs="Simplified Arabic"/>
              <w:sz w:val="24"/>
              <w:szCs w:val="24"/>
              <w:lang w:bidi="ar-EG"/>
            </w:rPr>
            <m:t xml:space="preserve">= </m:t>
          </m:r>
          <m:sSub>
            <m:sSubPr>
              <m:ctrlPr>
                <w:rPr>
                  <w:rFonts w:ascii="Cambria Math" w:hAnsi="Cambria Math" w:cs="Simplified Arabic"/>
                  <w:i/>
                  <w:sz w:val="24"/>
                  <w:szCs w:val="24"/>
                  <w:lang w:bidi="ar-EG"/>
                </w:rPr>
              </m:ctrlPr>
            </m:sSubPr>
            <m:e>
              <m:r>
                <w:rPr>
                  <w:rFonts w:ascii="Cambria Math" w:hAnsi="Cambria Math" w:cs="Simplified Arabic"/>
                  <w:sz w:val="24"/>
                  <w:szCs w:val="24"/>
                  <w:lang w:bidi="ar-EG"/>
                </w:rPr>
                <m:t>A</m:t>
              </m:r>
            </m:e>
            <m:sub>
              <m:r>
                <w:rPr>
                  <w:rFonts w:ascii="Cambria Math" w:hAnsi="Cambria Math" w:cs="Simplified Arabic"/>
                  <w:sz w:val="24"/>
                  <w:szCs w:val="24"/>
                  <w:lang w:bidi="ar-EG"/>
                </w:rPr>
                <m:t>1</m:t>
              </m:r>
            </m:sub>
          </m:sSub>
          <m:sSub>
            <m:sSubPr>
              <m:ctrlPr>
                <w:rPr>
                  <w:rFonts w:ascii="Cambria Math" w:hAnsi="Cambria Math" w:cs="Simplified Arabic"/>
                  <w:i/>
                  <w:sz w:val="24"/>
                  <w:szCs w:val="24"/>
                  <w:lang w:bidi="ar-EG"/>
                </w:rPr>
              </m:ctrlPr>
            </m:sSubPr>
            <m:e>
              <m:r>
                <w:rPr>
                  <w:rFonts w:ascii="Cambria Math" w:hAnsi="Cambria Math" w:cs="Simplified Arabic"/>
                  <w:sz w:val="24"/>
                  <w:szCs w:val="24"/>
                  <w:lang w:bidi="ar-EG"/>
                </w:rPr>
                <m:t>y</m:t>
              </m:r>
            </m:e>
            <m:sub>
              <m:r>
                <w:rPr>
                  <w:rFonts w:ascii="Cambria Math" w:hAnsi="Cambria Math" w:cs="Simplified Arabic"/>
                  <w:sz w:val="24"/>
                  <w:szCs w:val="24"/>
                  <w:lang w:bidi="ar-EG"/>
                </w:rPr>
                <m:t>(t-1)</m:t>
              </m:r>
            </m:sub>
          </m:sSub>
          <m:r>
            <w:rPr>
              <w:rFonts w:ascii="Cambria Math" w:hAnsi="Cambria Math" w:cs="Simplified Arabic"/>
              <w:sz w:val="24"/>
              <w:szCs w:val="24"/>
              <w:lang w:bidi="ar-EG"/>
            </w:rPr>
            <m:t>+</m:t>
          </m:r>
          <m:sSub>
            <m:sSubPr>
              <m:ctrlPr>
                <w:rPr>
                  <w:rFonts w:ascii="Cambria Math" w:hAnsi="Cambria Math" w:cs="Simplified Arabic"/>
                  <w:i/>
                  <w:sz w:val="24"/>
                  <w:szCs w:val="24"/>
                  <w:lang w:bidi="ar-EG"/>
                </w:rPr>
              </m:ctrlPr>
            </m:sSubPr>
            <m:e>
              <m:r>
                <w:rPr>
                  <w:rFonts w:ascii="Cambria Math" w:hAnsi="Cambria Math" w:cs="Simplified Arabic"/>
                  <w:sz w:val="24"/>
                  <w:szCs w:val="24"/>
                  <w:lang w:bidi="ar-EG"/>
                </w:rPr>
                <m:t>A</m:t>
              </m:r>
            </m:e>
            <m:sub>
              <m:r>
                <w:rPr>
                  <w:rFonts w:ascii="Cambria Math" w:hAnsi="Cambria Math" w:cs="Simplified Arabic"/>
                  <w:sz w:val="24"/>
                  <w:szCs w:val="24"/>
                  <w:lang w:bidi="ar-EG"/>
                </w:rPr>
                <m:t>2</m:t>
              </m:r>
            </m:sub>
          </m:sSub>
          <m:r>
            <w:rPr>
              <w:rFonts w:ascii="Cambria Math" w:hAnsi="Cambria Math" w:cs="Simplified Arabic"/>
              <w:sz w:val="24"/>
              <w:szCs w:val="24"/>
              <w:lang w:bidi="ar-EG"/>
            </w:rPr>
            <m:t xml:space="preserve"> </m:t>
          </m:r>
          <m:sSub>
            <m:sSubPr>
              <m:ctrlPr>
                <w:rPr>
                  <w:rFonts w:ascii="Cambria Math" w:hAnsi="Cambria Math" w:cs="Simplified Arabic"/>
                  <w:i/>
                  <w:sz w:val="24"/>
                  <w:szCs w:val="24"/>
                  <w:lang w:bidi="ar-EG"/>
                </w:rPr>
              </m:ctrlPr>
            </m:sSubPr>
            <m:e>
              <m:r>
                <w:rPr>
                  <w:rFonts w:ascii="Cambria Math" w:hAnsi="Cambria Math" w:cs="Simplified Arabic"/>
                  <w:sz w:val="24"/>
                  <w:szCs w:val="24"/>
                  <w:lang w:bidi="ar-EG"/>
                </w:rPr>
                <m:t>y</m:t>
              </m:r>
            </m:e>
            <m:sub>
              <m:r>
                <w:rPr>
                  <w:rFonts w:ascii="Cambria Math" w:hAnsi="Cambria Math" w:cs="Simplified Arabic"/>
                  <w:sz w:val="24"/>
                  <w:szCs w:val="24"/>
                  <w:lang w:bidi="ar-EG"/>
                </w:rPr>
                <m:t>(t-2)</m:t>
              </m:r>
            </m:sub>
          </m:sSub>
          <m:r>
            <w:rPr>
              <w:rFonts w:ascii="Cambria Math" w:hAnsi="Cambria Math" w:cs="Simplified Arabic"/>
              <w:sz w:val="24"/>
              <w:szCs w:val="24"/>
              <w:lang w:bidi="ar-EG"/>
            </w:rPr>
            <m:t>+..+</m:t>
          </m:r>
          <m:sSub>
            <m:sSubPr>
              <m:ctrlPr>
                <w:rPr>
                  <w:rFonts w:ascii="Cambria Math" w:hAnsi="Cambria Math" w:cs="Simplified Arabic"/>
                  <w:i/>
                  <w:sz w:val="24"/>
                  <w:szCs w:val="24"/>
                  <w:lang w:bidi="ar-EG"/>
                </w:rPr>
              </m:ctrlPr>
            </m:sSubPr>
            <m:e>
              <m:r>
                <w:rPr>
                  <w:rFonts w:ascii="Cambria Math" w:hAnsi="Cambria Math" w:cs="Simplified Arabic"/>
                  <w:sz w:val="24"/>
                  <w:szCs w:val="24"/>
                  <w:lang w:bidi="ar-EG"/>
                </w:rPr>
                <m:t>A</m:t>
              </m:r>
            </m:e>
            <m:sub>
              <m:r>
                <w:rPr>
                  <w:rFonts w:ascii="Cambria Math" w:hAnsi="Cambria Math" w:cs="Simplified Arabic"/>
                  <w:sz w:val="24"/>
                  <w:szCs w:val="24"/>
                  <w:lang w:bidi="ar-EG"/>
                </w:rPr>
                <m:t>n</m:t>
              </m:r>
            </m:sub>
          </m:sSub>
          <m:sSub>
            <m:sSubPr>
              <m:ctrlPr>
                <w:rPr>
                  <w:rFonts w:ascii="Cambria Math" w:hAnsi="Cambria Math" w:cs="Simplified Arabic"/>
                  <w:i/>
                  <w:sz w:val="24"/>
                  <w:szCs w:val="24"/>
                  <w:lang w:bidi="ar-EG"/>
                </w:rPr>
              </m:ctrlPr>
            </m:sSubPr>
            <m:e>
              <m:r>
                <w:rPr>
                  <w:rFonts w:ascii="Cambria Math" w:hAnsi="Cambria Math" w:cs="Simplified Arabic"/>
                  <w:sz w:val="24"/>
                  <w:szCs w:val="24"/>
                  <w:lang w:bidi="ar-EG"/>
                </w:rPr>
                <m:t>y</m:t>
              </m:r>
            </m:e>
            <m:sub>
              <m:r>
                <w:rPr>
                  <w:rFonts w:ascii="Cambria Math" w:hAnsi="Cambria Math" w:cs="Simplified Arabic"/>
                  <w:sz w:val="24"/>
                  <w:szCs w:val="24"/>
                  <w:lang w:bidi="ar-EG"/>
                </w:rPr>
                <m:t>(t-n)</m:t>
              </m:r>
            </m:sub>
          </m:sSub>
          <m:r>
            <w:rPr>
              <w:rFonts w:ascii="Cambria Math" w:hAnsi="Cambria Math" w:cs="Simplified Arabic"/>
              <w:sz w:val="24"/>
              <w:szCs w:val="24"/>
              <w:lang w:bidi="ar-EG"/>
            </w:rPr>
            <m:t>+</m:t>
          </m:r>
          <m:sSub>
            <m:sSubPr>
              <m:ctrlPr>
                <w:rPr>
                  <w:rFonts w:ascii="Cambria Math" w:hAnsi="Cambria Math" w:cs="Simplified Arabic"/>
                  <w:i/>
                  <w:sz w:val="24"/>
                  <w:szCs w:val="24"/>
                  <w:lang w:bidi="ar-EG"/>
                </w:rPr>
              </m:ctrlPr>
            </m:sSubPr>
            <m:e>
              <m:r>
                <w:rPr>
                  <w:rFonts w:ascii="Cambria Math" w:hAnsi="Cambria Math" w:cs="Simplified Arabic"/>
                  <w:sz w:val="24"/>
                  <w:szCs w:val="24"/>
                  <w:lang w:bidi="ar-EG"/>
                </w:rPr>
                <m:t>BX</m:t>
              </m:r>
            </m:e>
            <m:sub>
              <m:r>
                <w:rPr>
                  <w:rFonts w:ascii="Cambria Math" w:hAnsi="Cambria Math" w:cs="Simplified Arabic"/>
                  <w:sz w:val="24"/>
                  <w:szCs w:val="24"/>
                  <w:lang w:bidi="ar-EG"/>
                </w:rPr>
                <m:t>t</m:t>
              </m:r>
            </m:sub>
          </m:sSub>
          <m:r>
            <w:rPr>
              <w:rFonts w:ascii="Cambria Math" w:hAnsi="Cambria Math" w:cs="Simplified Arabic"/>
              <w:sz w:val="24"/>
              <w:szCs w:val="24"/>
              <w:lang w:bidi="ar-EG"/>
            </w:rPr>
            <m:t>+εt</m:t>
          </m:r>
        </m:oMath>
      </m:oMathPara>
    </w:p>
    <w:p w14:paraId="559CFD19" w14:textId="77777777" w:rsidR="00270E6A" w:rsidRPr="0023379C" w:rsidRDefault="00270E6A" w:rsidP="002959BC">
      <w:pPr>
        <w:spacing w:line="228" w:lineRule="auto"/>
        <w:ind w:left="595" w:firstLine="454"/>
        <w:jc w:val="both"/>
        <w:rPr>
          <w:rFonts w:ascii="Simplified Arabic" w:hAnsi="Simplified Arabic" w:cs="Simplified Arabic"/>
          <w:sz w:val="24"/>
          <w:szCs w:val="24"/>
          <w:vertAlign w:val="superscript"/>
          <w:rtl/>
          <w:lang w:bidi="ar-EG"/>
        </w:rPr>
      </w:pPr>
      <w:r w:rsidRPr="0023379C">
        <w:rPr>
          <w:rFonts w:ascii="Simplified Arabic" w:hAnsi="Simplified Arabic" w:cs="Simplified Arabic"/>
          <w:sz w:val="24"/>
          <w:szCs w:val="24"/>
          <w:rtl/>
          <w:lang w:bidi="ar-EG"/>
        </w:rPr>
        <w:t xml:space="preserve">حيث </w:t>
      </w:r>
      <w:r w:rsidRPr="0023379C">
        <w:rPr>
          <w:rFonts w:ascii="Simplified Arabic" w:hAnsi="Simplified Arabic" w:cs="Simplified Arabic"/>
          <w:sz w:val="24"/>
          <w:szCs w:val="24"/>
          <w:lang w:bidi="ar-EG"/>
        </w:rPr>
        <w:t>y</w:t>
      </w:r>
      <w:r w:rsidRPr="0023379C">
        <w:rPr>
          <w:rFonts w:ascii="Simplified Arabic" w:hAnsi="Simplified Arabic" w:cs="Simplified Arabic"/>
          <w:sz w:val="24"/>
          <w:szCs w:val="24"/>
          <w:vertAlign w:val="subscript"/>
          <w:lang w:bidi="ar-EG"/>
        </w:rPr>
        <w:t>t</w:t>
      </w:r>
      <w:r w:rsidRPr="0023379C">
        <w:rPr>
          <w:rFonts w:ascii="Simplified Arabic" w:hAnsi="Simplified Arabic" w:cs="Simplified Arabic"/>
          <w:sz w:val="24"/>
          <w:szCs w:val="24"/>
          <w:rtl/>
          <w:lang w:bidi="ar-EG"/>
        </w:rPr>
        <w:t xml:space="preserve"> هو متجه المتغيرات الداخلية، </w:t>
      </w:r>
      <w:r w:rsidRPr="0023379C">
        <w:rPr>
          <w:rFonts w:ascii="Simplified Arabic" w:hAnsi="Simplified Arabic" w:cs="Simplified Arabic"/>
          <w:sz w:val="24"/>
          <w:szCs w:val="24"/>
          <w:lang w:bidi="ar-EG"/>
        </w:rPr>
        <w:t>x</w:t>
      </w:r>
      <w:r w:rsidRPr="0023379C">
        <w:rPr>
          <w:rFonts w:ascii="Simplified Arabic" w:hAnsi="Simplified Arabic" w:cs="Simplified Arabic"/>
          <w:sz w:val="24"/>
          <w:szCs w:val="24"/>
          <w:vertAlign w:val="subscript"/>
          <w:lang w:bidi="ar-EG"/>
        </w:rPr>
        <w:t>t</w:t>
      </w:r>
      <w:r w:rsidRPr="0023379C">
        <w:rPr>
          <w:rFonts w:ascii="Simplified Arabic" w:hAnsi="Simplified Arabic" w:cs="Simplified Arabic"/>
          <w:sz w:val="24"/>
          <w:szCs w:val="24"/>
          <w:rtl/>
          <w:lang w:bidi="ar-EG"/>
        </w:rPr>
        <w:t xml:space="preserve"> هو متجه المتغيرات الخارجية و</w:t>
      </w:r>
      <w:r w:rsidRPr="0023379C">
        <w:rPr>
          <w:rFonts w:ascii="Simplified Arabic" w:hAnsi="Simplified Arabic" w:cs="Simplified Arabic"/>
          <w:sz w:val="24"/>
          <w:szCs w:val="24"/>
          <w:lang w:bidi="ar-EG"/>
        </w:rPr>
        <w:t>A</w:t>
      </w:r>
      <w:r w:rsidRPr="0023379C">
        <w:rPr>
          <w:rFonts w:ascii="Simplified Arabic" w:hAnsi="Simplified Arabic" w:cs="Simplified Arabic"/>
          <w:sz w:val="24"/>
          <w:szCs w:val="24"/>
          <w:vertAlign w:val="subscript"/>
          <w:lang w:bidi="ar-EG"/>
        </w:rPr>
        <w:t>1</w:t>
      </w:r>
      <w:r w:rsidRPr="0023379C">
        <w:rPr>
          <w:rFonts w:ascii="Simplified Arabic" w:hAnsi="Simplified Arabic" w:cs="Simplified Arabic"/>
          <w:sz w:val="24"/>
          <w:szCs w:val="24"/>
          <w:lang w:bidi="ar-EG"/>
        </w:rPr>
        <w:t xml:space="preserve"> …. A</w:t>
      </w:r>
      <w:r w:rsidRPr="0023379C">
        <w:rPr>
          <w:rFonts w:ascii="Simplified Arabic" w:hAnsi="Simplified Arabic" w:cs="Simplified Arabic"/>
          <w:sz w:val="24"/>
          <w:szCs w:val="24"/>
          <w:vertAlign w:val="subscript"/>
          <w:lang w:bidi="ar-EG"/>
        </w:rPr>
        <w:t>n</w:t>
      </w:r>
      <w:r w:rsidRPr="0023379C">
        <w:rPr>
          <w:rFonts w:ascii="Simplified Arabic" w:hAnsi="Simplified Arabic" w:cs="Simplified Arabic"/>
          <w:sz w:val="24"/>
          <w:szCs w:val="24"/>
          <w:rtl/>
          <w:lang w:bidi="ar-EG"/>
        </w:rPr>
        <w:t xml:space="preserve"> و</w:t>
      </w:r>
      <w:r w:rsidRPr="0023379C">
        <w:rPr>
          <w:rFonts w:ascii="Simplified Arabic" w:hAnsi="Simplified Arabic" w:cs="Simplified Arabic"/>
          <w:sz w:val="24"/>
          <w:szCs w:val="24"/>
          <w:lang w:bidi="ar-EG"/>
        </w:rPr>
        <w:t>B</w:t>
      </w:r>
      <w:r w:rsidRPr="0023379C">
        <w:rPr>
          <w:rFonts w:ascii="Simplified Arabic" w:hAnsi="Simplified Arabic" w:cs="Simplified Arabic"/>
          <w:sz w:val="24"/>
          <w:szCs w:val="24"/>
          <w:rtl/>
          <w:lang w:bidi="ar-EG"/>
        </w:rPr>
        <w:t xml:space="preserve"> هي مصفوفة المعاملات المقدرة و</w:t>
      </w:r>
      <m:oMath>
        <m:r>
          <w:rPr>
            <w:rFonts w:ascii="Cambria Math" w:hAnsi="Cambria Math" w:cs="Simplified Arabic"/>
            <w:sz w:val="24"/>
            <w:szCs w:val="24"/>
            <w:lang w:bidi="ar-EG"/>
          </w:rPr>
          <m:t xml:space="preserve"> εt</m:t>
        </m:r>
      </m:oMath>
      <w:r w:rsidRPr="0023379C">
        <w:rPr>
          <w:rFonts w:ascii="Simplified Arabic" w:hAnsi="Simplified Arabic" w:cs="Simplified Arabic"/>
          <w:sz w:val="24"/>
          <w:szCs w:val="24"/>
          <w:rtl/>
          <w:lang w:bidi="ar-EG"/>
        </w:rPr>
        <w:t xml:space="preserve"> هي متجه الصدمات، المرتبط مع كل شيء ولكن ليس مع قيمه المبطأة أو مع </w:t>
      </w:r>
      <w:r w:rsidRPr="0023379C">
        <w:rPr>
          <w:rFonts w:ascii="Simplified Arabic" w:hAnsi="Simplified Arabic" w:cs="Simplified Arabic"/>
          <w:sz w:val="24"/>
          <w:szCs w:val="24"/>
          <w:lang w:bidi="ar-EG"/>
        </w:rPr>
        <w:t>y</w:t>
      </w:r>
      <w:r w:rsidRPr="0023379C">
        <w:rPr>
          <w:rFonts w:ascii="Simplified Arabic" w:hAnsi="Simplified Arabic" w:cs="Simplified Arabic"/>
          <w:sz w:val="24"/>
          <w:szCs w:val="24"/>
          <w:vertAlign w:val="subscript"/>
          <w:lang w:bidi="ar-EG"/>
        </w:rPr>
        <w:t>t-1</w:t>
      </w:r>
      <w:r w:rsidRPr="0023379C">
        <w:rPr>
          <w:rFonts w:ascii="Simplified Arabic" w:hAnsi="Simplified Arabic" w:cs="Simplified Arabic"/>
          <w:sz w:val="24"/>
          <w:szCs w:val="24"/>
          <w:rtl/>
          <w:lang w:bidi="ar-EG"/>
        </w:rPr>
        <w:t xml:space="preserve"> حتى </w:t>
      </w:r>
      <w:r w:rsidRPr="0023379C">
        <w:rPr>
          <w:rFonts w:ascii="Simplified Arabic" w:hAnsi="Simplified Arabic" w:cs="Simplified Arabic"/>
          <w:sz w:val="24"/>
          <w:szCs w:val="24"/>
          <w:lang w:bidi="ar-EG"/>
        </w:rPr>
        <w:t>y</w:t>
      </w:r>
      <w:r w:rsidRPr="0023379C">
        <w:rPr>
          <w:rFonts w:ascii="Simplified Arabic" w:hAnsi="Simplified Arabic" w:cs="Simplified Arabic"/>
          <w:sz w:val="24"/>
          <w:szCs w:val="24"/>
          <w:vertAlign w:val="subscript"/>
          <w:lang w:bidi="ar-EG"/>
        </w:rPr>
        <w:t>n</w:t>
      </w:r>
      <w:r w:rsidRPr="0023379C">
        <w:rPr>
          <w:rFonts w:ascii="Simplified Arabic" w:hAnsi="Simplified Arabic" w:cs="Simplified Arabic"/>
          <w:sz w:val="24"/>
          <w:szCs w:val="24"/>
          <w:rtl/>
          <w:lang w:bidi="ar-EG"/>
        </w:rPr>
        <w:t xml:space="preserve"> و </w:t>
      </w:r>
      <w:r w:rsidRPr="0023379C">
        <w:rPr>
          <w:rFonts w:ascii="Simplified Arabic" w:hAnsi="Simplified Arabic" w:cs="Simplified Arabic"/>
          <w:sz w:val="24"/>
          <w:szCs w:val="24"/>
          <w:lang w:bidi="ar-EG"/>
        </w:rPr>
        <w:t>X</w:t>
      </w:r>
      <w:r w:rsidRPr="0023379C">
        <w:rPr>
          <w:rFonts w:ascii="Simplified Arabic" w:hAnsi="Simplified Arabic" w:cs="Simplified Arabic"/>
          <w:sz w:val="24"/>
          <w:szCs w:val="24"/>
          <w:vertAlign w:val="subscript"/>
          <w:lang w:bidi="ar-EG"/>
        </w:rPr>
        <w:t>t</w:t>
      </w:r>
      <w:r w:rsidRPr="0023379C">
        <w:rPr>
          <w:rFonts w:ascii="Simplified Arabic" w:hAnsi="Simplified Arabic" w:cs="Simplified Arabic"/>
          <w:sz w:val="24"/>
          <w:szCs w:val="24"/>
          <w:rtl/>
          <w:lang w:bidi="ar-EG"/>
        </w:rPr>
        <w:t>.</w:t>
      </w:r>
      <w:r w:rsidRPr="0023379C">
        <w:rPr>
          <w:rFonts w:ascii="Simplified Arabic" w:hAnsi="Simplified Arabic" w:cs="Simplified Arabic"/>
          <w:sz w:val="24"/>
          <w:szCs w:val="24"/>
          <w:vertAlign w:val="superscript"/>
          <w:rtl/>
          <w:lang w:bidi="ar-EG"/>
        </w:rPr>
        <w:t xml:space="preserve"> (</w:t>
      </w:r>
      <w:r w:rsidRPr="0023379C">
        <w:rPr>
          <w:rStyle w:val="FootnoteReference"/>
          <w:rFonts w:ascii="Simplified Arabic" w:eastAsiaTheme="minorEastAsia" w:hAnsi="Simplified Arabic" w:cs="Simplified Arabic"/>
          <w:sz w:val="24"/>
          <w:szCs w:val="24"/>
          <w:rtl/>
          <w:lang w:bidi="ar-EG"/>
        </w:rPr>
        <w:footnoteRef/>
      </w:r>
      <w:r w:rsidRPr="0023379C">
        <w:rPr>
          <w:rFonts w:ascii="Simplified Arabic" w:hAnsi="Simplified Arabic" w:cs="Simplified Arabic"/>
          <w:sz w:val="24"/>
          <w:szCs w:val="24"/>
          <w:vertAlign w:val="superscript"/>
          <w:rtl/>
          <w:lang w:bidi="ar-EG"/>
        </w:rPr>
        <w:t>)</w:t>
      </w:r>
    </w:p>
    <w:p w14:paraId="02A6946F" w14:textId="77777777" w:rsidR="00270E6A" w:rsidRPr="0023379C" w:rsidRDefault="00270E6A" w:rsidP="002959BC">
      <w:pPr>
        <w:spacing w:line="228" w:lineRule="auto"/>
        <w:ind w:firstLine="454"/>
        <w:jc w:val="both"/>
        <w:rPr>
          <w:rFonts w:ascii="Simplified Arabic" w:hAnsi="Simplified Arabic" w:cs="Simplified Arabic"/>
          <w:sz w:val="24"/>
          <w:szCs w:val="24"/>
          <w:vertAlign w:val="superscript"/>
          <w:rtl/>
          <w:lang w:bidi="ar-EG"/>
        </w:rPr>
      </w:pPr>
      <w:r w:rsidRPr="0023379C">
        <w:rPr>
          <w:rFonts w:ascii="Simplified Arabic" w:hAnsi="Simplified Arabic" w:cs="Simplified Arabic"/>
          <w:sz w:val="24"/>
          <w:szCs w:val="24"/>
          <w:rtl/>
          <w:lang w:bidi="ar-EG"/>
        </w:rPr>
        <w:t xml:space="preserve">يمكن أيضاً كتابة النموذج </w:t>
      </w:r>
      <w:r w:rsidRPr="0023379C">
        <w:rPr>
          <w:rFonts w:ascii="Simplified Arabic" w:hAnsi="Simplified Arabic" w:cs="Simplified Arabic"/>
          <w:sz w:val="24"/>
          <w:szCs w:val="24"/>
          <w:lang w:bidi="ar-EG"/>
        </w:rPr>
        <w:t>var</w:t>
      </w:r>
      <w:r w:rsidRPr="0023379C">
        <w:rPr>
          <w:rFonts w:ascii="Simplified Arabic" w:hAnsi="Simplified Arabic" w:cs="Simplified Arabic"/>
          <w:sz w:val="24"/>
          <w:szCs w:val="24"/>
          <w:rtl/>
          <w:lang w:bidi="ar-EG"/>
        </w:rPr>
        <w:t xml:space="preserve"> على شكل مجموعة من المعادلات كما يأتي </w:t>
      </w:r>
      <w:r w:rsidRPr="0023379C">
        <w:rPr>
          <w:rFonts w:ascii="Simplified Arabic" w:hAnsi="Simplified Arabic" w:cs="Simplified Arabic"/>
          <w:sz w:val="24"/>
          <w:szCs w:val="24"/>
          <w:vertAlign w:val="superscript"/>
          <w:rtl/>
          <w:lang w:bidi="ar-EG"/>
        </w:rPr>
        <w:t>(</w:t>
      </w:r>
      <w:r w:rsidRPr="0023379C">
        <w:rPr>
          <w:rStyle w:val="FootnoteReference"/>
          <w:rFonts w:ascii="Simplified Arabic" w:eastAsiaTheme="minorEastAsia" w:hAnsi="Simplified Arabic" w:cs="Simplified Arabic"/>
          <w:sz w:val="24"/>
          <w:szCs w:val="24"/>
          <w:rtl/>
          <w:lang w:bidi="ar-EG"/>
        </w:rPr>
        <w:footnoteRef/>
      </w:r>
      <w:r w:rsidRPr="0023379C">
        <w:rPr>
          <w:rFonts w:ascii="Simplified Arabic" w:hAnsi="Simplified Arabic" w:cs="Simplified Arabic"/>
          <w:sz w:val="24"/>
          <w:szCs w:val="24"/>
          <w:vertAlign w:val="superscript"/>
          <w:rtl/>
          <w:lang w:bidi="ar-EG"/>
        </w:rPr>
        <w:t>)</w:t>
      </w:r>
    </w:p>
    <w:p w14:paraId="4B990C76" w14:textId="77777777" w:rsidR="00270E6A" w:rsidRPr="0023379C" w:rsidRDefault="00270E6A" w:rsidP="002959BC">
      <w:pPr>
        <w:spacing w:line="228" w:lineRule="auto"/>
        <w:ind w:firstLine="454"/>
        <w:jc w:val="both"/>
        <w:rPr>
          <w:rFonts w:ascii="Simplified Arabic" w:hAnsi="Simplified Arabic" w:cs="Simplified Arabic"/>
          <w:sz w:val="24"/>
          <w:szCs w:val="24"/>
          <w:lang w:bidi="ar-EG"/>
        </w:rPr>
      </w:pPr>
      <m:oMathPara>
        <m:oMath>
          <m:sSub>
            <m:sSubPr>
              <m:ctrlPr>
                <w:rPr>
                  <w:rFonts w:ascii="Cambria Math" w:hAnsi="Cambria Math" w:cs="Simplified Arabic"/>
                  <w:i/>
                  <w:sz w:val="24"/>
                  <w:szCs w:val="24"/>
                  <w:lang w:bidi="ar-EG"/>
                </w:rPr>
              </m:ctrlPr>
            </m:sSubPr>
            <m:e>
              <m:r>
                <w:rPr>
                  <w:rFonts w:ascii="Cambria Math" w:hAnsi="Cambria Math" w:cs="Simplified Arabic"/>
                  <w:sz w:val="24"/>
                  <w:szCs w:val="24"/>
                  <w:lang w:bidi="ar-EG"/>
                </w:rPr>
                <m:t>y</m:t>
              </m:r>
            </m:e>
            <m:sub>
              <m:r>
                <w:rPr>
                  <w:rFonts w:ascii="Cambria Math" w:hAnsi="Cambria Math" w:cs="Simplified Arabic"/>
                  <w:sz w:val="24"/>
                  <w:szCs w:val="24"/>
                  <w:lang w:bidi="ar-EG"/>
                </w:rPr>
                <m:t>1t</m:t>
              </m:r>
            </m:sub>
          </m:sSub>
          <m:r>
            <w:rPr>
              <w:rFonts w:ascii="Cambria Math" w:hAnsi="Cambria Math" w:cs="Simplified Arabic"/>
              <w:sz w:val="24"/>
              <w:szCs w:val="24"/>
              <w:lang w:bidi="ar-EG"/>
            </w:rPr>
            <m:t xml:space="preserve">= </m:t>
          </m:r>
          <m:sSubSup>
            <m:sSubSupPr>
              <m:ctrlPr>
                <w:rPr>
                  <w:rFonts w:ascii="Cambria Math" w:hAnsi="Cambria Math" w:cs="Simplified Arabic"/>
                  <w:i/>
                  <w:sz w:val="24"/>
                  <w:szCs w:val="24"/>
                  <w:lang w:bidi="ar-EG"/>
                </w:rPr>
              </m:ctrlPr>
            </m:sSubSupPr>
            <m:e>
              <m:r>
                <w:rPr>
                  <w:rFonts w:ascii="Cambria Math" w:hAnsi="Cambria Math" w:cs="Simplified Arabic"/>
                  <w:sz w:val="24"/>
                  <w:szCs w:val="24"/>
                  <w:lang w:bidi="ar-EG"/>
                </w:rPr>
                <m:t>∅</m:t>
              </m:r>
            </m:e>
            <m:sub>
              <m:r>
                <w:rPr>
                  <w:rFonts w:ascii="Cambria Math" w:hAnsi="Cambria Math" w:cs="Simplified Arabic"/>
                  <w:sz w:val="24"/>
                  <w:szCs w:val="24"/>
                  <w:lang w:bidi="ar-EG"/>
                </w:rPr>
                <m:t>11</m:t>
              </m:r>
            </m:sub>
            <m:sup>
              <m:r>
                <w:rPr>
                  <w:rFonts w:ascii="Cambria Math" w:hAnsi="Cambria Math" w:cs="Simplified Arabic"/>
                  <w:sz w:val="24"/>
                  <w:szCs w:val="24"/>
                  <w:lang w:bidi="ar-EG"/>
                </w:rPr>
                <m:t>(1)</m:t>
              </m:r>
            </m:sup>
          </m:sSubSup>
          <m:sSub>
            <m:sSubPr>
              <m:ctrlPr>
                <w:rPr>
                  <w:rFonts w:ascii="Cambria Math" w:hAnsi="Cambria Math" w:cs="Simplified Arabic"/>
                  <w:i/>
                  <w:sz w:val="24"/>
                  <w:szCs w:val="24"/>
                  <w:lang w:bidi="ar-EG"/>
                </w:rPr>
              </m:ctrlPr>
            </m:sSubPr>
            <m:e>
              <m:r>
                <w:rPr>
                  <w:rFonts w:ascii="Cambria Math" w:hAnsi="Cambria Math" w:cs="Simplified Arabic"/>
                  <w:sz w:val="24"/>
                  <w:szCs w:val="24"/>
                  <w:lang w:bidi="ar-EG"/>
                </w:rPr>
                <m:t>y</m:t>
              </m:r>
            </m:e>
            <m:sub>
              <m:r>
                <w:rPr>
                  <w:rFonts w:ascii="Cambria Math" w:hAnsi="Cambria Math" w:cs="Simplified Arabic"/>
                  <w:sz w:val="24"/>
                  <w:szCs w:val="24"/>
                  <w:lang w:bidi="ar-EG"/>
                </w:rPr>
                <m:t>1.t-1</m:t>
              </m:r>
            </m:sub>
          </m:sSub>
          <m:r>
            <w:rPr>
              <w:rFonts w:ascii="Cambria Math" w:hAnsi="Cambria Math" w:cs="Simplified Arabic"/>
              <w:sz w:val="24"/>
              <w:szCs w:val="24"/>
              <w:lang w:bidi="ar-EG"/>
            </w:rPr>
            <m:t>+..+</m:t>
          </m:r>
          <m:sSubSup>
            <m:sSubSupPr>
              <m:ctrlPr>
                <w:rPr>
                  <w:rFonts w:ascii="Cambria Math" w:hAnsi="Cambria Math" w:cs="Simplified Arabic"/>
                  <w:i/>
                  <w:sz w:val="24"/>
                  <w:szCs w:val="24"/>
                  <w:lang w:bidi="ar-EG"/>
                </w:rPr>
              </m:ctrlPr>
            </m:sSubSupPr>
            <m:e>
              <m:r>
                <w:rPr>
                  <w:rFonts w:ascii="Cambria Math" w:hAnsi="Cambria Math" w:cs="Simplified Arabic"/>
                  <w:sz w:val="24"/>
                  <w:szCs w:val="24"/>
                  <w:lang w:bidi="ar-EG"/>
                </w:rPr>
                <m:t>∅</m:t>
              </m:r>
            </m:e>
            <m:sub>
              <m:r>
                <w:rPr>
                  <w:rFonts w:ascii="Cambria Math" w:hAnsi="Cambria Math" w:cs="Simplified Arabic"/>
                  <w:sz w:val="24"/>
                  <w:szCs w:val="24"/>
                  <w:lang w:bidi="ar-EG"/>
                </w:rPr>
                <m:t>11</m:t>
              </m:r>
            </m:sub>
            <m:sup>
              <m:r>
                <w:rPr>
                  <w:rFonts w:ascii="Cambria Math" w:hAnsi="Cambria Math" w:cs="Simplified Arabic"/>
                  <w:sz w:val="24"/>
                  <w:szCs w:val="24"/>
                  <w:lang w:bidi="ar-EG"/>
                </w:rPr>
                <m:t>(p)</m:t>
              </m:r>
            </m:sup>
          </m:sSubSup>
          <m:sSub>
            <m:sSubPr>
              <m:ctrlPr>
                <w:rPr>
                  <w:rFonts w:ascii="Cambria Math" w:hAnsi="Cambria Math" w:cs="Simplified Arabic"/>
                  <w:i/>
                  <w:sz w:val="24"/>
                  <w:szCs w:val="24"/>
                  <w:lang w:bidi="ar-EG"/>
                </w:rPr>
              </m:ctrlPr>
            </m:sSubPr>
            <m:e>
              <m:r>
                <w:rPr>
                  <w:rFonts w:ascii="Cambria Math" w:hAnsi="Cambria Math" w:cs="Simplified Arabic"/>
                  <w:sz w:val="24"/>
                  <w:szCs w:val="24"/>
                  <w:lang w:bidi="ar-EG"/>
                </w:rPr>
                <m:t>y</m:t>
              </m:r>
            </m:e>
            <m:sub>
              <m:r>
                <w:rPr>
                  <w:rFonts w:ascii="Cambria Math" w:hAnsi="Cambria Math" w:cs="Simplified Arabic"/>
                  <w:sz w:val="24"/>
                  <w:szCs w:val="24"/>
                  <w:lang w:bidi="ar-EG"/>
                </w:rPr>
                <m:t>1.t-p</m:t>
              </m:r>
            </m:sub>
          </m:sSub>
          <m:r>
            <w:rPr>
              <w:rFonts w:ascii="Cambria Math" w:hAnsi="Cambria Math" w:cs="Simplified Arabic"/>
              <w:sz w:val="24"/>
              <w:szCs w:val="24"/>
              <w:lang w:bidi="ar-EG"/>
            </w:rPr>
            <m:t>+..+</m:t>
          </m:r>
          <m:sSubSup>
            <m:sSubSupPr>
              <m:ctrlPr>
                <w:rPr>
                  <w:rFonts w:ascii="Cambria Math" w:hAnsi="Cambria Math" w:cs="Simplified Arabic"/>
                  <w:i/>
                  <w:sz w:val="24"/>
                  <w:szCs w:val="24"/>
                  <w:lang w:bidi="ar-EG"/>
                </w:rPr>
              </m:ctrlPr>
            </m:sSubSupPr>
            <m:e>
              <m:r>
                <w:rPr>
                  <w:rFonts w:ascii="Cambria Math" w:hAnsi="Cambria Math" w:cs="Simplified Arabic"/>
                  <w:sz w:val="24"/>
                  <w:szCs w:val="24"/>
                  <w:lang w:bidi="ar-EG"/>
                </w:rPr>
                <m:t>∅</m:t>
              </m:r>
            </m:e>
            <m:sub>
              <m:r>
                <w:rPr>
                  <w:rFonts w:ascii="Cambria Math" w:hAnsi="Cambria Math" w:cs="Simplified Arabic"/>
                  <w:sz w:val="24"/>
                  <w:szCs w:val="24"/>
                  <w:lang w:bidi="ar-EG"/>
                </w:rPr>
                <m:t>1n</m:t>
              </m:r>
            </m:sub>
            <m:sup>
              <m:r>
                <w:rPr>
                  <w:rFonts w:ascii="Cambria Math" w:hAnsi="Cambria Math" w:cs="Simplified Arabic"/>
                  <w:sz w:val="24"/>
                  <w:szCs w:val="24"/>
                  <w:lang w:bidi="ar-EG"/>
                </w:rPr>
                <m:t>(1)</m:t>
              </m:r>
            </m:sup>
          </m:sSubSup>
          <m:sSub>
            <m:sSubPr>
              <m:ctrlPr>
                <w:rPr>
                  <w:rFonts w:ascii="Cambria Math" w:hAnsi="Cambria Math" w:cs="Simplified Arabic"/>
                  <w:i/>
                  <w:sz w:val="24"/>
                  <w:szCs w:val="24"/>
                  <w:lang w:bidi="ar-EG"/>
                </w:rPr>
              </m:ctrlPr>
            </m:sSubPr>
            <m:e>
              <m:r>
                <w:rPr>
                  <w:rFonts w:ascii="Cambria Math" w:hAnsi="Cambria Math" w:cs="Simplified Arabic"/>
                  <w:sz w:val="24"/>
                  <w:szCs w:val="24"/>
                  <w:lang w:bidi="ar-EG"/>
                </w:rPr>
                <m:t>y</m:t>
              </m:r>
            </m:e>
            <m:sub>
              <m:r>
                <w:rPr>
                  <w:rFonts w:ascii="Cambria Math" w:hAnsi="Cambria Math" w:cs="Simplified Arabic"/>
                  <w:sz w:val="24"/>
                  <w:szCs w:val="24"/>
                  <w:lang w:bidi="ar-EG"/>
                </w:rPr>
                <m:t>n.t-1</m:t>
              </m:r>
            </m:sub>
          </m:sSub>
          <m:r>
            <w:rPr>
              <w:rFonts w:ascii="Cambria Math" w:hAnsi="Cambria Math" w:cs="Simplified Arabic"/>
              <w:sz w:val="24"/>
              <w:szCs w:val="24"/>
              <w:lang w:bidi="ar-EG"/>
            </w:rPr>
            <m:t>+..+</m:t>
          </m:r>
          <m:sSubSup>
            <m:sSubSupPr>
              <m:ctrlPr>
                <w:rPr>
                  <w:rFonts w:ascii="Cambria Math" w:hAnsi="Cambria Math" w:cs="Simplified Arabic"/>
                  <w:i/>
                  <w:sz w:val="24"/>
                  <w:szCs w:val="24"/>
                  <w:lang w:bidi="ar-EG"/>
                </w:rPr>
              </m:ctrlPr>
            </m:sSubSupPr>
            <m:e>
              <m:r>
                <w:rPr>
                  <w:rFonts w:ascii="Cambria Math" w:hAnsi="Cambria Math" w:cs="Simplified Arabic"/>
                  <w:sz w:val="24"/>
                  <w:szCs w:val="24"/>
                  <w:lang w:bidi="ar-EG"/>
                </w:rPr>
                <m:t>∅</m:t>
              </m:r>
            </m:e>
            <m:sub>
              <m:r>
                <w:rPr>
                  <w:rFonts w:ascii="Cambria Math" w:hAnsi="Cambria Math" w:cs="Simplified Arabic"/>
                  <w:sz w:val="24"/>
                  <w:szCs w:val="24"/>
                  <w:lang w:bidi="ar-EG"/>
                </w:rPr>
                <m:t>1n</m:t>
              </m:r>
            </m:sub>
            <m:sup>
              <m:r>
                <w:rPr>
                  <w:rFonts w:ascii="Cambria Math" w:hAnsi="Cambria Math" w:cs="Simplified Arabic"/>
                  <w:sz w:val="24"/>
                  <w:szCs w:val="24"/>
                  <w:lang w:bidi="ar-EG"/>
                </w:rPr>
                <m:t>(p)</m:t>
              </m:r>
            </m:sup>
          </m:sSubSup>
          <m:sSub>
            <m:sSubPr>
              <m:ctrlPr>
                <w:rPr>
                  <w:rFonts w:ascii="Cambria Math" w:hAnsi="Cambria Math" w:cs="Simplified Arabic"/>
                  <w:i/>
                  <w:sz w:val="24"/>
                  <w:szCs w:val="24"/>
                  <w:lang w:bidi="ar-EG"/>
                </w:rPr>
              </m:ctrlPr>
            </m:sSubPr>
            <m:e>
              <m:r>
                <w:rPr>
                  <w:rFonts w:ascii="Cambria Math" w:hAnsi="Cambria Math" w:cs="Simplified Arabic"/>
                  <w:sz w:val="24"/>
                  <w:szCs w:val="24"/>
                  <w:lang w:bidi="ar-EG"/>
                </w:rPr>
                <m:t>y</m:t>
              </m:r>
            </m:e>
            <m:sub>
              <m:r>
                <w:rPr>
                  <w:rFonts w:ascii="Cambria Math" w:hAnsi="Cambria Math" w:cs="Simplified Arabic"/>
                  <w:sz w:val="24"/>
                  <w:szCs w:val="24"/>
                  <w:lang w:bidi="ar-EG"/>
                </w:rPr>
                <m:t>n.t-p</m:t>
              </m:r>
            </m:sub>
          </m:sSub>
          <m:r>
            <w:rPr>
              <w:rFonts w:ascii="Cambria Math" w:hAnsi="Cambria Math" w:cs="Simplified Arabic"/>
              <w:sz w:val="24"/>
              <w:szCs w:val="24"/>
              <w:lang w:bidi="ar-EG"/>
            </w:rPr>
            <m:t>+εt</m:t>
          </m:r>
        </m:oMath>
      </m:oMathPara>
    </w:p>
    <w:p w14:paraId="497FF62B" w14:textId="77777777" w:rsidR="00270E6A" w:rsidRPr="0023379C" w:rsidRDefault="00270E6A" w:rsidP="002959BC">
      <w:pPr>
        <w:spacing w:line="228" w:lineRule="auto"/>
        <w:ind w:firstLine="454"/>
        <w:jc w:val="both"/>
        <w:rPr>
          <w:rFonts w:ascii="Simplified Arabic" w:hAnsi="Simplified Arabic" w:cs="Simplified Arabic"/>
          <w:sz w:val="24"/>
          <w:szCs w:val="24"/>
          <w:lang w:bidi="ar-EG"/>
        </w:rPr>
      </w:pPr>
      <m:oMathPara>
        <m:oMath>
          <m:sSub>
            <m:sSubPr>
              <m:ctrlPr>
                <w:rPr>
                  <w:rFonts w:ascii="Cambria Math" w:hAnsi="Cambria Math" w:cs="Simplified Arabic"/>
                  <w:i/>
                  <w:sz w:val="24"/>
                  <w:szCs w:val="24"/>
                  <w:lang w:bidi="ar-EG"/>
                </w:rPr>
              </m:ctrlPr>
            </m:sSubPr>
            <m:e>
              <m:r>
                <w:rPr>
                  <w:rFonts w:ascii="Cambria Math" w:hAnsi="Cambria Math" w:cs="Simplified Arabic"/>
                  <w:sz w:val="24"/>
                  <w:szCs w:val="24"/>
                  <w:lang w:bidi="ar-EG"/>
                </w:rPr>
                <m:t>y</m:t>
              </m:r>
            </m:e>
            <m:sub>
              <m:r>
                <w:rPr>
                  <w:rFonts w:ascii="Cambria Math" w:hAnsi="Cambria Math" w:cs="Simplified Arabic"/>
                  <w:sz w:val="24"/>
                  <w:szCs w:val="24"/>
                  <w:lang w:bidi="ar-EG"/>
                </w:rPr>
                <m:t>nt</m:t>
              </m:r>
            </m:sub>
          </m:sSub>
          <m:r>
            <w:rPr>
              <w:rFonts w:ascii="Cambria Math" w:hAnsi="Cambria Math" w:cs="Simplified Arabic"/>
              <w:sz w:val="24"/>
              <w:szCs w:val="24"/>
              <w:lang w:bidi="ar-EG"/>
            </w:rPr>
            <m:t xml:space="preserve">= </m:t>
          </m:r>
          <m:sSubSup>
            <m:sSubSupPr>
              <m:ctrlPr>
                <w:rPr>
                  <w:rFonts w:ascii="Cambria Math" w:hAnsi="Cambria Math" w:cs="Simplified Arabic"/>
                  <w:i/>
                  <w:sz w:val="24"/>
                  <w:szCs w:val="24"/>
                  <w:lang w:bidi="ar-EG"/>
                </w:rPr>
              </m:ctrlPr>
            </m:sSubSupPr>
            <m:e>
              <m:r>
                <w:rPr>
                  <w:rFonts w:ascii="Cambria Math" w:hAnsi="Cambria Math" w:cs="Simplified Arabic"/>
                  <w:sz w:val="24"/>
                  <w:szCs w:val="24"/>
                  <w:lang w:bidi="ar-EG"/>
                </w:rPr>
                <m:t>∅</m:t>
              </m:r>
            </m:e>
            <m:sub>
              <m:r>
                <w:rPr>
                  <w:rFonts w:ascii="Cambria Math" w:hAnsi="Cambria Math" w:cs="Simplified Arabic"/>
                  <w:sz w:val="24"/>
                  <w:szCs w:val="24"/>
                  <w:lang w:bidi="ar-EG"/>
                </w:rPr>
                <m:t>n1</m:t>
              </m:r>
            </m:sub>
            <m:sup>
              <m:r>
                <w:rPr>
                  <w:rFonts w:ascii="Cambria Math" w:hAnsi="Cambria Math" w:cs="Simplified Arabic"/>
                  <w:sz w:val="24"/>
                  <w:szCs w:val="24"/>
                  <w:lang w:bidi="ar-EG"/>
                </w:rPr>
                <m:t>(1)</m:t>
              </m:r>
            </m:sup>
          </m:sSubSup>
          <m:sSub>
            <m:sSubPr>
              <m:ctrlPr>
                <w:rPr>
                  <w:rFonts w:ascii="Cambria Math" w:hAnsi="Cambria Math" w:cs="Simplified Arabic"/>
                  <w:i/>
                  <w:sz w:val="24"/>
                  <w:szCs w:val="24"/>
                  <w:lang w:bidi="ar-EG"/>
                </w:rPr>
              </m:ctrlPr>
            </m:sSubPr>
            <m:e>
              <m:r>
                <w:rPr>
                  <w:rFonts w:ascii="Cambria Math" w:hAnsi="Cambria Math" w:cs="Simplified Arabic"/>
                  <w:sz w:val="24"/>
                  <w:szCs w:val="24"/>
                  <w:lang w:bidi="ar-EG"/>
                </w:rPr>
                <m:t>y</m:t>
              </m:r>
            </m:e>
            <m:sub>
              <m:r>
                <w:rPr>
                  <w:rFonts w:ascii="Cambria Math" w:hAnsi="Cambria Math" w:cs="Simplified Arabic"/>
                  <w:sz w:val="24"/>
                  <w:szCs w:val="24"/>
                  <w:lang w:bidi="ar-EG"/>
                </w:rPr>
                <m:t>1.t-1</m:t>
              </m:r>
            </m:sub>
          </m:sSub>
          <m:r>
            <w:rPr>
              <w:rFonts w:ascii="Cambria Math" w:hAnsi="Cambria Math" w:cs="Simplified Arabic"/>
              <w:sz w:val="24"/>
              <w:szCs w:val="24"/>
              <w:lang w:bidi="ar-EG"/>
            </w:rPr>
            <m:t>+..+</m:t>
          </m:r>
          <m:sSubSup>
            <m:sSubSupPr>
              <m:ctrlPr>
                <w:rPr>
                  <w:rFonts w:ascii="Cambria Math" w:hAnsi="Cambria Math" w:cs="Simplified Arabic"/>
                  <w:i/>
                  <w:sz w:val="24"/>
                  <w:szCs w:val="24"/>
                  <w:lang w:bidi="ar-EG"/>
                </w:rPr>
              </m:ctrlPr>
            </m:sSubSupPr>
            <m:e>
              <m:r>
                <w:rPr>
                  <w:rFonts w:ascii="Cambria Math" w:hAnsi="Cambria Math" w:cs="Simplified Arabic"/>
                  <w:sz w:val="24"/>
                  <w:szCs w:val="24"/>
                  <w:lang w:bidi="ar-EG"/>
                </w:rPr>
                <m:t>∅</m:t>
              </m:r>
            </m:e>
            <m:sub>
              <m:r>
                <w:rPr>
                  <w:rFonts w:ascii="Cambria Math" w:hAnsi="Cambria Math" w:cs="Simplified Arabic"/>
                  <w:sz w:val="24"/>
                  <w:szCs w:val="24"/>
                  <w:lang w:bidi="ar-EG"/>
                </w:rPr>
                <m:t>n1</m:t>
              </m:r>
            </m:sub>
            <m:sup>
              <m:r>
                <w:rPr>
                  <w:rFonts w:ascii="Cambria Math" w:hAnsi="Cambria Math" w:cs="Simplified Arabic"/>
                  <w:sz w:val="24"/>
                  <w:szCs w:val="24"/>
                  <w:lang w:bidi="ar-EG"/>
                </w:rPr>
                <m:t>(p)</m:t>
              </m:r>
            </m:sup>
          </m:sSubSup>
          <m:sSub>
            <m:sSubPr>
              <m:ctrlPr>
                <w:rPr>
                  <w:rFonts w:ascii="Cambria Math" w:hAnsi="Cambria Math" w:cs="Simplified Arabic"/>
                  <w:i/>
                  <w:sz w:val="24"/>
                  <w:szCs w:val="24"/>
                  <w:lang w:bidi="ar-EG"/>
                </w:rPr>
              </m:ctrlPr>
            </m:sSubPr>
            <m:e>
              <m:r>
                <w:rPr>
                  <w:rFonts w:ascii="Cambria Math" w:hAnsi="Cambria Math" w:cs="Simplified Arabic"/>
                  <w:sz w:val="24"/>
                  <w:szCs w:val="24"/>
                  <w:lang w:bidi="ar-EG"/>
                </w:rPr>
                <m:t>y</m:t>
              </m:r>
            </m:e>
            <m:sub>
              <m:r>
                <w:rPr>
                  <w:rFonts w:ascii="Cambria Math" w:hAnsi="Cambria Math" w:cs="Simplified Arabic"/>
                  <w:sz w:val="24"/>
                  <w:szCs w:val="24"/>
                  <w:lang w:bidi="ar-EG"/>
                </w:rPr>
                <m:t>1.t-p</m:t>
              </m:r>
            </m:sub>
          </m:sSub>
          <m:r>
            <w:rPr>
              <w:rFonts w:ascii="Cambria Math" w:hAnsi="Cambria Math" w:cs="Simplified Arabic"/>
              <w:sz w:val="24"/>
              <w:szCs w:val="24"/>
              <w:lang w:bidi="ar-EG"/>
            </w:rPr>
            <m:t>+..+</m:t>
          </m:r>
          <m:sSubSup>
            <m:sSubSupPr>
              <m:ctrlPr>
                <w:rPr>
                  <w:rFonts w:ascii="Cambria Math" w:hAnsi="Cambria Math" w:cs="Simplified Arabic"/>
                  <w:i/>
                  <w:sz w:val="24"/>
                  <w:szCs w:val="24"/>
                  <w:lang w:bidi="ar-EG"/>
                </w:rPr>
              </m:ctrlPr>
            </m:sSubSupPr>
            <m:e>
              <m:r>
                <w:rPr>
                  <w:rFonts w:ascii="Cambria Math" w:hAnsi="Cambria Math" w:cs="Simplified Arabic"/>
                  <w:sz w:val="24"/>
                  <w:szCs w:val="24"/>
                  <w:lang w:bidi="ar-EG"/>
                </w:rPr>
                <m:t>∅</m:t>
              </m:r>
            </m:e>
            <m:sub>
              <m:r>
                <w:rPr>
                  <w:rFonts w:ascii="Cambria Math" w:hAnsi="Cambria Math" w:cs="Simplified Arabic"/>
                  <w:sz w:val="24"/>
                  <w:szCs w:val="24"/>
                  <w:lang w:bidi="ar-EG"/>
                </w:rPr>
                <m:t>nn</m:t>
              </m:r>
            </m:sub>
            <m:sup>
              <m:r>
                <w:rPr>
                  <w:rFonts w:ascii="Cambria Math" w:hAnsi="Cambria Math" w:cs="Simplified Arabic"/>
                  <w:sz w:val="24"/>
                  <w:szCs w:val="24"/>
                  <w:lang w:bidi="ar-EG"/>
                </w:rPr>
                <m:t>(1)</m:t>
              </m:r>
            </m:sup>
          </m:sSubSup>
          <m:sSub>
            <m:sSubPr>
              <m:ctrlPr>
                <w:rPr>
                  <w:rFonts w:ascii="Cambria Math" w:hAnsi="Cambria Math" w:cs="Simplified Arabic"/>
                  <w:i/>
                  <w:sz w:val="24"/>
                  <w:szCs w:val="24"/>
                  <w:lang w:bidi="ar-EG"/>
                </w:rPr>
              </m:ctrlPr>
            </m:sSubPr>
            <m:e>
              <m:r>
                <w:rPr>
                  <w:rFonts w:ascii="Cambria Math" w:hAnsi="Cambria Math" w:cs="Simplified Arabic"/>
                  <w:sz w:val="24"/>
                  <w:szCs w:val="24"/>
                  <w:lang w:bidi="ar-EG"/>
                </w:rPr>
                <m:t>y</m:t>
              </m:r>
            </m:e>
            <m:sub>
              <m:r>
                <w:rPr>
                  <w:rFonts w:ascii="Cambria Math" w:hAnsi="Cambria Math" w:cs="Simplified Arabic"/>
                  <w:sz w:val="24"/>
                  <w:szCs w:val="24"/>
                  <w:lang w:bidi="ar-EG"/>
                </w:rPr>
                <m:t>n.t-1</m:t>
              </m:r>
            </m:sub>
          </m:sSub>
          <m:r>
            <w:rPr>
              <w:rFonts w:ascii="Cambria Math" w:hAnsi="Cambria Math" w:cs="Simplified Arabic"/>
              <w:sz w:val="24"/>
              <w:szCs w:val="24"/>
              <w:lang w:bidi="ar-EG"/>
            </w:rPr>
            <m:t>+..+</m:t>
          </m:r>
          <m:sSubSup>
            <m:sSubSupPr>
              <m:ctrlPr>
                <w:rPr>
                  <w:rFonts w:ascii="Cambria Math" w:hAnsi="Cambria Math" w:cs="Simplified Arabic"/>
                  <w:i/>
                  <w:sz w:val="24"/>
                  <w:szCs w:val="24"/>
                  <w:lang w:bidi="ar-EG"/>
                </w:rPr>
              </m:ctrlPr>
            </m:sSubSupPr>
            <m:e>
              <m:r>
                <w:rPr>
                  <w:rFonts w:ascii="Cambria Math" w:hAnsi="Cambria Math" w:cs="Simplified Arabic"/>
                  <w:sz w:val="24"/>
                  <w:szCs w:val="24"/>
                  <w:lang w:bidi="ar-EG"/>
                </w:rPr>
                <m:t>∅</m:t>
              </m:r>
            </m:e>
            <m:sub>
              <m:r>
                <w:rPr>
                  <w:rFonts w:ascii="Cambria Math" w:hAnsi="Cambria Math" w:cs="Simplified Arabic"/>
                  <w:sz w:val="24"/>
                  <w:szCs w:val="24"/>
                  <w:lang w:bidi="ar-EG"/>
                </w:rPr>
                <m:t>nn</m:t>
              </m:r>
            </m:sub>
            <m:sup>
              <m:r>
                <w:rPr>
                  <w:rFonts w:ascii="Cambria Math" w:hAnsi="Cambria Math" w:cs="Simplified Arabic"/>
                  <w:sz w:val="24"/>
                  <w:szCs w:val="24"/>
                  <w:lang w:bidi="ar-EG"/>
                </w:rPr>
                <m:t>(p)</m:t>
              </m:r>
            </m:sup>
          </m:sSubSup>
          <m:sSub>
            <m:sSubPr>
              <m:ctrlPr>
                <w:rPr>
                  <w:rFonts w:ascii="Cambria Math" w:hAnsi="Cambria Math" w:cs="Simplified Arabic"/>
                  <w:i/>
                  <w:sz w:val="24"/>
                  <w:szCs w:val="24"/>
                  <w:lang w:bidi="ar-EG"/>
                </w:rPr>
              </m:ctrlPr>
            </m:sSubPr>
            <m:e>
              <m:r>
                <w:rPr>
                  <w:rFonts w:ascii="Cambria Math" w:hAnsi="Cambria Math" w:cs="Simplified Arabic"/>
                  <w:sz w:val="24"/>
                  <w:szCs w:val="24"/>
                  <w:lang w:bidi="ar-EG"/>
                </w:rPr>
                <m:t>y</m:t>
              </m:r>
            </m:e>
            <m:sub>
              <m:r>
                <w:rPr>
                  <w:rFonts w:ascii="Cambria Math" w:hAnsi="Cambria Math" w:cs="Simplified Arabic"/>
                  <w:sz w:val="24"/>
                  <w:szCs w:val="24"/>
                  <w:lang w:bidi="ar-EG"/>
                </w:rPr>
                <m:t>n.t-p</m:t>
              </m:r>
            </m:sub>
          </m:sSub>
          <m:r>
            <w:rPr>
              <w:rFonts w:ascii="Cambria Math" w:hAnsi="Cambria Math" w:cs="Simplified Arabic"/>
              <w:sz w:val="24"/>
              <w:szCs w:val="24"/>
              <w:lang w:bidi="ar-EG"/>
            </w:rPr>
            <m:t>+εt</m:t>
          </m:r>
        </m:oMath>
      </m:oMathPara>
    </w:p>
    <w:p w14:paraId="4D139E4C" w14:textId="77777777" w:rsidR="00270E6A" w:rsidRPr="0023379C" w:rsidRDefault="00270E6A" w:rsidP="002959BC">
      <w:pPr>
        <w:spacing w:line="228" w:lineRule="auto"/>
        <w:ind w:left="595" w:firstLine="454"/>
        <w:jc w:val="both"/>
        <w:rPr>
          <w:rFonts w:ascii="Simplified Arabic" w:hAnsi="Simplified Arabic" w:cs="Simplified Arabic"/>
          <w:b/>
          <w:bCs/>
          <w:sz w:val="24"/>
          <w:szCs w:val="24"/>
        </w:rPr>
      </w:pPr>
      <w:r w:rsidRPr="0023379C">
        <w:rPr>
          <w:rFonts w:ascii="Simplified Arabic" w:hAnsi="Simplified Arabic" w:cs="Simplified Arabic"/>
          <w:sz w:val="24"/>
          <w:szCs w:val="24"/>
          <w:rtl/>
          <w:lang w:bidi="ar-EG"/>
        </w:rPr>
        <w:t xml:space="preserve">يتضح في المعادلات الأخيرة أن كل معادلة هي عبارة عن معادلة انحدار لعنصر من </w:t>
      </w:r>
      <w:r w:rsidRPr="0023379C">
        <w:rPr>
          <w:rFonts w:ascii="Simplified Arabic" w:hAnsi="Simplified Arabic" w:cs="Simplified Arabic"/>
          <w:sz w:val="24"/>
          <w:szCs w:val="24"/>
          <w:lang w:bidi="ar-EG"/>
        </w:rPr>
        <w:t>y</w:t>
      </w:r>
      <w:r w:rsidRPr="0023379C">
        <w:rPr>
          <w:rFonts w:ascii="Simplified Arabic" w:hAnsi="Simplified Arabic" w:cs="Simplified Arabic"/>
          <w:sz w:val="24"/>
          <w:szCs w:val="24"/>
          <w:vertAlign w:val="subscript"/>
          <w:lang w:bidi="ar-EG"/>
        </w:rPr>
        <w:t>t</w:t>
      </w:r>
      <w:r w:rsidRPr="0023379C">
        <w:rPr>
          <w:rFonts w:ascii="Simplified Arabic" w:hAnsi="Simplified Arabic" w:cs="Simplified Arabic"/>
          <w:sz w:val="24"/>
          <w:szCs w:val="24"/>
          <w:rtl/>
          <w:lang w:bidi="ar-EG"/>
        </w:rPr>
        <w:t xml:space="preserve"> على قيمه السابقة بالإضافة إلى القيم السابقة للعناصر الأخرى، ونرى في هذه المعادلات أخذ التأثيرات الديناميكية المتبادلة بين المتغيرات بالحسبان. </w:t>
      </w:r>
    </w:p>
  </w:footnote>
  <w:footnote w:id="121">
    <w:p w14:paraId="04AC98D0" w14:textId="77777777" w:rsidR="00270E6A" w:rsidRPr="0023379C" w:rsidRDefault="00270E6A" w:rsidP="002959BC">
      <w:pPr>
        <w:pStyle w:val="FootnoteText"/>
        <w:jc w:val="both"/>
        <w:rPr>
          <w:rFonts w:ascii="Simplified Arabic" w:hAnsi="Simplified Arabic" w:cs="Simplified Arabic"/>
          <w:sz w:val="24"/>
          <w:szCs w:val="24"/>
          <w:shd w:val="clear" w:color="auto" w:fill="FFFFFF"/>
          <w:rtl/>
        </w:rPr>
      </w:pPr>
      <w:r w:rsidRPr="0023379C">
        <w:rPr>
          <w:rFonts w:ascii="Simplified Arabic" w:hAnsi="Simplified Arabic" w:cs="Simplified Arabic"/>
          <w:sz w:val="24"/>
          <w:szCs w:val="24"/>
          <w:shd w:val="clear" w:color="auto" w:fill="FFFFFF"/>
        </w:rPr>
        <w:t>(</w:t>
      </w:r>
      <w:r w:rsidRPr="0023379C">
        <w:rPr>
          <w:rStyle w:val="FootnoteReference"/>
          <w:rFonts w:ascii="Simplified Arabic" w:eastAsiaTheme="minorEastAsia" w:hAnsi="Simplified Arabic" w:cs="Simplified Arabic"/>
          <w:sz w:val="24"/>
          <w:szCs w:val="24"/>
        </w:rPr>
        <w:footnoteRef/>
      </w:r>
      <w:r w:rsidRPr="0023379C">
        <w:rPr>
          <w:rFonts w:ascii="Simplified Arabic" w:hAnsi="Simplified Arabic" w:cs="Simplified Arabic"/>
          <w:sz w:val="24"/>
          <w:szCs w:val="24"/>
          <w:shd w:val="clear" w:color="auto" w:fill="FFFFFF"/>
        </w:rPr>
        <w:t>)</w:t>
      </w:r>
      <w:r w:rsidRPr="0023379C">
        <w:rPr>
          <w:rFonts w:ascii="Simplified Arabic" w:hAnsi="Simplified Arabic" w:cs="Simplified Arabic"/>
          <w:sz w:val="24"/>
          <w:szCs w:val="24"/>
          <w:shd w:val="clear" w:color="auto" w:fill="FFFFFF"/>
          <w:rtl/>
        </w:rPr>
        <w:t xml:space="preserve"> لمزيد من التفاصيل:</w:t>
      </w:r>
    </w:p>
    <w:p w14:paraId="6C6F16D0" w14:textId="77777777" w:rsidR="00270E6A" w:rsidRPr="0023379C" w:rsidRDefault="00270E6A" w:rsidP="0041332D">
      <w:pPr>
        <w:pStyle w:val="FootnoteText"/>
        <w:numPr>
          <w:ilvl w:val="0"/>
          <w:numId w:val="35"/>
        </w:numPr>
        <w:spacing w:line="228" w:lineRule="auto"/>
        <w:jc w:val="both"/>
        <w:rPr>
          <w:rFonts w:ascii="Simplified Arabic" w:hAnsi="Simplified Arabic" w:cs="Simplified Arabic"/>
          <w:b/>
          <w:bCs/>
          <w:sz w:val="24"/>
          <w:szCs w:val="24"/>
        </w:rPr>
      </w:pPr>
      <w:r w:rsidRPr="0023379C">
        <w:rPr>
          <w:rFonts w:ascii="Simplified Arabic" w:hAnsi="Simplified Arabic" w:cs="Simplified Arabic"/>
          <w:sz w:val="24"/>
          <w:szCs w:val="24"/>
          <w:shd w:val="clear" w:color="auto" w:fill="FFFFFF"/>
          <w:rtl/>
        </w:rPr>
        <w:t xml:space="preserve">جوجارت، دامودار؛ ترجمة ومراجعة: هند عبد الغفار عودة (2015). مرجع سبق ذكره. الجزء الثاني.  </w:t>
      </w:r>
      <w:r w:rsidRPr="0023379C">
        <w:rPr>
          <w:rFonts w:ascii="Simplified Arabic" w:hAnsi="Simplified Arabic" w:cs="Simplified Arabic"/>
          <w:sz w:val="24"/>
          <w:szCs w:val="24"/>
          <w:shd w:val="clear" w:color="auto" w:fill="FFFFFF"/>
          <w:rtl/>
        </w:rPr>
        <w:br/>
        <w:t>ص ص 1092-1101.</w:t>
      </w:r>
    </w:p>
    <w:p w14:paraId="7CCB0CB0" w14:textId="77777777" w:rsidR="00270E6A" w:rsidRPr="0023379C" w:rsidRDefault="00270E6A" w:rsidP="0041332D">
      <w:pPr>
        <w:pStyle w:val="ListParagraph"/>
        <w:numPr>
          <w:ilvl w:val="0"/>
          <w:numId w:val="35"/>
        </w:numPr>
        <w:bidi w:val="0"/>
        <w:spacing w:after="0" w:line="240" w:lineRule="auto"/>
        <w:ind w:left="426"/>
        <w:contextualSpacing w:val="0"/>
        <w:jc w:val="both"/>
        <w:rPr>
          <w:rFonts w:ascii="Simplified Arabic" w:hAnsi="Simplified Arabic" w:cs="Simplified Arabic"/>
          <w:b/>
          <w:bCs/>
          <w:sz w:val="24"/>
          <w:szCs w:val="24"/>
        </w:rPr>
      </w:pPr>
      <w:r w:rsidRPr="0023379C">
        <w:rPr>
          <w:rFonts w:ascii="Simplified Arabic" w:eastAsiaTheme="minorHAnsi" w:hAnsi="Simplified Arabic" w:cs="Simplified Arabic"/>
          <w:sz w:val="24"/>
          <w:szCs w:val="24"/>
        </w:rPr>
        <w:t>The Scandinavian Journal of Economics (2012). PP1082-1104.</w:t>
      </w:r>
    </w:p>
  </w:footnote>
  <w:footnote w:id="122">
    <w:p w14:paraId="2137626E" w14:textId="77777777" w:rsidR="00270E6A" w:rsidRPr="008C087F" w:rsidRDefault="00270E6A" w:rsidP="002959BC">
      <w:pPr>
        <w:pStyle w:val="FootnoteText"/>
        <w:rPr>
          <w:rtl/>
        </w:rPr>
      </w:pPr>
      <w:r w:rsidRPr="008C087F">
        <w:rPr>
          <w:rtl/>
        </w:rPr>
        <w:t>(</w:t>
      </w:r>
      <w:r w:rsidRPr="008C087F">
        <w:rPr>
          <w:vertAlign w:val="superscript"/>
        </w:rPr>
        <w:footnoteRef/>
      </w:r>
      <w:r w:rsidRPr="008C087F">
        <w:rPr>
          <w:rtl/>
        </w:rPr>
        <w:t>)</w:t>
      </w:r>
      <w:r>
        <w:rPr>
          <w:rFonts w:hint="cs"/>
          <w:rtl/>
        </w:rPr>
        <w:t xml:space="preserve"> تظهر بعض بيانات التمويل الخارجي بإشارة سالبة لأنها تمثل صافي الاقتراض والأقساط المسددة. </w:t>
      </w:r>
    </w:p>
  </w:footnote>
  <w:footnote w:id="123">
    <w:p w14:paraId="64C7D6D9" w14:textId="77777777" w:rsidR="00270E6A" w:rsidRPr="008C087F" w:rsidRDefault="00270E6A" w:rsidP="002959BC">
      <w:pPr>
        <w:pStyle w:val="FootnoteText"/>
        <w:rPr>
          <w:rtl/>
        </w:rPr>
      </w:pPr>
      <w:r w:rsidRPr="008C087F">
        <w:rPr>
          <w:rtl/>
        </w:rPr>
        <w:t>(</w:t>
      </w:r>
      <w:r w:rsidRPr="008C087F">
        <w:rPr>
          <w:vertAlign w:val="superscript"/>
        </w:rPr>
        <w:footnoteRef/>
      </w:r>
      <w:r w:rsidRPr="008C087F">
        <w:rPr>
          <w:rtl/>
        </w:rPr>
        <w:t>)</w:t>
      </w:r>
      <w:r>
        <w:rPr>
          <w:rFonts w:ascii="Raleway" w:hAnsi="Raleway" w:hint="cs"/>
          <w:b/>
          <w:bCs/>
          <w:color w:val="333333"/>
          <w:shd w:val="clear" w:color="auto" w:fill="FFFFFF"/>
          <w:rtl/>
        </w:rPr>
        <w:t xml:space="preserve"> </w:t>
      </w:r>
      <w:r>
        <w:rPr>
          <w:rFonts w:hint="cs"/>
          <w:rtl/>
        </w:rPr>
        <w:t>البيانات غير متاحة.</w:t>
      </w:r>
    </w:p>
  </w:footnote>
  <w:footnote w:id="124">
    <w:p w14:paraId="618A2835" w14:textId="77777777" w:rsidR="00270E6A" w:rsidRPr="008C087F" w:rsidRDefault="00270E6A" w:rsidP="002959BC">
      <w:pPr>
        <w:pStyle w:val="FootnoteText"/>
        <w:rPr>
          <w:rtl/>
        </w:rPr>
      </w:pPr>
      <w:r w:rsidRPr="008C087F">
        <w:rPr>
          <w:rtl/>
        </w:rPr>
        <w:t>(</w:t>
      </w:r>
      <w:r w:rsidRPr="008C087F">
        <w:rPr>
          <w:vertAlign w:val="superscript"/>
        </w:rPr>
        <w:footnoteRef/>
      </w:r>
      <w:r w:rsidRPr="008C087F">
        <w:rPr>
          <w:rtl/>
        </w:rPr>
        <w:t>)</w:t>
      </w:r>
      <w:r>
        <w:rPr>
          <w:rFonts w:hint="cs"/>
          <w:rtl/>
        </w:rPr>
        <w:t xml:space="preserve"> تظهر بعض بيانات التمويل المحلي بإشارة سالبة لأنها تمثل صافي الاقتراض. </w:t>
      </w:r>
    </w:p>
  </w:footnote>
  <w:footnote w:id="125">
    <w:p w14:paraId="0C35703E" w14:textId="77777777" w:rsidR="00270E6A" w:rsidRPr="008C087F" w:rsidRDefault="00270E6A" w:rsidP="002959BC">
      <w:pPr>
        <w:pStyle w:val="FootnoteText"/>
        <w:rPr>
          <w:rtl/>
        </w:rPr>
      </w:pPr>
      <w:r w:rsidRPr="008C087F">
        <w:rPr>
          <w:rtl/>
        </w:rPr>
        <w:t>(</w:t>
      </w:r>
      <w:r w:rsidRPr="008C087F">
        <w:rPr>
          <w:vertAlign w:val="superscript"/>
        </w:rPr>
        <w:footnoteRef/>
      </w:r>
      <w:r w:rsidRPr="008C087F">
        <w:rPr>
          <w:rtl/>
        </w:rPr>
        <w:t>)</w:t>
      </w:r>
      <w:r>
        <w:rPr>
          <w:rFonts w:ascii="Raleway" w:hAnsi="Raleway" w:hint="cs"/>
          <w:b/>
          <w:bCs/>
          <w:color w:val="333333"/>
          <w:shd w:val="clear" w:color="auto" w:fill="FFFFFF"/>
          <w:rtl/>
        </w:rPr>
        <w:t xml:space="preserve"> </w:t>
      </w:r>
      <w:r>
        <w:rPr>
          <w:rFonts w:hint="cs"/>
          <w:rtl/>
        </w:rPr>
        <w:t>البيانات غير متاحة.</w:t>
      </w:r>
    </w:p>
  </w:footnote>
  <w:footnote w:id="126">
    <w:p w14:paraId="791FBF14" w14:textId="77777777" w:rsidR="00270E6A" w:rsidRPr="008C087F" w:rsidRDefault="00270E6A" w:rsidP="002959BC">
      <w:pPr>
        <w:pStyle w:val="FootnoteText"/>
        <w:spacing w:before="40" w:after="40"/>
        <w:rPr>
          <w:rtl/>
        </w:rPr>
      </w:pPr>
      <w:r w:rsidRPr="008C087F">
        <w:rPr>
          <w:rtl/>
        </w:rPr>
        <w:t>(</w:t>
      </w:r>
      <w:r w:rsidRPr="004869D1">
        <w:footnoteRef/>
      </w:r>
      <w:r w:rsidRPr="008C087F">
        <w:rPr>
          <w:rtl/>
        </w:rPr>
        <w:t>)</w:t>
      </w:r>
      <w:r w:rsidRPr="004869D1">
        <w:rPr>
          <w:rFonts w:hint="cs"/>
          <w:rtl/>
        </w:rPr>
        <w:t>، (*)</w:t>
      </w:r>
      <w:r>
        <w:rPr>
          <w:rFonts w:ascii="Arial" w:hAnsi="Arial" w:cs="Arial" w:hint="cs"/>
          <w:color w:val="000000"/>
          <w:sz w:val="28"/>
          <w:szCs w:val="28"/>
          <w:vertAlign w:val="superscript"/>
          <w:rtl/>
        </w:rPr>
        <w:t xml:space="preserve"> </w:t>
      </w:r>
      <w:r>
        <w:rPr>
          <w:rFonts w:hint="cs"/>
          <w:rtl/>
        </w:rPr>
        <w:t>كافة المبالغ المستخدمة بالمليار جنيه مصري.</w:t>
      </w:r>
    </w:p>
  </w:footnote>
  <w:footnote w:id="127">
    <w:p w14:paraId="51F26A2F" w14:textId="77777777" w:rsidR="00270E6A" w:rsidRPr="008C087F" w:rsidRDefault="00270E6A" w:rsidP="002959BC">
      <w:pPr>
        <w:pStyle w:val="FootnoteText"/>
        <w:spacing w:before="40" w:after="40"/>
        <w:rPr>
          <w:rtl/>
        </w:rPr>
      </w:pPr>
      <w:r w:rsidRPr="008C087F">
        <w:rPr>
          <w:rtl/>
        </w:rPr>
        <w:t>(</w:t>
      </w:r>
      <w:r w:rsidRPr="008C087F">
        <w:rPr>
          <w:vertAlign w:val="superscript"/>
        </w:rPr>
        <w:footnoteRef/>
      </w:r>
      <w:r w:rsidRPr="008C087F">
        <w:rPr>
          <w:rtl/>
        </w:rPr>
        <w:t>)</w:t>
      </w:r>
      <w:r>
        <w:rPr>
          <w:rFonts w:ascii="Raleway" w:hAnsi="Raleway" w:hint="cs"/>
          <w:b/>
          <w:bCs/>
          <w:color w:val="333333"/>
          <w:shd w:val="clear" w:color="auto" w:fill="FFFFFF"/>
          <w:rtl/>
        </w:rPr>
        <w:t xml:space="preserve"> </w:t>
      </w:r>
      <w:r>
        <w:rPr>
          <w:rFonts w:hint="cs"/>
          <w:rtl/>
        </w:rPr>
        <w:t>المعروض النقدي نسبة إلى الناتج المحلي الإجمالي.</w:t>
      </w:r>
    </w:p>
  </w:footnote>
  <w:footnote w:id="128">
    <w:p w14:paraId="5BE07A18" w14:textId="77777777" w:rsidR="00270E6A" w:rsidRPr="008C087F" w:rsidRDefault="00270E6A" w:rsidP="002959BC">
      <w:pPr>
        <w:pStyle w:val="FootnoteText"/>
        <w:spacing w:before="40" w:after="40"/>
        <w:rPr>
          <w:rtl/>
        </w:rPr>
      </w:pPr>
      <w:r w:rsidRPr="008C087F">
        <w:rPr>
          <w:rtl/>
        </w:rPr>
        <w:t>(</w:t>
      </w:r>
      <w:r w:rsidRPr="008C087F">
        <w:rPr>
          <w:vertAlign w:val="superscript"/>
        </w:rPr>
        <w:footnoteRef/>
      </w:r>
      <w:r w:rsidRPr="008C087F">
        <w:rPr>
          <w:rtl/>
        </w:rPr>
        <w:t>)</w:t>
      </w:r>
      <w:r>
        <w:rPr>
          <w:rFonts w:ascii="Raleway" w:hAnsi="Raleway" w:hint="cs"/>
          <w:b/>
          <w:bCs/>
          <w:color w:val="333333"/>
          <w:shd w:val="clear" w:color="auto" w:fill="FFFFFF"/>
          <w:rtl/>
        </w:rPr>
        <w:t xml:space="preserve"> </w:t>
      </w:r>
      <w:r>
        <w:rPr>
          <w:rFonts w:hint="cs"/>
          <w:rtl/>
        </w:rPr>
        <w:t>سعر صرف الجنيه المصري نسبة إلى الدولار الأمريكي.</w:t>
      </w:r>
    </w:p>
  </w:footnote>
  <w:footnote w:id="129">
    <w:p w14:paraId="4DB8CF92" w14:textId="77777777" w:rsidR="00270E6A" w:rsidRPr="008C087F" w:rsidRDefault="00270E6A" w:rsidP="002959BC">
      <w:pPr>
        <w:pStyle w:val="FootnoteText"/>
        <w:spacing w:before="40" w:after="40"/>
        <w:rPr>
          <w:rtl/>
        </w:rPr>
      </w:pPr>
      <w:r w:rsidRPr="008C087F">
        <w:rPr>
          <w:rtl/>
        </w:rPr>
        <w:t>(</w:t>
      </w:r>
      <w:r w:rsidRPr="008C087F">
        <w:rPr>
          <w:vertAlign w:val="superscript"/>
        </w:rPr>
        <w:footnoteRef/>
      </w:r>
      <w:r w:rsidRPr="008C087F">
        <w:rPr>
          <w:rtl/>
        </w:rPr>
        <w:t>)</w:t>
      </w:r>
      <w:r>
        <w:rPr>
          <w:rFonts w:ascii="Raleway" w:hAnsi="Raleway" w:hint="cs"/>
          <w:b/>
          <w:bCs/>
          <w:color w:val="333333"/>
          <w:shd w:val="clear" w:color="auto" w:fill="FFFFFF"/>
          <w:rtl/>
        </w:rPr>
        <w:t xml:space="preserve"> </w:t>
      </w:r>
      <w:r w:rsidRPr="00DC59E3">
        <w:rPr>
          <w:rFonts w:hint="cs"/>
          <w:rtl/>
        </w:rPr>
        <w:t>تم استخدام</w:t>
      </w:r>
      <w:r>
        <w:rPr>
          <w:rFonts w:ascii="Raleway" w:hAnsi="Raleway" w:hint="cs"/>
          <w:b/>
          <w:bCs/>
          <w:color w:val="333333"/>
          <w:shd w:val="clear" w:color="auto" w:fill="FFFFFF"/>
          <w:rtl/>
        </w:rPr>
        <w:t xml:space="preserve"> </w:t>
      </w:r>
      <w:r>
        <w:rPr>
          <w:rFonts w:hint="cs"/>
          <w:rtl/>
        </w:rPr>
        <w:t>متغير وهمي لامتصاص أثر عدم الاستقرار السياسي.</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A5B36" w14:textId="77777777" w:rsidR="00270E6A" w:rsidRPr="009C726D" w:rsidRDefault="00270E6A" w:rsidP="00270E6A">
    <w:pPr>
      <w:pStyle w:val="Header"/>
      <w:jc w:val="both"/>
      <w:rPr>
        <w:lang w:bidi="ar-EG"/>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B6AFB" w14:textId="77777777" w:rsidR="00270E6A" w:rsidRDefault="00270E6A">
    <w:pPr>
      <w:pStyle w:val="Header"/>
      <w:rPr>
        <w:rtl/>
      </w:rPr>
    </w:pPr>
  </w:p>
  <w:p w14:paraId="5DF3EDEF" w14:textId="77777777" w:rsidR="00270E6A" w:rsidRDefault="00270E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4EDDC" w14:textId="77777777" w:rsidR="00270E6A" w:rsidRDefault="00270E6A">
    <w:pPr>
      <w:pStyle w:val="Header"/>
      <w:rPr>
        <w:rtl/>
      </w:rPr>
    </w:pPr>
  </w:p>
  <w:p w14:paraId="13E5F328" w14:textId="77777777" w:rsidR="00270E6A" w:rsidRDefault="00270E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7D833" w14:textId="77777777" w:rsidR="00270E6A" w:rsidRDefault="00270E6A">
    <w:pPr>
      <w:pStyle w:val="Header"/>
      <w:rPr>
        <w:rtl/>
      </w:rPr>
    </w:pPr>
  </w:p>
  <w:p w14:paraId="7AFDFBAF" w14:textId="77777777" w:rsidR="00270E6A" w:rsidRDefault="00270E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0351E"/>
    <w:multiLevelType w:val="hybridMultilevel"/>
    <w:tmpl w:val="D166D33C"/>
    <w:lvl w:ilvl="0" w:tplc="8B3AD14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13E81"/>
    <w:multiLevelType w:val="hybridMultilevel"/>
    <w:tmpl w:val="2D8EF8E2"/>
    <w:lvl w:ilvl="0" w:tplc="8ED60C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96D1F"/>
    <w:multiLevelType w:val="hybridMultilevel"/>
    <w:tmpl w:val="C0A86F86"/>
    <w:lvl w:ilvl="0" w:tplc="375C1B90">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472C7B"/>
    <w:multiLevelType w:val="hybridMultilevel"/>
    <w:tmpl w:val="A2B6A412"/>
    <w:lvl w:ilvl="0" w:tplc="51824670">
      <w:start w:val="2"/>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7F2E31"/>
    <w:multiLevelType w:val="hybridMultilevel"/>
    <w:tmpl w:val="75CEE51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6F7B2C"/>
    <w:multiLevelType w:val="hybridMultilevel"/>
    <w:tmpl w:val="1D90624E"/>
    <w:lvl w:ilvl="0" w:tplc="33FE0C9C">
      <w:start w:val="1"/>
      <w:numFmt w:val="bullet"/>
      <w:lvlText w:val="-"/>
      <w:lvlJc w:val="left"/>
      <w:pPr>
        <w:ind w:left="1664" w:hanging="360"/>
      </w:pPr>
      <w:rPr>
        <w:rFonts w:ascii="Arial" w:eastAsiaTheme="minorEastAsia" w:hAnsi="Arial" w:cs="Arial" w:hint="default"/>
      </w:rPr>
    </w:lvl>
    <w:lvl w:ilvl="1" w:tplc="04090003" w:tentative="1">
      <w:start w:val="1"/>
      <w:numFmt w:val="bullet"/>
      <w:lvlText w:val="o"/>
      <w:lvlJc w:val="left"/>
      <w:pPr>
        <w:ind w:left="2384" w:hanging="360"/>
      </w:pPr>
      <w:rPr>
        <w:rFonts w:ascii="Courier New" w:hAnsi="Courier New" w:cs="Courier New" w:hint="default"/>
      </w:rPr>
    </w:lvl>
    <w:lvl w:ilvl="2" w:tplc="04090005" w:tentative="1">
      <w:start w:val="1"/>
      <w:numFmt w:val="bullet"/>
      <w:lvlText w:val=""/>
      <w:lvlJc w:val="left"/>
      <w:pPr>
        <w:ind w:left="3104" w:hanging="360"/>
      </w:pPr>
      <w:rPr>
        <w:rFonts w:ascii="Wingdings" w:hAnsi="Wingdings" w:hint="default"/>
      </w:rPr>
    </w:lvl>
    <w:lvl w:ilvl="3" w:tplc="04090001" w:tentative="1">
      <w:start w:val="1"/>
      <w:numFmt w:val="bullet"/>
      <w:lvlText w:val=""/>
      <w:lvlJc w:val="left"/>
      <w:pPr>
        <w:ind w:left="3824" w:hanging="360"/>
      </w:pPr>
      <w:rPr>
        <w:rFonts w:ascii="Symbol" w:hAnsi="Symbol" w:hint="default"/>
      </w:rPr>
    </w:lvl>
    <w:lvl w:ilvl="4" w:tplc="04090003" w:tentative="1">
      <w:start w:val="1"/>
      <w:numFmt w:val="bullet"/>
      <w:lvlText w:val="o"/>
      <w:lvlJc w:val="left"/>
      <w:pPr>
        <w:ind w:left="4544" w:hanging="360"/>
      </w:pPr>
      <w:rPr>
        <w:rFonts w:ascii="Courier New" w:hAnsi="Courier New" w:cs="Courier New" w:hint="default"/>
      </w:rPr>
    </w:lvl>
    <w:lvl w:ilvl="5" w:tplc="04090005" w:tentative="1">
      <w:start w:val="1"/>
      <w:numFmt w:val="bullet"/>
      <w:lvlText w:val=""/>
      <w:lvlJc w:val="left"/>
      <w:pPr>
        <w:ind w:left="5264" w:hanging="360"/>
      </w:pPr>
      <w:rPr>
        <w:rFonts w:ascii="Wingdings" w:hAnsi="Wingdings" w:hint="default"/>
      </w:rPr>
    </w:lvl>
    <w:lvl w:ilvl="6" w:tplc="04090001" w:tentative="1">
      <w:start w:val="1"/>
      <w:numFmt w:val="bullet"/>
      <w:lvlText w:val=""/>
      <w:lvlJc w:val="left"/>
      <w:pPr>
        <w:ind w:left="5984" w:hanging="360"/>
      </w:pPr>
      <w:rPr>
        <w:rFonts w:ascii="Symbol" w:hAnsi="Symbol" w:hint="default"/>
      </w:rPr>
    </w:lvl>
    <w:lvl w:ilvl="7" w:tplc="04090003" w:tentative="1">
      <w:start w:val="1"/>
      <w:numFmt w:val="bullet"/>
      <w:lvlText w:val="o"/>
      <w:lvlJc w:val="left"/>
      <w:pPr>
        <w:ind w:left="6704" w:hanging="360"/>
      </w:pPr>
      <w:rPr>
        <w:rFonts w:ascii="Courier New" w:hAnsi="Courier New" w:cs="Courier New" w:hint="default"/>
      </w:rPr>
    </w:lvl>
    <w:lvl w:ilvl="8" w:tplc="04090005" w:tentative="1">
      <w:start w:val="1"/>
      <w:numFmt w:val="bullet"/>
      <w:lvlText w:val=""/>
      <w:lvlJc w:val="left"/>
      <w:pPr>
        <w:ind w:left="7424" w:hanging="360"/>
      </w:pPr>
      <w:rPr>
        <w:rFonts w:ascii="Wingdings" w:hAnsi="Wingdings" w:hint="default"/>
      </w:rPr>
    </w:lvl>
  </w:abstractNum>
  <w:abstractNum w:abstractNumId="6" w15:restartNumberingAfterBreak="0">
    <w:nsid w:val="0F6836CE"/>
    <w:multiLevelType w:val="hybridMultilevel"/>
    <w:tmpl w:val="9258D8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064093A"/>
    <w:multiLevelType w:val="hybridMultilevel"/>
    <w:tmpl w:val="4036AF6A"/>
    <w:lvl w:ilvl="0" w:tplc="04090005">
      <w:start w:val="1"/>
      <w:numFmt w:val="bullet"/>
      <w:lvlText w:val=""/>
      <w:lvlJc w:val="left"/>
      <w:pPr>
        <w:ind w:left="1168" w:hanging="360"/>
      </w:pPr>
      <w:rPr>
        <w:rFonts w:ascii="Wingdings" w:hAnsi="Wingdings" w:hint="default"/>
      </w:rPr>
    </w:lvl>
    <w:lvl w:ilvl="1" w:tplc="04090003" w:tentative="1">
      <w:start w:val="1"/>
      <w:numFmt w:val="bullet"/>
      <w:lvlText w:val="o"/>
      <w:lvlJc w:val="left"/>
      <w:pPr>
        <w:ind w:left="1888" w:hanging="360"/>
      </w:pPr>
      <w:rPr>
        <w:rFonts w:ascii="Courier New" w:hAnsi="Courier New" w:cs="Courier New" w:hint="default"/>
      </w:rPr>
    </w:lvl>
    <w:lvl w:ilvl="2" w:tplc="04090005" w:tentative="1">
      <w:start w:val="1"/>
      <w:numFmt w:val="bullet"/>
      <w:lvlText w:val=""/>
      <w:lvlJc w:val="left"/>
      <w:pPr>
        <w:ind w:left="2608" w:hanging="360"/>
      </w:pPr>
      <w:rPr>
        <w:rFonts w:ascii="Wingdings" w:hAnsi="Wingdings" w:hint="default"/>
      </w:rPr>
    </w:lvl>
    <w:lvl w:ilvl="3" w:tplc="04090001" w:tentative="1">
      <w:start w:val="1"/>
      <w:numFmt w:val="bullet"/>
      <w:lvlText w:val=""/>
      <w:lvlJc w:val="left"/>
      <w:pPr>
        <w:ind w:left="3328" w:hanging="360"/>
      </w:pPr>
      <w:rPr>
        <w:rFonts w:ascii="Symbol" w:hAnsi="Symbol" w:hint="default"/>
      </w:rPr>
    </w:lvl>
    <w:lvl w:ilvl="4" w:tplc="04090003" w:tentative="1">
      <w:start w:val="1"/>
      <w:numFmt w:val="bullet"/>
      <w:lvlText w:val="o"/>
      <w:lvlJc w:val="left"/>
      <w:pPr>
        <w:ind w:left="4048" w:hanging="360"/>
      </w:pPr>
      <w:rPr>
        <w:rFonts w:ascii="Courier New" w:hAnsi="Courier New" w:cs="Courier New" w:hint="default"/>
      </w:rPr>
    </w:lvl>
    <w:lvl w:ilvl="5" w:tplc="04090005" w:tentative="1">
      <w:start w:val="1"/>
      <w:numFmt w:val="bullet"/>
      <w:lvlText w:val=""/>
      <w:lvlJc w:val="left"/>
      <w:pPr>
        <w:ind w:left="4768" w:hanging="360"/>
      </w:pPr>
      <w:rPr>
        <w:rFonts w:ascii="Wingdings" w:hAnsi="Wingdings" w:hint="default"/>
      </w:rPr>
    </w:lvl>
    <w:lvl w:ilvl="6" w:tplc="04090001" w:tentative="1">
      <w:start w:val="1"/>
      <w:numFmt w:val="bullet"/>
      <w:lvlText w:val=""/>
      <w:lvlJc w:val="left"/>
      <w:pPr>
        <w:ind w:left="5488" w:hanging="360"/>
      </w:pPr>
      <w:rPr>
        <w:rFonts w:ascii="Symbol" w:hAnsi="Symbol" w:hint="default"/>
      </w:rPr>
    </w:lvl>
    <w:lvl w:ilvl="7" w:tplc="04090003" w:tentative="1">
      <w:start w:val="1"/>
      <w:numFmt w:val="bullet"/>
      <w:lvlText w:val="o"/>
      <w:lvlJc w:val="left"/>
      <w:pPr>
        <w:ind w:left="6208" w:hanging="360"/>
      </w:pPr>
      <w:rPr>
        <w:rFonts w:ascii="Courier New" w:hAnsi="Courier New" w:cs="Courier New" w:hint="default"/>
      </w:rPr>
    </w:lvl>
    <w:lvl w:ilvl="8" w:tplc="04090005" w:tentative="1">
      <w:start w:val="1"/>
      <w:numFmt w:val="bullet"/>
      <w:lvlText w:val=""/>
      <w:lvlJc w:val="left"/>
      <w:pPr>
        <w:ind w:left="6928" w:hanging="360"/>
      </w:pPr>
      <w:rPr>
        <w:rFonts w:ascii="Wingdings" w:hAnsi="Wingdings" w:hint="default"/>
      </w:rPr>
    </w:lvl>
  </w:abstractNum>
  <w:abstractNum w:abstractNumId="8" w15:restartNumberingAfterBreak="0">
    <w:nsid w:val="251958D3"/>
    <w:multiLevelType w:val="hybridMultilevel"/>
    <w:tmpl w:val="68BED160"/>
    <w:lvl w:ilvl="0" w:tplc="936AEF7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A2513D"/>
    <w:multiLevelType w:val="hybridMultilevel"/>
    <w:tmpl w:val="8946ED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221018"/>
    <w:multiLevelType w:val="hybridMultilevel"/>
    <w:tmpl w:val="B42C7948"/>
    <w:lvl w:ilvl="0" w:tplc="04090001">
      <w:start w:val="1"/>
      <w:numFmt w:val="bullet"/>
      <w:lvlText w:val=""/>
      <w:lvlJc w:val="left"/>
      <w:pPr>
        <w:ind w:left="1069" w:hanging="360"/>
      </w:pPr>
      <w:rPr>
        <w:rFonts w:ascii="Symbol" w:hAnsi="Symbo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328255D9"/>
    <w:multiLevelType w:val="hybridMultilevel"/>
    <w:tmpl w:val="3120F0BC"/>
    <w:lvl w:ilvl="0" w:tplc="9D4867A2">
      <w:start w:val="1"/>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A56526"/>
    <w:multiLevelType w:val="hybridMultilevel"/>
    <w:tmpl w:val="83D2838E"/>
    <w:lvl w:ilvl="0" w:tplc="04090005">
      <w:start w:val="1"/>
      <w:numFmt w:val="bullet"/>
      <w:lvlText w:val=""/>
      <w:lvlJc w:val="left"/>
      <w:pPr>
        <w:ind w:left="1075" w:hanging="360"/>
      </w:pPr>
      <w:rPr>
        <w:rFonts w:ascii="Wingdings" w:hAnsi="Wingdings"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13" w15:restartNumberingAfterBreak="0">
    <w:nsid w:val="3884670A"/>
    <w:multiLevelType w:val="hybridMultilevel"/>
    <w:tmpl w:val="50BCB170"/>
    <w:lvl w:ilvl="0" w:tplc="E7A8C58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9D1DDA"/>
    <w:multiLevelType w:val="hybridMultilevel"/>
    <w:tmpl w:val="AE660804"/>
    <w:lvl w:ilvl="0" w:tplc="50B46FDC">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D9496A"/>
    <w:multiLevelType w:val="hybridMultilevel"/>
    <w:tmpl w:val="CF20A150"/>
    <w:lvl w:ilvl="0" w:tplc="4826676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25179F"/>
    <w:multiLevelType w:val="hybridMultilevel"/>
    <w:tmpl w:val="C67863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1902CA"/>
    <w:multiLevelType w:val="hybridMultilevel"/>
    <w:tmpl w:val="DB3E7EFE"/>
    <w:lvl w:ilvl="0" w:tplc="EF368D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EF248A"/>
    <w:multiLevelType w:val="hybridMultilevel"/>
    <w:tmpl w:val="3CFE2C84"/>
    <w:lvl w:ilvl="0" w:tplc="18CA7B78">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0B7362"/>
    <w:multiLevelType w:val="hybridMultilevel"/>
    <w:tmpl w:val="BE2E6C82"/>
    <w:lvl w:ilvl="0" w:tplc="484E2646">
      <w:start w:val="8"/>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5E5D59"/>
    <w:multiLevelType w:val="hybridMultilevel"/>
    <w:tmpl w:val="24702C54"/>
    <w:lvl w:ilvl="0" w:tplc="936AEF78">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A072FD9"/>
    <w:multiLevelType w:val="hybridMultilevel"/>
    <w:tmpl w:val="AE9C3F60"/>
    <w:lvl w:ilvl="0" w:tplc="4880B20A">
      <w:numFmt w:val="bullet"/>
      <w:lvlText w:val="-"/>
      <w:lvlJc w:val="left"/>
      <w:pPr>
        <w:ind w:left="720" w:hanging="360"/>
      </w:pPr>
      <w:rPr>
        <w:rFonts w:ascii="Cambria" w:eastAsiaTheme="minorEastAs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6E20AC"/>
    <w:multiLevelType w:val="hybridMultilevel"/>
    <w:tmpl w:val="7ADEF4D2"/>
    <w:lvl w:ilvl="0" w:tplc="F67810F2">
      <w:numFmt w:val="bullet"/>
      <w:lvlText w:val="-"/>
      <w:lvlJc w:val="left"/>
      <w:pPr>
        <w:ind w:left="927" w:hanging="360"/>
      </w:pPr>
      <w:rPr>
        <w:rFonts w:ascii="Simplified Arabic" w:eastAsiaTheme="minorEastAsia" w:hAnsi="Simplified Arabic" w:cs="Simplified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4BFE0939"/>
    <w:multiLevelType w:val="hybridMultilevel"/>
    <w:tmpl w:val="0ADA951C"/>
    <w:lvl w:ilvl="0" w:tplc="AE72F53E">
      <w:start w:val="1"/>
      <w:numFmt w:val="decimal"/>
      <w:lvlText w:val="%1-"/>
      <w:lvlJc w:val="left"/>
      <w:pPr>
        <w:ind w:left="1238" w:hanging="360"/>
      </w:pPr>
      <w:rPr>
        <w:rFonts w:hint="default"/>
      </w:rPr>
    </w:lvl>
    <w:lvl w:ilvl="1" w:tplc="04090019" w:tentative="1">
      <w:start w:val="1"/>
      <w:numFmt w:val="lowerLetter"/>
      <w:lvlText w:val="%2."/>
      <w:lvlJc w:val="left"/>
      <w:pPr>
        <w:ind w:left="1958" w:hanging="360"/>
      </w:pPr>
    </w:lvl>
    <w:lvl w:ilvl="2" w:tplc="0409001B" w:tentative="1">
      <w:start w:val="1"/>
      <w:numFmt w:val="lowerRoman"/>
      <w:lvlText w:val="%3."/>
      <w:lvlJc w:val="right"/>
      <w:pPr>
        <w:ind w:left="2678" w:hanging="180"/>
      </w:pPr>
    </w:lvl>
    <w:lvl w:ilvl="3" w:tplc="0409000F" w:tentative="1">
      <w:start w:val="1"/>
      <w:numFmt w:val="decimal"/>
      <w:lvlText w:val="%4."/>
      <w:lvlJc w:val="left"/>
      <w:pPr>
        <w:ind w:left="3398" w:hanging="360"/>
      </w:pPr>
    </w:lvl>
    <w:lvl w:ilvl="4" w:tplc="04090019" w:tentative="1">
      <w:start w:val="1"/>
      <w:numFmt w:val="lowerLetter"/>
      <w:lvlText w:val="%5."/>
      <w:lvlJc w:val="left"/>
      <w:pPr>
        <w:ind w:left="4118" w:hanging="360"/>
      </w:pPr>
    </w:lvl>
    <w:lvl w:ilvl="5" w:tplc="0409001B" w:tentative="1">
      <w:start w:val="1"/>
      <w:numFmt w:val="lowerRoman"/>
      <w:lvlText w:val="%6."/>
      <w:lvlJc w:val="right"/>
      <w:pPr>
        <w:ind w:left="4838" w:hanging="180"/>
      </w:pPr>
    </w:lvl>
    <w:lvl w:ilvl="6" w:tplc="0409000F" w:tentative="1">
      <w:start w:val="1"/>
      <w:numFmt w:val="decimal"/>
      <w:lvlText w:val="%7."/>
      <w:lvlJc w:val="left"/>
      <w:pPr>
        <w:ind w:left="5558" w:hanging="360"/>
      </w:pPr>
    </w:lvl>
    <w:lvl w:ilvl="7" w:tplc="04090019" w:tentative="1">
      <w:start w:val="1"/>
      <w:numFmt w:val="lowerLetter"/>
      <w:lvlText w:val="%8."/>
      <w:lvlJc w:val="left"/>
      <w:pPr>
        <w:ind w:left="6278" w:hanging="360"/>
      </w:pPr>
    </w:lvl>
    <w:lvl w:ilvl="8" w:tplc="0409001B" w:tentative="1">
      <w:start w:val="1"/>
      <w:numFmt w:val="lowerRoman"/>
      <w:lvlText w:val="%9."/>
      <w:lvlJc w:val="right"/>
      <w:pPr>
        <w:ind w:left="6998" w:hanging="180"/>
      </w:pPr>
    </w:lvl>
  </w:abstractNum>
  <w:abstractNum w:abstractNumId="24" w15:restartNumberingAfterBreak="0">
    <w:nsid w:val="4C3254EF"/>
    <w:multiLevelType w:val="hybridMultilevel"/>
    <w:tmpl w:val="DC683FE4"/>
    <w:lvl w:ilvl="0" w:tplc="451811A8">
      <w:numFmt w:val="bullet"/>
      <w:lvlText w:val="-"/>
      <w:lvlJc w:val="left"/>
      <w:pPr>
        <w:ind w:left="813" w:hanging="360"/>
      </w:pPr>
      <w:rPr>
        <w:rFonts w:ascii="Arial" w:eastAsiaTheme="minorEastAsia" w:hAnsi="Arial" w:cs="Arial" w:hint="default"/>
      </w:rPr>
    </w:lvl>
    <w:lvl w:ilvl="1" w:tplc="04090003" w:tentative="1">
      <w:start w:val="1"/>
      <w:numFmt w:val="bullet"/>
      <w:lvlText w:val="o"/>
      <w:lvlJc w:val="left"/>
      <w:pPr>
        <w:ind w:left="1533" w:hanging="360"/>
      </w:pPr>
      <w:rPr>
        <w:rFonts w:ascii="Courier New" w:hAnsi="Courier New" w:cs="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cs="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cs="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25" w15:restartNumberingAfterBreak="0">
    <w:nsid w:val="4DE7579C"/>
    <w:multiLevelType w:val="hybridMultilevel"/>
    <w:tmpl w:val="55C28252"/>
    <w:lvl w:ilvl="0" w:tplc="DC5A0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0C0E0D"/>
    <w:multiLevelType w:val="hybridMultilevel"/>
    <w:tmpl w:val="7E4CBC3A"/>
    <w:lvl w:ilvl="0" w:tplc="0B96BD10">
      <w:start w:val="1"/>
      <w:numFmt w:val="decimal"/>
      <w:lvlText w:val="%1-"/>
      <w:lvlJc w:val="left"/>
      <w:pPr>
        <w:ind w:left="2293" w:hanging="360"/>
      </w:pPr>
      <w:rPr>
        <w:rFonts w:hint="default"/>
      </w:rPr>
    </w:lvl>
    <w:lvl w:ilvl="1" w:tplc="04090019" w:tentative="1">
      <w:start w:val="1"/>
      <w:numFmt w:val="lowerLetter"/>
      <w:lvlText w:val="%2."/>
      <w:lvlJc w:val="left"/>
      <w:pPr>
        <w:ind w:left="3013" w:hanging="360"/>
      </w:pPr>
    </w:lvl>
    <w:lvl w:ilvl="2" w:tplc="0409001B" w:tentative="1">
      <w:start w:val="1"/>
      <w:numFmt w:val="lowerRoman"/>
      <w:lvlText w:val="%3."/>
      <w:lvlJc w:val="right"/>
      <w:pPr>
        <w:ind w:left="3733" w:hanging="180"/>
      </w:pPr>
    </w:lvl>
    <w:lvl w:ilvl="3" w:tplc="0409000F" w:tentative="1">
      <w:start w:val="1"/>
      <w:numFmt w:val="decimal"/>
      <w:lvlText w:val="%4."/>
      <w:lvlJc w:val="left"/>
      <w:pPr>
        <w:ind w:left="4453" w:hanging="360"/>
      </w:pPr>
    </w:lvl>
    <w:lvl w:ilvl="4" w:tplc="04090019" w:tentative="1">
      <w:start w:val="1"/>
      <w:numFmt w:val="lowerLetter"/>
      <w:lvlText w:val="%5."/>
      <w:lvlJc w:val="left"/>
      <w:pPr>
        <w:ind w:left="5173" w:hanging="360"/>
      </w:pPr>
    </w:lvl>
    <w:lvl w:ilvl="5" w:tplc="0409001B" w:tentative="1">
      <w:start w:val="1"/>
      <w:numFmt w:val="lowerRoman"/>
      <w:lvlText w:val="%6."/>
      <w:lvlJc w:val="right"/>
      <w:pPr>
        <w:ind w:left="5893" w:hanging="180"/>
      </w:pPr>
    </w:lvl>
    <w:lvl w:ilvl="6" w:tplc="0409000F" w:tentative="1">
      <w:start w:val="1"/>
      <w:numFmt w:val="decimal"/>
      <w:lvlText w:val="%7."/>
      <w:lvlJc w:val="left"/>
      <w:pPr>
        <w:ind w:left="6613" w:hanging="360"/>
      </w:pPr>
    </w:lvl>
    <w:lvl w:ilvl="7" w:tplc="04090019" w:tentative="1">
      <w:start w:val="1"/>
      <w:numFmt w:val="lowerLetter"/>
      <w:lvlText w:val="%8."/>
      <w:lvlJc w:val="left"/>
      <w:pPr>
        <w:ind w:left="7333" w:hanging="360"/>
      </w:pPr>
    </w:lvl>
    <w:lvl w:ilvl="8" w:tplc="0409001B" w:tentative="1">
      <w:start w:val="1"/>
      <w:numFmt w:val="lowerRoman"/>
      <w:lvlText w:val="%9."/>
      <w:lvlJc w:val="right"/>
      <w:pPr>
        <w:ind w:left="8053" w:hanging="180"/>
      </w:pPr>
    </w:lvl>
  </w:abstractNum>
  <w:abstractNum w:abstractNumId="27" w15:restartNumberingAfterBreak="0">
    <w:nsid w:val="58015A6B"/>
    <w:multiLevelType w:val="hybridMultilevel"/>
    <w:tmpl w:val="FC087B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25461A"/>
    <w:multiLevelType w:val="hybridMultilevel"/>
    <w:tmpl w:val="46F69E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352FA1"/>
    <w:multiLevelType w:val="hybridMultilevel"/>
    <w:tmpl w:val="97786A42"/>
    <w:lvl w:ilvl="0" w:tplc="1BB0B7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481566"/>
    <w:multiLevelType w:val="hybridMultilevel"/>
    <w:tmpl w:val="CC42A2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76427BD"/>
    <w:multiLevelType w:val="hybridMultilevel"/>
    <w:tmpl w:val="5F420160"/>
    <w:lvl w:ilvl="0" w:tplc="9F40F4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4323BF"/>
    <w:multiLevelType w:val="hybridMultilevel"/>
    <w:tmpl w:val="AD482A9C"/>
    <w:lvl w:ilvl="0" w:tplc="640CA84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D73FF4"/>
    <w:multiLevelType w:val="hybridMultilevel"/>
    <w:tmpl w:val="6562CFA4"/>
    <w:lvl w:ilvl="0" w:tplc="33FE0C9C">
      <w:start w:val="1"/>
      <w:numFmt w:val="bullet"/>
      <w:lvlText w:val="-"/>
      <w:lvlJc w:val="left"/>
      <w:pPr>
        <w:ind w:left="720" w:hanging="360"/>
      </w:pPr>
      <w:rPr>
        <w:rFonts w:ascii="Arial" w:eastAsiaTheme="minorEastAsia"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2D0F98"/>
    <w:multiLevelType w:val="hybridMultilevel"/>
    <w:tmpl w:val="FC644C2E"/>
    <w:lvl w:ilvl="0" w:tplc="E048CBB8">
      <w:start w:val="1"/>
      <w:numFmt w:val="bullet"/>
      <w:lvlText w:val="-"/>
      <w:lvlJc w:val="left"/>
      <w:pPr>
        <w:ind w:left="978" w:hanging="360"/>
      </w:pPr>
      <w:rPr>
        <w:rFonts w:ascii="Arial" w:eastAsiaTheme="minorEastAsia" w:hAnsi="Arial" w:cs="Arial" w:hint="default"/>
      </w:rPr>
    </w:lvl>
    <w:lvl w:ilvl="1" w:tplc="04090003" w:tentative="1">
      <w:start w:val="1"/>
      <w:numFmt w:val="bullet"/>
      <w:lvlText w:val="o"/>
      <w:lvlJc w:val="left"/>
      <w:pPr>
        <w:ind w:left="1698" w:hanging="360"/>
      </w:pPr>
      <w:rPr>
        <w:rFonts w:ascii="Courier New" w:hAnsi="Courier New" w:cs="Courier New" w:hint="default"/>
      </w:rPr>
    </w:lvl>
    <w:lvl w:ilvl="2" w:tplc="04090005" w:tentative="1">
      <w:start w:val="1"/>
      <w:numFmt w:val="bullet"/>
      <w:lvlText w:val=""/>
      <w:lvlJc w:val="left"/>
      <w:pPr>
        <w:ind w:left="2418" w:hanging="360"/>
      </w:pPr>
      <w:rPr>
        <w:rFonts w:ascii="Wingdings" w:hAnsi="Wingdings" w:hint="default"/>
      </w:rPr>
    </w:lvl>
    <w:lvl w:ilvl="3" w:tplc="04090001" w:tentative="1">
      <w:start w:val="1"/>
      <w:numFmt w:val="bullet"/>
      <w:lvlText w:val=""/>
      <w:lvlJc w:val="left"/>
      <w:pPr>
        <w:ind w:left="3138" w:hanging="360"/>
      </w:pPr>
      <w:rPr>
        <w:rFonts w:ascii="Symbol" w:hAnsi="Symbol" w:hint="default"/>
      </w:rPr>
    </w:lvl>
    <w:lvl w:ilvl="4" w:tplc="04090003" w:tentative="1">
      <w:start w:val="1"/>
      <w:numFmt w:val="bullet"/>
      <w:lvlText w:val="o"/>
      <w:lvlJc w:val="left"/>
      <w:pPr>
        <w:ind w:left="3858" w:hanging="360"/>
      </w:pPr>
      <w:rPr>
        <w:rFonts w:ascii="Courier New" w:hAnsi="Courier New" w:cs="Courier New" w:hint="default"/>
      </w:rPr>
    </w:lvl>
    <w:lvl w:ilvl="5" w:tplc="04090005" w:tentative="1">
      <w:start w:val="1"/>
      <w:numFmt w:val="bullet"/>
      <w:lvlText w:val=""/>
      <w:lvlJc w:val="left"/>
      <w:pPr>
        <w:ind w:left="4578" w:hanging="360"/>
      </w:pPr>
      <w:rPr>
        <w:rFonts w:ascii="Wingdings" w:hAnsi="Wingdings" w:hint="default"/>
      </w:rPr>
    </w:lvl>
    <w:lvl w:ilvl="6" w:tplc="04090001" w:tentative="1">
      <w:start w:val="1"/>
      <w:numFmt w:val="bullet"/>
      <w:lvlText w:val=""/>
      <w:lvlJc w:val="left"/>
      <w:pPr>
        <w:ind w:left="5298" w:hanging="360"/>
      </w:pPr>
      <w:rPr>
        <w:rFonts w:ascii="Symbol" w:hAnsi="Symbol" w:hint="default"/>
      </w:rPr>
    </w:lvl>
    <w:lvl w:ilvl="7" w:tplc="04090003" w:tentative="1">
      <w:start w:val="1"/>
      <w:numFmt w:val="bullet"/>
      <w:lvlText w:val="o"/>
      <w:lvlJc w:val="left"/>
      <w:pPr>
        <w:ind w:left="6018" w:hanging="360"/>
      </w:pPr>
      <w:rPr>
        <w:rFonts w:ascii="Courier New" w:hAnsi="Courier New" w:cs="Courier New" w:hint="default"/>
      </w:rPr>
    </w:lvl>
    <w:lvl w:ilvl="8" w:tplc="04090005" w:tentative="1">
      <w:start w:val="1"/>
      <w:numFmt w:val="bullet"/>
      <w:lvlText w:val=""/>
      <w:lvlJc w:val="left"/>
      <w:pPr>
        <w:ind w:left="6738" w:hanging="360"/>
      </w:pPr>
      <w:rPr>
        <w:rFonts w:ascii="Wingdings" w:hAnsi="Wingdings" w:hint="default"/>
      </w:rPr>
    </w:lvl>
  </w:abstractNum>
  <w:abstractNum w:abstractNumId="35" w15:restartNumberingAfterBreak="0">
    <w:nsid w:val="70862138"/>
    <w:multiLevelType w:val="hybridMultilevel"/>
    <w:tmpl w:val="3290247E"/>
    <w:lvl w:ilvl="0" w:tplc="04090005">
      <w:start w:val="1"/>
      <w:numFmt w:val="bullet"/>
      <w:lvlText w:val=""/>
      <w:lvlJc w:val="left"/>
      <w:pPr>
        <w:ind w:left="1893" w:hanging="360"/>
      </w:pPr>
      <w:rPr>
        <w:rFonts w:ascii="Wingdings" w:hAnsi="Wingdings" w:hint="default"/>
      </w:rPr>
    </w:lvl>
    <w:lvl w:ilvl="1" w:tplc="04090003" w:tentative="1">
      <w:start w:val="1"/>
      <w:numFmt w:val="bullet"/>
      <w:lvlText w:val="o"/>
      <w:lvlJc w:val="left"/>
      <w:pPr>
        <w:ind w:left="2613" w:hanging="360"/>
      </w:pPr>
      <w:rPr>
        <w:rFonts w:ascii="Courier New" w:hAnsi="Courier New" w:cs="Courier New" w:hint="default"/>
      </w:rPr>
    </w:lvl>
    <w:lvl w:ilvl="2" w:tplc="04090005" w:tentative="1">
      <w:start w:val="1"/>
      <w:numFmt w:val="bullet"/>
      <w:lvlText w:val=""/>
      <w:lvlJc w:val="left"/>
      <w:pPr>
        <w:ind w:left="3333" w:hanging="360"/>
      </w:pPr>
      <w:rPr>
        <w:rFonts w:ascii="Wingdings" w:hAnsi="Wingdings" w:hint="default"/>
      </w:rPr>
    </w:lvl>
    <w:lvl w:ilvl="3" w:tplc="04090001" w:tentative="1">
      <w:start w:val="1"/>
      <w:numFmt w:val="bullet"/>
      <w:lvlText w:val=""/>
      <w:lvlJc w:val="left"/>
      <w:pPr>
        <w:ind w:left="4053" w:hanging="360"/>
      </w:pPr>
      <w:rPr>
        <w:rFonts w:ascii="Symbol" w:hAnsi="Symbol" w:hint="default"/>
      </w:rPr>
    </w:lvl>
    <w:lvl w:ilvl="4" w:tplc="04090003" w:tentative="1">
      <w:start w:val="1"/>
      <w:numFmt w:val="bullet"/>
      <w:lvlText w:val="o"/>
      <w:lvlJc w:val="left"/>
      <w:pPr>
        <w:ind w:left="4773" w:hanging="360"/>
      </w:pPr>
      <w:rPr>
        <w:rFonts w:ascii="Courier New" w:hAnsi="Courier New" w:cs="Courier New" w:hint="default"/>
      </w:rPr>
    </w:lvl>
    <w:lvl w:ilvl="5" w:tplc="04090005" w:tentative="1">
      <w:start w:val="1"/>
      <w:numFmt w:val="bullet"/>
      <w:lvlText w:val=""/>
      <w:lvlJc w:val="left"/>
      <w:pPr>
        <w:ind w:left="5493" w:hanging="360"/>
      </w:pPr>
      <w:rPr>
        <w:rFonts w:ascii="Wingdings" w:hAnsi="Wingdings" w:hint="default"/>
      </w:rPr>
    </w:lvl>
    <w:lvl w:ilvl="6" w:tplc="04090001" w:tentative="1">
      <w:start w:val="1"/>
      <w:numFmt w:val="bullet"/>
      <w:lvlText w:val=""/>
      <w:lvlJc w:val="left"/>
      <w:pPr>
        <w:ind w:left="6213" w:hanging="360"/>
      </w:pPr>
      <w:rPr>
        <w:rFonts w:ascii="Symbol" w:hAnsi="Symbol" w:hint="default"/>
      </w:rPr>
    </w:lvl>
    <w:lvl w:ilvl="7" w:tplc="04090003" w:tentative="1">
      <w:start w:val="1"/>
      <w:numFmt w:val="bullet"/>
      <w:lvlText w:val="o"/>
      <w:lvlJc w:val="left"/>
      <w:pPr>
        <w:ind w:left="6933" w:hanging="360"/>
      </w:pPr>
      <w:rPr>
        <w:rFonts w:ascii="Courier New" w:hAnsi="Courier New" w:cs="Courier New" w:hint="default"/>
      </w:rPr>
    </w:lvl>
    <w:lvl w:ilvl="8" w:tplc="04090005" w:tentative="1">
      <w:start w:val="1"/>
      <w:numFmt w:val="bullet"/>
      <w:lvlText w:val=""/>
      <w:lvlJc w:val="left"/>
      <w:pPr>
        <w:ind w:left="7653" w:hanging="360"/>
      </w:pPr>
      <w:rPr>
        <w:rFonts w:ascii="Wingdings" w:hAnsi="Wingdings" w:hint="default"/>
      </w:rPr>
    </w:lvl>
  </w:abstractNum>
  <w:abstractNum w:abstractNumId="36" w15:restartNumberingAfterBreak="0">
    <w:nsid w:val="74220408"/>
    <w:multiLevelType w:val="hybridMultilevel"/>
    <w:tmpl w:val="38AEF3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467889"/>
    <w:multiLevelType w:val="hybridMultilevel"/>
    <w:tmpl w:val="850C98E0"/>
    <w:lvl w:ilvl="0" w:tplc="6A2EFBC6">
      <w:numFmt w:val="bullet"/>
      <w:lvlText w:val="-"/>
      <w:lvlJc w:val="left"/>
      <w:pPr>
        <w:ind w:left="1069" w:hanging="360"/>
      </w:pPr>
      <w:rPr>
        <w:rFonts w:ascii="Arial" w:eastAsiaTheme="minorEastAsia" w:hAnsi="Arial" w:cs="Arial" w:hint="default"/>
        <w:sz w:val="22"/>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8" w15:restartNumberingAfterBreak="0">
    <w:nsid w:val="7A2D5D5A"/>
    <w:multiLevelType w:val="hybridMultilevel"/>
    <w:tmpl w:val="44B2D784"/>
    <w:lvl w:ilvl="0" w:tplc="936AEF78">
      <w:start w:val="1"/>
      <w:numFmt w:val="arabicAbjad"/>
      <w:lvlText w:val="%1-"/>
      <w:lvlJc w:val="left"/>
      <w:pPr>
        <w:ind w:left="1238" w:hanging="360"/>
      </w:pPr>
      <w:rPr>
        <w:rFonts w:hint="default"/>
      </w:rPr>
    </w:lvl>
    <w:lvl w:ilvl="1" w:tplc="04090019" w:tentative="1">
      <w:start w:val="1"/>
      <w:numFmt w:val="lowerLetter"/>
      <w:lvlText w:val="%2."/>
      <w:lvlJc w:val="left"/>
      <w:pPr>
        <w:ind w:left="1958" w:hanging="360"/>
      </w:pPr>
    </w:lvl>
    <w:lvl w:ilvl="2" w:tplc="0409001B" w:tentative="1">
      <w:start w:val="1"/>
      <w:numFmt w:val="lowerRoman"/>
      <w:lvlText w:val="%3."/>
      <w:lvlJc w:val="right"/>
      <w:pPr>
        <w:ind w:left="2678" w:hanging="180"/>
      </w:pPr>
    </w:lvl>
    <w:lvl w:ilvl="3" w:tplc="0409000F" w:tentative="1">
      <w:start w:val="1"/>
      <w:numFmt w:val="decimal"/>
      <w:lvlText w:val="%4."/>
      <w:lvlJc w:val="left"/>
      <w:pPr>
        <w:ind w:left="3398" w:hanging="360"/>
      </w:pPr>
    </w:lvl>
    <w:lvl w:ilvl="4" w:tplc="04090019" w:tentative="1">
      <w:start w:val="1"/>
      <w:numFmt w:val="lowerLetter"/>
      <w:lvlText w:val="%5."/>
      <w:lvlJc w:val="left"/>
      <w:pPr>
        <w:ind w:left="4118" w:hanging="360"/>
      </w:pPr>
    </w:lvl>
    <w:lvl w:ilvl="5" w:tplc="0409001B" w:tentative="1">
      <w:start w:val="1"/>
      <w:numFmt w:val="lowerRoman"/>
      <w:lvlText w:val="%6."/>
      <w:lvlJc w:val="right"/>
      <w:pPr>
        <w:ind w:left="4838" w:hanging="180"/>
      </w:pPr>
    </w:lvl>
    <w:lvl w:ilvl="6" w:tplc="0409000F" w:tentative="1">
      <w:start w:val="1"/>
      <w:numFmt w:val="decimal"/>
      <w:lvlText w:val="%7."/>
      <w:lvlJc w:val="left"/>
      <w:pPr>
        <w:ind w:left="5558" w:hanging="360"/>
      </w:pPr>
    </w:lvl>
    <w:lvl w:ilvl="7" w:tplc="04090019" w:tentative="1">
      <w:start w:val="1"/>
      <w:numFmt w:val="lowerLetter"/>
      <w:lvlText w:val="%8."/>
      <w:lvlJc w:val="left"/>
      <w:pPr>
        <w:ind w:left="6278" w:hanging="360"/>
      </w:pPr>
    </w:lvl>
    <w:lvl w:ilvl="8" w:tplc="0409001B" w:tentative="1">
      <w:start w:val="1"/>
      <w:numFmt w:val="lowerRoman"/>
      <w:lvlText w:val="%9."/>
      <w:lvlJc w:val="right"/>
      <w:pPr>
        <w:ind w:left="6998" w:hanging="180"/>
      </w:pPr>
    </w:lvl>
  </w:abstractNum>
  <w:abstractNum w:abstractNumId="39" w15:restartNumberingAfterBreak="0">
    <w:nsid w:val="7A9C10E2"/>
    <w:multiLevelType w:val="hybridMultilevel"/>
    <w:tmpl w:val="EB167118"/>
    <w:lvl w:ilvl="0" w:tplc="CDDE43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8D1138"/>
    <w:multiLevelType w:val="hybridMultilevel"/>
    <w:tmpl w:val="E6A02882"/>
    <w:lvl w:ilvl="0" w:tplc="600E6480">
      <w:start w:val="13"/>
      <w:numFmt w:val="bullet"/>
      <w:lvlText w:val="-"/>
      <w:lvlJc w:val="left"/>
      <w:pPr>
        <w:ind w:left="388" w:hanging="360"/>
      </w:pPr>
      <w:rPr>
        <w:rFonts w:ascii="Arial" w:eastAsiaTheme="minorEastAsia" w:hAnsi="Arial" w:cs="Arial" w:hint="default"/>
        <w:b w:val="0"/>
      </w:rPr>
    </w:lvl>
    <w:lvl w:ilvl="1" w:tplc="04090003" w:tentative="1">
      <w:start w:val="1"/>
      <w:numFmt w:val="bullet"/>
      <w:lvlText w:val="o"/>
      <w:lvlJc w:val="left"/>
      <w:pPr>
        <w:ind w:left="1108" w:hanging="360"/>
      </w:pPr>
      <w:rPr>
        <w:rFonts w:ascii="Courier New" w:hAnsi="Courier New" w:cs="Courier New" w:hint="default"/>
      </w:rPr>
    </w:lvl>
    <w:lvl w:ilvl="2" w:tplc="04090005" w:tentative="1">
      <w:start w:val="1"/>
      <w:numFmt w:val="bullet"/>
      <w:lvlText w:val=""/>
      <w:lvlJc w:val="left"/>
      <w:pPr>
        <w:ind w:left="1828" w:hanging="360"/>
      </w:pPr>
      <w:rPr>
        <w:rFonts w:ascii="Wingdings" w:hAnsi="Wingdings" w:hint="default"/>
      </w:rPr>
    </w:lvl>
    <w:lvl w:ilvl="3" w:tplc="04090001" w:tentative="1">
      <w:start w:val="1"/>
      <w:numFmt w:val="bullet"/>
      <w:lvlText w:val=""/>
      <w:lvlJc w:val="left"/>
      <w:pPr>
        <w:ind w:left="2548" w:hanging="360"/>
      </w:pPr>
      <w:rPr>
        <w:rFonts w:ascii="Symbol" w:hAnsi="Symbol" w:hint="default"/>
      </w:rPr>
    </w:lvl>
    <w:lvl w:ilvl="4" w:tplc="04090003" w:tentative="1">
      <w:start w:val="1"/>
      <w:numFmt w:val="bullet"/>
      <w:lvlText w:val="o"/>
      <w:lvlJc w:val="left"/>
      <w:pPr>
        <w:ind w:left="3268" w:hanging="360"/>
      </w:pPr>
      <w:rPr>
        <w:rFonts w:ascii="Courier New" w:hAnsi="Courier New" w:cs="Courier New" w:hint="default"/>
      </w:rPr>
    </w:lvl>
    <w:lvl w:ilvl="5" w:tplc="04090005" w:tentative="1">
      <w:start w:val="1"/>
      <w:numFmt w:val="bullet"/>
      <w:lvlText w:val=""/>
      <w:lvlJc w:val="left"/>
      <w:pPr>
        <w:ind w:left="3988" w:hanging="360"/>
      </w:pPr>
      <w:rPr>
        <w:rFonts w:ascii="Wingdings" w:hAnsi="Wingdings" w:hint="default"/>
      </w:rPr>
    </w:lvl>
    <w:lvl w:ilvl="6" w:tplc="04090001" w:tentative="1">
      <w:start w:val="1"/>
      <w:numFmt w:val="bullet"/>
      <w:lvlText w:val=""/>
      <w:lvlJc w:val="left"/>
      <w:pPr>
        <w:ind w:left="4708" w:hanging="360"/>
      </w:pPr>
      <w:rPr>
        <w:rFonts w:ascii="Symbol" w:hAnsi="Symbol" w:hint="default"/>
      </w:rPr>
    </w:lvl>
    <w:lvl w:ilvl="7" w:tplc="04090003" w:tentative="1">
      <w:start w:val="1"/>
      <w:numFmt w:val="bullet"/>
      <w:lvlText w:val="o"/>
      <w:lvlJc w:val="left"/>
      <w:pPr>
        <w:ind w:left="5428" w:hanging="360"/>
      </w:pPr>
      <w:rPr>
        <w:rFonts w:ascii="Courier New" w:hAnsi="Courier New" w:cs="Courier New" w:hint="default"/>
      </w:rPr>
    </w:lvl>
    <w:lvl w:ilvl="8" w:tplc="04090005" w:tentative="1">
      <w:start w:val="1"/>
      <w:numFmt w:val="bullet"/>
      <w:lvlText w:val=""/>
      <w:lvlJc w:val="left"/>
      <w:pPr>
        <w:ind w:left="6148" w:hanging="360"/>
      </w:pPr>
      <w:rPr>
        <w:rFonts w:ascii="Wingdings" w:hAnsi="Wingdings" w:hint="default"/>
      </w:rPr>
    </w:lvl>
  </w:abstractNum>
  <w:num w:numId="1">
    <w:abstractNumId w:val="33"/>
  </w:num>
  <w:num w:numId="2">
    <w:abstractNumId w:val="39"/>
  </w:num>
  <w:num w:numId="3">
    <w:abstractNumId w:val="26"/>
  </w:num>
  <w:num w:numId="4">
    <w:abstractNumId w:val="11"/>
    <w:lvlOverride w:ilvl="0"/>
    <w:lvlOverride w:ilvl="1"/>
    <w:lvlOverride w:ilvl="2"/>
    <w:lvlOverride w:ilvl="3"/>
    <w:lvlOverride w:ilvl="4"/>
    <w:lvlOverride w:ilvl="5"/>
    <w:lvlOverride w:ilvl="6"/>
    <w:lvlOverride w:ilvl="7"/>
    <w:lvlOverride w:ilvl="8"/>
  </w:num>
  <w:num w:numId="5">
    <w:abstractNumId w:val="34"/>
    <w:lvlOverride w:ilvl="0"/>
    <w:lvlOverride w:ilvl="1"/>
    <w:lvlOverride w:ilvl="2"/>
    <w:lvlOverride w:ilvl="3"/>
    <w:lvlOverride w:ilvl="4"/>
    <w:lvlOverride w:ilvl="5"/>
    <w:lvlOverride w:ilvl="6"/>
    <w:lvlOverride w:ilvl="7"/>
    <w:lvlOverride w:ilvl="8"/>
  </w:num>
  <w:num w:numId="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lvlOverride w:ilvl="2"/>
    <w:lvlOverride w:ilvl="3"/>
    <w:lvlOverride w:ilvl="4"/>
    <w:lvlOverride w:ilvl="5"/>
    <w:lvlOverride w:ilvl="6"/>
    <w:lvlOverride w:ilvl="7"/>
    <w:lvlOverride w:ilvl="8"/>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lvlOverride w:ilvl="2"/>
    <w:lvlOverride w:ilvl="3"/>
    <w:lvlOverride w:ilvl="4"/>
    <w:lvlOverride w:ilvl="5"/>
    <w:lvlOverride w:ilvl="6"/>
    <w:lvlOverride w:ilvl="7"/>
    <w:lvlOverride w:ilvl="8"/>
  </w:num>
  <w:num w:numId="12">
    <w:abstractNumId w:val="32"/>
    <w:lvlOverride w:ilvl="0"/>
    <w:lvlOverride w:ilvl="1"/>
    <w:lvlOverride w:ilvl="2"/>
    <w:lvlOverride w:ilvl="3"/>
    <w:lvlOverride w:ilvl="4"/>
    <w:lvlOverride w:ilvl="5"/>
    <w:lvlOverride w:ilvl="6"/>
    <w:lvlOverride w:ilvl="7"/>
    <w:lvlOverride w:ilvl="8"/>
  </w:num>
  <w:num w:numId="13">
    <w:abstractNumId w:val="15"/>
  </w:num>
  <w:num w:numId="14">
    <w:abstractNumId w:val="30"/>
  </w:num>
  <w:num w:numId="15">
    <w:abstractNumId w:val="18"/>
  </w:num>
  <w:num w:numId="16">
    <w:abstractNumId w:val="5"/>
  </w:num>
  <w:num w:numId="17">
    <w:abstractNumId w:val="29"/>
  </w:num>
  <w:num w:numId="18">
    <w:abstractNumId w:val="13"/>
  </w:num>
  <w:num w:numId="19">
    <w:abstractNumId w:val="10"/>
  </w:num>
  <w:num w:numId="20">
    <w:abstractNumId w:val="17"/>
  </w:num>
  <w:num w:numId="21">
    <w:abstractNumId w:val="23"/>
  </w:num>
  <w:num w:numId="22">
    <w:abstractNumId w:val="21"/>
  </w:num>
  <w:num w:numId="23">
    <w:abstractNumId w:val="14"/>
  </w:num>
  <w:num w:numId="24">
    <w:abstractNumId w:val="22"/>
  </w:num>
  <w:num w:numId="25">
    <w:abstractNumId w:val="20"/>
  </w:num>
  <w:num w:numId="26">
    <w:abstractNumId w:val="38"/>
  </w:num>
  <w:num w:numId="27">
    <w:abstractNumId w:val="36"/>
  </w:num>
  <w:num w:numId="28">
    <w:abstractNumId w:val="6"/>
  </w:num>
  <w:num w:numId="29">
    <w:abstractNumId w:val="8"/>
  </w:num>
  <w:num w:numId="30">
    <w:abstractNumId w:val="24"/>
  </w:num>
  <w:num w:numId="31">
    <w:abstractNumId w:val="35"/>
  </w:num>
  <w:num w:numId="32">
    <w:abstractNumId w:val="3"/>
  </w:num>
  <w:num w:numId="33">
    <w:abstractNumId w:val="19"/>
  </w:num>
  <w:num w:numId="34">
    <w:abstractNumId w:val="2"/>
  </w:num>
  <w:num w:numId="35">
    <w:abstractNumId w:val="40"/>
  </w:num>
  <w:num w:numId="36">
    <w:abstractNumId w:val="25"/>
  </w:num>
  <w:num w:numId="37">
    <w:abstractNumId w:val="37"/>
  </w:num>
  <w:num w:numId="38">
    <w:abstractNumId w:val="1"/>
  </w:num>
  <w:num w:numId="39">
    <w:abstractNumId w:val="7"/>
  </w:num>
  <w:num w:numId="40">
    <w:abstractNumId w:val="27"/>
  </w:num>
  <w:num w:numId="41">
    <w:abstractNumId w:val="12"/>
  </w:num>
  <w:num w:numId="42">
    <w:abstractNumId w:val="28"/>
  </w:num>
  <w:num w:numId="43">
    <w:abstractNumId w:val="0"/>
  </w:num>
  <w:num w:numId="44">
    <w:abstractNumId w:val="1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F1"/>
    <w:rsid w:val="00131C6C"/>
    <w:rsid w:val="00270E6A"/>
    <w:rsid w:val="002959BC"/>
    <w:rsid w:val="003E7AF1"/>
    <w:rsid w:val="0041332D"/>
    <w:rsid w:val="00565276"/>
    <w:rsid w:val="005C6D15"/>
    <w:rsid w:val="00E214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DA7D1"/>
  <w15:chartTrackingRefBased/>
  <w15:docId w15:val="{D6A557DC-E992-4ECA-BFBD-9CA12A8EF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AF1"/>
    <w:pPr>
      <w:bidi/>
      <w:spacing w:after="0" w:line="240" w:lineRule="auto"/>
    </w:pPr>
    <w:rPr>
      <w:rFonts w:ascii="Times New Roman" w:eastAsia="Times New Roman" w:hAnsi="Times New Roman" w:cs="Traditional Arabic"/>
      <w:noProof/>
      <w:sz w:val="20"/>
      <w:szCs w:val="20"/>
    </w:rPr>
  </w:style>
  <w:style w:type="paragraph" w:styleId="Heading1">
    <w:name w:val="heading 1"/>
    <w:basedOn w:val="Normal"/>
    <w:next w:val="Normal"/>
    <w:link w:val="Heading1Char"/>
    <w:uiPriority w:val="9"/>
    <w:qFormat/>
    <w:rsid w:val="002959BC"/>
    <w:pPr>
      <w:keepNext/>
      <w:keepLines/>
      <w:bidi w:val="0"/>
      <w:spacing w:before="480" w:line="276" w:lineRule="auto"/>
      <w:jc w:val="right"/>
      <w:outlineLvl w:val="0"/>
    </w:pPr>
    <w:rPr>
      <w:rFonts w:ascii="Arial" w:eastAsia="Arial" w:hAnsi="Arial" w:cs="Times New Roman"/>
      <w:b/>
      <w:bCs/>
      <w:noProof w:val="0"/>
      <w:color w:val="2E74B5" w:themeColor="accent1" w:themeShade="BF"/>
      <w:sz w:val="28"/>
      <w:szCs w:val="28"/>
    </w:rPr>
  </w:style>
  <w:style w:type="paragraph" w:styleId="Heading2">
    <w:name w:val="heading 2"/>
    <w:basedOn w:val="Normal"/>
    <w:next w:val="Normal"/>
    <w:link w:val="Heading2Char"/>
    <w:uiPriority w:val="9"/>
    <w:unhideWhenUsed/>
    <w:qFormat/>
    <w:rsid w:val="002959BC"/>
    <w:pPr>
      <w:keepNext/>
      <w:keepLines/>
      <w:bidi w:val="0"/>
      <w:spacing w:before="200" w:line="276" w:lineRule="auto"/>
      <w:jc w:val="right"/>
      <w:outlineLvl w:val="1"/>
    </w:pPr>
    <w:rPr>
      <w:rFonts w:ascii="Arial" w:eastAsia="Arial" w:hAnsi="Arial" w:cs="Times New Roman"/>
      <w:b/>
      <w:bCs/>
      <w:noProof w:val="0"/>
      <w:color w:val="5B9BD5" w:themeColor="accent1"/>
      <w:sz w:val="26"/>
      <w:szCs w:val="26"/>
    </w:rPr>
  </w:style>
  <w:style w:type="paragraph" w:styleId="Heading3">
    <w:name w:val="heading 3"/>
    <w:basedOn w:val="Normal"/>
    <w:next w:val="Normal"/>
    <w:link w:val="Heading3Char"/>
    <w:uiPriority w:val="9"/>
    <w:semiHidden/>
    <w:unhideWhenUsed/>
    <w:qFormat/>
    <w:rsid w:val="002959BC"/>
    <w:pPr>
      <w:keepNext/>
      <w:keepLines/>
      <w:bidi w:val="0"/>
      <w:spacing w:before="200" w:line="276" w:lineRule="auto"/>
      <w:jc w:val="right"/>
      <w:outlineLvl w:val="2"/>
    </w:pPr>
    <w:rPr>
      <w:rFonts w:ascii="Arial" w:eastAsia="Arial" w:hAnsi="Arial" w:cs="Times New Roman"/>
      <w:b/>
      <w:bCs/>
      <w:noProof w:val="0"/>
      <w:color w:val="5B9BD5" w:themeColor="accent1"/>
      <w:sz w:val="22"/>
      <w:szCs w:val="22"/>
    </w:rPr>
  </w:style>
  <w:style w:type="paragraph" w:styleId="Heading4">
    <w:name w:val="heading 4"/>
    <w:basedOn w:val="Normal"/>
    <w:link w:val="Heading4Char"/>
    <w:uiPriority w:val="9"/>
    <w:qFormat/>
    <w:rsid w:val="002959BC"/>
    <w:pPr>
      <w:bidi w:val="0"/>
      <w:spacing w:before="100" w:beforeAutospacing="1" w:after="100" w:afterAutospacing="1"/>
      <w:jc w:val="right"/>
      <w:outlineLvl w:val="3"/>
    </w:pPr>
    <w:rPr>
      <w:rFonts w:cs="Times New Roman"/>
      <w:b/>
      <w:bCs/>
      <w:noProof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E7AF1"/>
    <w:pPr>
      <w:tabs>
        <w:tab w:val="center" w:pos="4153"/>
        <w:tab w:val="right" w:pos="8306"/>
      </w:tabs>
    </w:pPr>
  </w:style>
  <w:style w:type="character" w:customStyle="1" w:styleId="FooterChar">
    <w:name w:val="Footer Char"/>
    <w:basedOn w:val="DefaultParagraphFont"/>
    <w:link w:val="Footer"/>
    <w:uiPriority w:val="99"/>
    <w:rsid w:val="003E7AF1"/>
    <w:rPr>
      <w:rFonts w:ascii="Times New Roman" w:eastAsia="Times New Roman" w:hAnsi="Times New Roman" w:cs="Traditional Arabic"/>
      <w:noProof/>
      <w:sz w:val="20"/>
      <w:szCs w:val="20"/>
    </w:rPr>
  </w:style>
  <w:style w:type="character" w:styleId="PageNumber">
    <w:name w:val="page number"/>
    <w:basedOn w:val="DefaultParagraphFont"/>
    <w:uiPriority w:val="99"/>
    <w:semiHidden/>
    <w:rsid w:val="003E7AF1"/>
  </w:style>
  <w:style w:type="paragraph" w:styleId="FootnoteText">
    <w:name w:val="footnote text"/>
    <w:basedOn w:val="Normal"/>
    <w:link w:val="FootnoteTextChar"/>
    <w:uiPriority w:val="99"/>
    <w:qFormat/>
    <w:rsid w:val="003E7AF1"/>
  </w:style>
  <w:style w:type="character" w:customStyle="1" w:styleId="FootnoteTextChar">
    <w:name w:val="Footnote Text Char"/>
    <w:basedOn w:val="DefaultParagraphFont"/>
    <w:link w:val="FootnoteText"/>
    <w:uiPriority w:val="99"/>
    <w:rsid w:val="003E7AF1"/>
    <w:rPr>
      <w:rFonts w:ascii="Times New Roman" w:eastAsia="Times New Roman" w:hAnsi="Times New Roman" w:cs="Traditional Arabic"/>
      <w:noProof/>
      <w:sz w:val="20"/>
      <w:szCs w:val="20"/>
    </w:rPr>
  </w:style>
  <w:style w:type="paragraph" w:styleId="Header">
    <w:name w:val="header"/>
    <w:basedOn w:val="Normal"/>
    <w:link w:val="HeaderChar"/>
    <w:uiPriority w:val="99"/>
    <w:rsid w:val="003E7AF1"/>
    <w:pPr>
      <w:tabs>
        <w:tab w:val="center" w:pos="4153"/>
        <w:tab w:val="right" w:pos="8306"/>
      </w:tabs>
    </w:pPr>
  </w:style>
  <w:style w:type="character" w:customStyle="1" w:styleId="HeaderChar">
    <w:name w:val="Header Char"/>
    <w:basedOn w:val="DefaultParagraphFont"/>
    <w:link w:val="Header"/>
    <w:uiPriority w:val="99"/>
    <w:rsid w:val="003E7AF1"/>
    <w:rPr>
      <w:rFonts w:ascii="Times New Roman" w:eastAsia="Times New Roman" w:hAnsi="Times New Roman" w:cs="Traditional Arabic"/>
      <w:noProof/>
      <w:sz w:val="20"/>
      <w:szCs w:val="20"/>
    </w:rPr>
  </w:style>
  <w:style w:type="paragraph" w:styleId="ListParagraph">
    <w:name w:val="List Paragraph"/>
    <w:basedOn w:val="Normal"/>
    <w:uiPriority w:val="34"/>
    <w:qFormat/>
    <w:rsid w:val="003E7AF1"/>
    <w:pPr>
      <w:spacing w:after="200" w:line="276" w:lineRule="auto"/>
      <w:ind w:left="720"/>
      <w:contextualSpacing/>
    </w:pPr>
    <w:rPr>
      <w:rFonts w:ascii="Calibri" w:eastAsia="Calibri" w:hAnsi="Calibri" w:cs="Arial"/>
    </w:rPr>
  </w:style>
  <w:style w:type="table" w:styleId="TableGrid">
    <w:name w:val="Table Grid"/>
    <w:basedOn w:val="TableNormal"/>
    <w:uiPriority w:val="59"/>
    <w:rsid w:val="003E7AF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E7AF1"/>
    <w:rPr>
      <w:vertAlign w:val="superscript"/>
    </w:rPr>
  </w:style>
  <w:style w:type="table" w:customStyle="1" w:styleId="a">
    <w:name w:val="جدول عادي"/>
    <w:uiPriority w:val="99"/>
    <w:semiHidden/>
    <w:rsid w:val="003E7AF1"/>
    <w:pPr>
      <w:spacing w:after="0" w:line="240" w:lineRule="auto"/>
    </w:pPr>
    <w:rPr>
      <w:rFonts w:ascii="Times New Roman" w:eastAsia="Times New Roman" w:hAnsi="Times New Roman" w:cs="Traditional Arabic"/>
      <w:sz w:val="20"/>
      <w:szCs w:val="20"/>
    </w:rPr>
    <w:tblPr>
      <w:tblCellMar>
        <w:top w:w="0" w:type="dxa"/>
        <w:left w:w="108" w:type="dxa"/>
        <w:bottom w:w="0" w:type="dxa"/>
        <w:right w:w="108" w:type="dxa"/>
      </w:tblCellMar>
    </w:tblPr>
  </w:style>
  <w:style w:type="table" w:customStyle="1" w:styleId="a0">
    <w:name w:val="شبكة جدول"/>
    <w:basedOn w:val="TableNormal"/>
    <w:uiPriority w:val="59"/>
    <w:rsid w:val="003E7AF1"/>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E7AF1"/>
    <w:rPr>
      <w:color w:val="0000FF"/>
      <w:u w:val="single"/>
    </w:rPr>
  </w:style>
  <w:style w:type="character" w:customStyle="1" w:styleId="Heading1Char">
    <w:name w:val="Heading 1 Char"/>
    <w:basedOn w:val="DefaultParagraphFont"/>
    <w:link w:val="Heading1"/>
    <w:uiPriority w:val="9"/>
    <w:rsid w:val="002959BC"/>
    <w:rPr>
      <w:rFonts w:ascii="Arial" w:eastAsia="Arial" w:hAnsi="Arial" w:cs="Times New Roman"/>
      <w:b/>
      <w:bCs/>
      <w:color w:val="2E74B5" w:themeColor="accent1" w:themeShade="BF"/>
      <w:sz w:val="28"/>
      <w:szCs w:val="28"/>
    </w:rPr>
  </w:style>
  <w:style w:type="character" w:customStyle="1" w:styleId="Heading2Char">
    <w:name w:val="Heading 2 Char"/>
    <w:basedOn w:val="DefaultParagraphFont"/>
    <w:link w:val="Heading2"/>
    <w:uiPriority w:val="9"/>
    <w:rsid w:val="002959BC"/>
    <w:rPr>
      <w:rFonts w:ascii="Arial" w:eastAsia="Arial" w:hAnsi="Arial" w:cs="Times New Roman"/>
      <w:b/>
      <w:bCs/>
      <w:color w:val="5B9BD5" w:themeColor="accent1"/>
      <w:sz w:val="26"/>
      <w:szCs w:val="26"/>
    </w:rPr>
  </w:style>
  <w:style w:type="character" w:customStyle="1" w:styleId="Heading3Char">
    <w:name w:val="Heading 3 Char"/>
    <w:basedOn w:val="DefaultParagraphFont"/>
    <w:link w:val="Heading3"/>
    <w:uiPriority w:val="9"/>
    <w:semiHidden/>
    <w:rsid w:val="002959BC"/>
    <w:rPr>
      <w:rFonts w:ascii="Arial" w:eastAsia="Arial" w:hAnsi="Arial" w:cs="Times New Roman"/>
      <w:b/>
      <w:bCs/>
      <w:color w:val="5B9BD5" w:themeColor="accent1"/>
    </w:rPr>
  </w:style>
  <w:style w:type="character" w:customStyle="1" w:styleId="Heading4Char">
    <w:name w:val="Heading 4 Char"/>
    <w:basedOn w:val="DefaultParagraphFont"/>
    <w:link w:val="Heading4"/>
    <w:uiPriority w:val="9"/>
    <w:rsid w:val="002959BC"/>
    <w:rPr>
      <w:rFonts w:ascii="Times New Roman" w:eastAsia="Times New Roman" w:hAnsi="Times New Roman" w:cs="Times New Roman"/>
      <w:b/>
      <w:bCs/>
      <w:sz w:val="24"/>
      <w:szCs w:val="24"/>
    </w:rPr>
  </w:style>
  <w:style w:type="paragraph" w:styleId="NormalWeb">
    <w:name w:val="Normal (Web)"/>
    <w:basedOn w:val="Normal"/>
    <w:uiPriority w:val="99"/>
    <w:unhideWhenUsed/>
    <w:rsid w:val="002959BC"/>
    <w:pPr>
      <w:bidi w:val="0"/>
      <w:spacing w:before="100" w:beforeAutospacing="1" w:after="100" w:afterAutospacing="1"/>
      <w:jc w:val="right"/>
    </w:pPr>
    <w:rPr>
      <w:rFonts w:cs="Times New Roman"/>
      <w:noProof w:val="0"/>
      <w:sz w:val="24"/>
      <w:szCs w:val="24"/>
    </w:rPr>
  </w:style>
  <w:style w:type="paragraph" w:styleId="BalloonText">
    <w:name w:val="Balloon Text"/>
    <w:basedOn w:val="Normal"/>
    <w:link w:val="BalloonTextChar"/>
    <w:uiPriority w:val="99"/>
    <w:semiHidden/>
    <w:unhideWhenUsed/>
    <w:rsid w:val="002959BC"/>
    <w:pPr>
      <w:bidi w:val="0"/>
      <w:jc w:val="right"/>
    </w:pPr>
    <w:rPr>
      <w:rFonts w:ascii="Tahoma" w:eastAsiaTheme="minorEastAsia" w:hAnsi="Tahoma" w:cs="Tahoma"/>
      <w:noProof w:val="0"/>
      <w:sz w:val="16"/>
      <w:szCs w:val="16"/>
    </w:rPr>
  </w:style>
  <w:style w:type="character" w:customStyle="1" w:styleId="BalloonTextChar">
    <w:name w:val="Balloon Text Char"/>
    <w:basedOn w:val="DefaultParagraphFont"/>
    <w:link w:val="BalloonText"/>
    <w:uiPriority w:val="99"/>
    <w:semiHidden/>
    <w:rsid w:val="002959BC"/>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2959BC"/>
    <w:rPr>
      <w:sz w:val="16"/>
      <w:szCs w:val="16"/>
    </w:rPr>
  </w:style>
  <w:style w:type="paragraph" w:styleId="CommentText">
    <w:name w:val="annotation text"/>
    <w:basedOn w:val="Normal"/>
    <w:link w:val="CommentTextChar"/>
    <w:uiPriority w:val="99"/>
    <w:unhideWhenUsed/>
    <w:rsid w:val="002959BC"/>
    <w:pPr>
      <w:bidi w:val="0"/>
      <w:spacing w:after="200"/>
      <w:jc w:val="right"/>
    </w:pPr>
    <w:rPr>
      <w:rFonts w:asciiTheme="minorHAnsi" w:eastAsiaTheme="minorEastAsia" w:hAnsiTheme="minorHAnsi" w:cstheme="minorBidi"/>
      <w:noProof w:val="0"/>
    </w:rPr>
  </w:style>
  <w:style w:type="character" w:customStyle="1" w:styleId="CommentTextChar">
    <w:name w:val="Comment Text Char"/>
    <w:basedOn w:val="DefaultParagraphFont"/>
    <w:link w:val="CommentText"/>
    <w:uiPriority w:val="99"/>
    <w:rsid w:val="002959B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2959BC"/>
    <w:rPr>
      <w:b/>
      <w:bCs/>
    </w:rPr>
  </w:style>
  <w:style w:type="character" w:customStyle="1" w:styleId="CommentSubjectChar">
    <w:name w:val="Comment Subject Char"/>
    <w:basedOn w:val="CommentTextChar"/>
    <w:link w:val="CommentSubject"/>
    <w:uiPriority w:val="99"/>
    <w:semiHidden/>
    <w:rsid w:val="002959BC"/>
    <w:rPr>
      <w:rFonts w:eastAsiaTheme="minorEastAsia"/>
      <w:b/>
      <w:bCs/>
      <w:sz w:val="20"/>
      <w:szCs w:val="20"/>
    </w:rPr>
  </w:style>
  <w:style w:type="paragraph" w:styleId="Revision">
    <w:name w:val="Revision"/>
    <w:hidden/>
    <w:uiPriority w:val="99"/>
    <w:semiHidden/>
    <w:rsid w:val="002959BC"/>
    <w:pPr>
      <w:spacing w:after="0" w:line="240" w:lineRule="auto"/>
    </w:pPr>
    <w:rPr>
      <w:rFonts w:eastAsiaTheme="minorEastAsia"/>
    </w:rPr>
  </w:style>
  <w:style w:type="character" w:customStyle="1" w:styleId="apple-style-span">
    <w:name w:val="apple-style-span"/>
    <w:basedOn w:val="DefaultParagraphFont"/>
    <w:rsid w:val="002959BC"/>
  </w:style>
  <w:style w:type="character" w:customStyle="1" w:styleId="lblblue">
    <w:name w:val="lblblue"/>
    <w:basedOn w:val="DefaultParagraphFont"/>
    <w:rsid w:val="002959BC"/>
  </w:style>
  <w:style w:type="character" w:customStyle="1" w:styleId="alllblsblk">
    <w:name w:val="alllbls_blk"/>
    <w:basedOn w:val="DefaultParagraphFont"/>
    <w:rsid w:val="002959BC"/>
  </w:style>
  <w:style w:type="character" w:customStyle="1" w:styleId="apple-converted-space">
    <w:name w:val="apple-converted-space"/>
    <w:basedOn w:val="DefaultParagraphFont"/>
    <w:rsid w:val="002959BC"/>
  </w:style>
  <w:style w:type="paragraph" w:styleId="HTMLPreformatted">
    <w:name w:val="HTML Preformatted"/>
    <w:basedOn w:val="Normal"/>
    <w:link w:val="HTMLPreformattedChar"/>
    <w:semiHidden/>
    <w:unhideWhenUsed/>
    <w:rsid w:val="00295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right"/>
    </w:pPr>
    <w:rPr>
      <w:rFonts w:ascii="Courier New" w:hAnsi="Courier New" w:cs="Courier New"/>
      <w:noProof w:val="0"/>
    </w:rPr>
  </w:style>
  <w:style w:type="character" w:customStyle="1" w:styleId="HTMLPreformattedChar">
    <w:name w:val="HTML Preformatted Char"/>
    <w:basedOn w:val="DefaultParagraphFont"/>
    <w:link w:val="HTMLPreformatted"/>
    <w:semiHidden/>
    <w:rsid w:val="002959BC"/>
    <w:rPr>
      <w:rFonts w:ascii="Courier New" w:eastAsia="Times New Roman" w:hAnsi="Courier New" w:cs="Courier New"/>
      <w:sz w:val="20"/>
      <w:szCs w:val="20"/>
    </w:rPr>
  </w:style>
  <w:style w:type="paragraph" w:styleId="NoSpacing">
    <w:name w:val="No Spacing"/>
    <w:link w:val="NoSpacingChar"/>
    <w:uiPriority w:val="1"/>
    <w:qFormat/>
    <w:rsid w:val="002959BC"/>
    <w:pPr>
      <w:spacing w:after="0" w:line="240" w:lineRule="auto"/>
    </w:pPr>
    <w:rPr>
      <w:rFonts w:eastAsiaTheme="minorEastAsia"/>
    </w:rPr>
  </w:style>
  <w:style w:type="character" w:customStyle="1" w:styleId="NoSpacingChar">
    <w:name w:val="No Spacing Char"/>
    <w:basedOn w:val="DefaultParagraphFont"/>
    <w:link w:val="NoSpacing"/>
    <w:uiPriority w:val="1"/>
    <w:rsid w:val="002959BC"/>
    <w:rPr>
      <w:rFonts w:eastAsiaTheme="minorEastAsia"/>
    </w:rPr>
  </w:style>
  <w:style w:type="character" w:customStyle="1" w:styleId="5yl5">
    <w:name w:val="_5yl5"/>
    <w:basedOn w:val="DefaultParagraphFont"/>
    <w:rsid w:val="002959BC"/>
  </w:style>
  <w:style w:type="character" w:styleId="EndnoteReference">
    <w:name w:val="endnote reference"/>
    <w:basedOn w:val="DefaultParagraphFont"/>
    <w:uiPriority w:val="99"/>
    <w:semiHidden/>
    <w:unhideWhenUsed/>
    <w:rsid w:val="002959BC"/>
    <w:rPr>
      <w:vertAlign w:val="superscript"/>
    </w:rPr>
  </w:style>
  <w:style w:type="character" w:styleId="Strong">
    <w:name w:val="Strong"/>
    <w:basedOn w:val="DefaultParagraphFont"/>
    <w:uiPriority w:val="22"/>
    <w:qFormat/>
    <w:rsid w:val="002959BC"/>
    <w:rPr>
      <w:b/>
      <w:bCs/>
    </w:rPr>
  </w:style>
  <w:style w:type="paragraph" w:customStyle="1" w:styleId="a1">
    <w:name w:val="a"/>
    <w:basedOn w:val="Normal"/>
    <w:rsid w:val="002959BC"/>
    <w:pPr>
      <w:bidi w:val="0"/>
      <w:spacing w:after="360" w:line="360" w:lineRule="atLeast"/>
      <w:jc w:val="right"/>
    </w:pPr>
    <w:rPr>
      <w:rFonts w:cs="Times New Roman"/>
      <w:noProof w:val="0"/>
      <w:sz w:val="24"/>
      <w:szCs w:val="24"/>
    </w:rPr>
  </w:style>
  <w:style w:type="character" w:customStyle="1" w:styleId="grame">
    <w:name w:val="grame"/>
    <w:basedOn w:val="DefaultParagraphFont"/>
    <w:rsid w:val="002959BC"/>
  </w:style>
  <w:style w:type="character" w:customStyle="1" w:styleId="style2">
    <w:name w:val="style2"/>
    <w:basedOn w:val="DefaultParagraphFont"/>
    <w:rsid w:val="002959BC"/>
  </w:style>
  <w:style w:type="character" w:customStyle="1" w:styleId="style1">
    <w:name w:val="style1"/>
    <w:basedOn w:val="DefaultParagraphFont"/>
    <w:rsid w:val="002959BC"/>
  </w:style>
  <w:style w:type="character" w:customStyle="1" w:styleId="insideheader">
    <w:name w:val="insideheader"/>
    <w:basedOn w:val="DefaultParagraphFont"/>
    <w:rsid w:val="002959BC"/>
  </w:style>
  <w:style w:type="paragraph" w:styleId="Bibliography">
    <w:name w:val="Bibliography"/>
    <w:basedOn w:val="Normal"/>
    <w:next w:val="Normal"/>
    <w:uiPriority w:val="37"/>
    <w:unhideWhenUsed/>
    <w:rsid w:val="002959BC"/>
    <w:pPr>
      <w:bidi w:val="0"/>
      <w:spacing w:after="200" w:line="276" w:lineRule="auto"/>
      <w:jc w:val="right"/>
    </w:pPr>
    <w:rPr>
      <w:rFonts w:asciiTheme="minorHAnsi" w:eastAsiaTheme="minorEastAsia" w:hAnsiTheme="minorHAnsi" w:cstheme="minorBidi"/>
      <w:noProof w:val="0"/>
      <w:sz w:val="22"/>
      <w:szCs w:val="22"/>
    </w:rPr>
  </w:style>
  <w:style w:type="character" w:customStyle="1" w:styleId="texttitlearialbold26pxcc0000">
    <w:name w:val="texttitle_arial_bold_26px_cc0000"/>
    <w:basedOn w:val="DefaultParagraphFont"/>
    <w:rsid w:val="002959BC"/>
  </w:style>
  <w:style w:type="paragraph" w:styleId="BodyTextIndent">
    <w:name w:val="Body Text Indent"/>
    <w:basedOn w:val="Normal"/>
    <w:link w:val="BodyTextIndentChar"/>
    <w:uiPriority w:val="99"/>
    <w:unhideWhenUsed/>
    <w:rsid w:val="002959BC"/>
    <w:pPr>
      <w:bidi w:val="0"/>
      <w:spacing w:before="100" w:beforeAutospacing="1" w:after="100" w:afterAutospacing="1"/>
    </w:pPr>
    <w:rPr>
      <w:rFonts w:cs="Times New Roman"/>
      <w:noProof w:val="0"/>
      <w:sz w:val="24"/>
      <w:szCs w:val="24"/>
    </w:rPr>
  </w:style>
  <w:style w:type="character" w:customStyle="1" w:styleId="BodyTextIndentChar">
    <w:name w:val="Body Text Indent Char"/>
    <w:basedOn w:val="DefaultParagraphFont"/>
    <w:link w:val="BodyTextIndent"/>
    <w:uiPriority w:val="99"/>
    <w:rsid w:val="002959BC"/>
    <w:rPr>
      <w:rFonts w:ascii="Times New Roman" w:eastAsia="Times New Roman" w:hAnsi="Times New Roman" w:cs="Times New Roman"/>
      <w:sz w:val="24"/>
      <w:szCs w:val="24"/>
    </w:rPr>
  </w:style>
  <w:style w:type="paragraph" w:customStyle="1" w:styleId="c">
    <w:name w:val="c"/>
    <w:basedOn w:val="Normal"/>
    <w:link w:val="cChar"/>
    <w:qFormat/>
    <w:rsid w:val="002959BC"/>
    <w:pPr>
      <w:spacing w:line="480" w:lineRule="atLeast"/>
      <w:ind w:firstLine="618"/>
      <w:jc w:val="lowKashida"/>
    </w:pPr>
    <w:rPr>
      <w:rFonts w:asciiTheme="minorHAnsi" w:eastAsiaTheme="minorEastAsia" w:hAnsiTheme="minorHAnsi" w:cstheme="minorBidi"/>
      <w:noProof w:val="0"/>
      <w:sz w:val="22"/>
      <w:szCs w:val="22"/>
      <w:vertAlign w:val="superscript"/>
    </w:rPr>
  </w:style>
  <w:style w:type="character" w:customStyle="1" w:styleId="cChar">
    <w:name w:val="c Char"/>
    <w:basedOn w:val="DefaultParagraphFont"/>
    <w:link w:val="c"/>
    <w:rsid w:val="002959BC"/>
    <w:rPr>
      <w:rFonts w:eastAsiaTheme="minorEastAsia"/>
      <w:vertAlign w:val="superscript"/>
    </w:rPr>
  </w:style>
  <w:style w:type="paragraph" w:customStyle="1" w:styleId="a2">
    <w:name w:val="ه"/>
    <w:basedOn w:val="FootnoteText"/>
    <w:qFormat/>
    <w:rsid w:val="002959BC"/>
    <w:pPr>
      <w:spacing w:before="120" w:after="120" w:line="228" w:lineRule="auto"/>
      <w:ind w:left="198" w:hanging="198"/>
      <w:jc w:val="lowKashida"/>
    </w:pPr>
    <w:rPr>
      <w:rFonts w:asciiTheme="minorBidi" w:eastAsiaTheme="minorEastAsia" w:hAnsiTheme="minorBidi" w:cstheme="minorBidi"/>
      <w:noProof w:val="0"/>
      <w:sz w:val="23"/>
      <w:szCs w:val="23"/>
      <w:lang w:bidi="ar-EG"/>
    </w:rPr>
  </w:style>
  <w:style w:type="paragraph" w:customStyle="1" w:styleId="foot">
    <w:name w:val="foot"/>
    <w:basedOn w:val="a2"/>
    <w:qFormat/>
    <w:rsid w:val="002959BC"/>
  </w:style>
  <w:style w:type="paragraph" w:customStyle="1" w:styleId="Default">
    <w:name w:val="Default"/>
    <w:rsid w:val="002959BC"/>
    <w:pPr>
      <w:autoSpaceDE w:val="0"/>
      <w:autoSpaceDN w:val="0"/>
      <w:adjustRightInd w:val="0"/>
      <w:spacing w:after="0" w:line="240" w:lineRule="auto"/>
    </w:pPr>
    <w:rPr>
      <w:rFonts w:ascii="Cambria Math" w:eastAsia="Calibri" w:hAnsi="Cambria Math" w:cs="Cambria Math"/>
      <w:color w:val="000000"/>
      <w:sz w:val="24"/>
      <w:szCs w:val="24"/>
    </w:rPr>
  </w:style>
  <w:style w:type="character" w:customStyle="1" w:styleId="likebuttons">
    <w:name w:val="likebuttons"/>
    <w:basedOn w:val="DefaultParagraphFont"/>
    <w:rsid w:val="002959BC"/>
  </w:style>
  <w:style w:type="character" w:customStyle="1" w:styleId="post-date">
    <w:name w:val="post-date"/>
    <w:basedOn w:val="DefaultParagraphFont"/>
    <w:rsid w:val="002959BC"/>
  </w:style>
  <w:style w:type="character" w:styleId="PlaceholderText">
    <w:name w:val="Placeholder Text"/>
    <w:basedOn w:val="DefaultParagraphFont"/>
    <w:uiPriority w:val="99"/>
    <w:semiHidden/>
    <w:rsid w:val="002959BC"/>
    <w:rPr>
      <w:color w:val="808080"/>
    </w:rPr>
  </w:style>
  <w:style w:type="character" w:styleId="FollowedHyperlink">
    <w:name w:val="FollowedHyperlink"/>
    <w:basedOn w:val="DefaultParagraphFont"/>
    <w:uiPriority w:val="99"/>
    <w:semiHidden/>
    <w:unhideWhenUsed/>
    <w:rsid w:val="002959BC"/>
    <w:rPr>
      <w:color w:val="954F72" w:themeColor="followedHyperlink"/>
      <w:u w:val="single"/>
    </w:rPr>
  </w:style>
  <w:style w:type="character" w:customStyle="1" w:styleId="UnresolvedMention1">
    <w:name w:val="Unresolved Mention1"/>
    <w:basedOn w:val="DefaultParagraphFont"/>
    <w:uiPriority w:val="99"/>
    <w:semiHidden/>
    <w:unhideWhenUsed/>
    <w:rsid w:val="002959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929509">
      <w:bodyDiv w:val="1"/>
      <w:marLeft w:val="0"/>
      <w:marRight w:val="0"/>
      <w:marTop w:val="0"/>
      <w:marBottom w:val="0"/>
      <w:divBdr>
        <w:top w:val="none" w:sz="0" w:space="0" w:color="auto"/>
        <w:left w:val="none" w:sz="0" w:space="0" w:color="auto"/>
        <w:bottom w:val="none" w:sz="0" w:space="0" w:color="auto"/>
        <w:right w:val="none" w:sz="0" w:space="0" w:color="auto"/>
      </w:divBdr>
    </w:div>
    <w:div w:id="54207615">
      <w:bodyDiv w:val="1"/>
      <w:marLeft w:val="0"/>
      <w:marRight w:val="0"/>
      <w:marTop w:val="0"/>
      <w:marBottom w:val="0"/>
      <w:divBdr>
        <w:top w:val="none" w:sz="0" w:space="0" w:color="auto"/>
        <w:left w:val="none" w:sz="0" w:space="0" w:color="auto"/>
        <w:bottom w:val="none" w:sz="0" w:space="0" w:color="auto"/>
        <w:right w:val="none" w:sz="0" w:space="0" w:color="auto"/>
      </w:divBdr>
    </w:div>
    <w:div w:id="282083610">
      <w:bodyDiv w:val="1"/>
      <w:marLeft w:val="0"/>
      <w:marRight w:val="0"/>
      <w:marTop w:val="0"/>
      <w:marBottom w:val="0"/>
      <w:divBdr>
        <w:top w:val="none" w:sz="0" w:space="0" w:color="auto"/>
        <w:left w:val="none" w:sz="0" w:space="0" w:color="auto"/>
        <w:bottom w:val="none" w:sz="0" w:space="0" w:color="auto"/>
        <w:right w:val="none" w:sz="0" w:space="0" w:color="auto"/>
      </w:divBdr>
    </w:div>
    <w:div w:id="419060902">
      <w:bodyDiv w:val="1"/>
      <w:marLeft w:val="0"/>
      <w:marRight w:val="0"/>
      <w:marTop w:val="0"/>
      <w:marBottom w:val="0"/>
      <w:divBdr>
        <w:top w:val="none" w:sz="0" w:space="0" w:color="auto"/>
        <w:left w:val="none" w:sz="0" w:space="0" w:color="auto"/>
        <w:bottom w:val="none" w:sz="0" w:space="0" w:color="auto"/>
        <w:right w:val="none" w:sz="0" w:space="0" w:color="auto"/>
      </w:divBdr>
    </w:div>
    <w:div w:id="488792531">
      <w:bodyDiv w:val="1"/>
      <w:marLeft w:val="0"/>
      <w:marRight w:val="0"/>
      <w:marTop w:val="0"/>
      <w:marBottom w:val="0"/>
      <w:divBdr>
        <w:top w:val="none" w:sz="0" w:space="0" w:color="auto"/>
        <w:left w:val="none" w:sz="0" w:space="0" w:color="auto"/>
        <w:bottom w:val="none" w:sz="0" w:space="0" w:color="auto"/>
        <w:right w:val="none" w:sz="0" w:space="0" w:color="auto"/>
      </w:divBdr>
    </w:div>
    <w:div w:id="508912737">
      <w:bodyDiv w:val="1"/>
      <w:marLeft w:val="0"/>
      <w:marRight w:val="0"/>
      <w:marTop w:val="0"/>
      <w:marBottom w:val="0"/>
      <w:divBdr>
        <w:top w:val="none" w:sz="0" w:space="0" w:color="auto"/>
        <w:left w:val="none" w:sz="0" w:space="0" w:color="auto"/>
        <w:bottom w:val="none" w:sz="0" w:space="0" w:color="auto"/>
        <w:right w:val="none" w:sz="0" w:space="0" w:color="auto"/>
      </w:divBdr>
    </w:div>
    <w:div w:id="956180624">
      <w:bodyDiv w:val="1"/>
      <w:marLeft w:val="0"/>
      <w:marRight w:val="0"/>
      <w:marTop w:val="0"/>
      <w:marBottom w:val="0"/>
      <w:divBdr>
        <w:top w:val="none" w:sz="0" w:space="0" w:color="auto"/>
        <w:left w:val="none" w:sz="0" w:space="0" w:color="auto"/>
        <w:bottom w:val="none" w:sz="0" w:space="0" w:color="auto"/>
        <w:right w:val="none" w:sz="0" w:space="0" w:color="auto"/>
      </w:divBdr>
    </w:div>
    <w:div w:id="1428310453">
      <w:bodyDiv w:val="1"/>
      <w:marLeft w:val="0"/>
      <w:marRight w:val="0"/>
      <w:marTop w:val="0"/>
      <w:marBottom w:val="0"/>
      <w:divBdr>
        <w:top w:val="none" w:sz="0" w:space="0" w:color="auto"/>
        <w:left w:val="none" w:sz="0" w:space="0" w:color="auto"/>
        <w:bottom w:val="none" w:sz="0" w:space="0" w:color="auto"/>
        <w:right w:val="none" w:sz="0" w:space="0" w:color="auto"/>
      </w:divBdr>
    </w:div>
    <w:div w:id="1568033453">
      <w:bodyDiv w:val="1"/>
      <w:marLeft w:val="0"/>
      <w:marRight w:val="0"/>
      <w:marTop w:val="0"/>
      <w:marBottom w:val="0"/>
      <w:divBdr>
        <w:top w:val="none" w:sz="0" w:space="0" w:color="auto"/>
        <w:left w:val="none" w:sz="0" w:space="0" w:color="auto"/>
        <w:bottom w:val="none" w:sz="0" w:space="0" w:color="auto"/>
        <w:right w:val="none" w:sz="0" w:space="0" w:color="auto"/>
      </w:divBdr>
    </w:div>
    <w:div w:id="179682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header" Target="header2.xml"/><Relationship Id="rId26" Type="http://schemas.openxmlformats.org/officeDocument/2006/relationships/chart" Target="charts/chart16.xml"/><Relationship Id="rId39" Type="http://schemas.openxmlformats.org/officeDocument/2006/relationships/chart" Target="charts/chart25.xml"/><Relationship Id="rId21" Type="http://schemas.openxmlformats.org/officeDocument/2006/relationships/chart" Target="charts/chart11.xml"/><Relationship Id="rId34" Type="http://schemas.openxmlformats.org/officeDocument/2006/relationships/chart" Target="charts/chart20.xml"/><Relationship Id="rId42" Type="http://schemas.openxmlformats.org/officeDocument/2006/relationships/chart" Target="charts/chart28.xml"/><Relationship Id="rId47" Type="http://schemas.openxmlformats.org/officeDocument/2006/relationships/chart" Target="charts/chart32.xml"/><Relationship Id="rId50" Type="http://schemas.openxmlformats.org/officeDocument/2006/relationships/footer" Target="footer2.xml"/><Relationship Id="rId55" Type="http://schemas.openxmlformats.org/officeDocument/2006/relationships/header" Target="header4.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2.png"/><Relationship Id="rId29" Type="http://schemas.openxmlformats.org/officeDocument/2006/relationships/image" Target="media/image3.png"/><Relationship Id="rId11" Type="http://schemas.openxmlformats.org/officeDocument/2006/relationships/chart" Target="charts/chart4.xml"/><Relationship Id="rId24" Type="http://schemas.openxmlformats.org/officeDocument/2006/relationships/chart" Target="charts/chart14.xml"/><Relationship Id="rId32" Type="http://schemas.openxmlformats.org/officeDocument/2006/relationships/footer" Target="footer1.xml"/><Relationship Id="rId37" Type="http://schemas.openxmlformats.org/officeDocument/2006/relationships/chart" Target="charts/chart23.xml"/><Relationship Id="rId40" Type="http://schemas.openxmlformats.org/officeDocument/2006/relationships/chart" Target="charts/chart26.xml"/><Relationship Id="rId45" Type="http://schemas.openxmlformats.org/officeDocument/2006/relationships/chart" Target="charts/chart30.xml"/><Relationship Id="rId53" Type="http://schemas.openxmlformats.org/officeDocument/2006/relationships/hyperlink" Target="http://srv3.eulc.edu.eg/eulc_v5/libraries/start.aspx?fn=ApplySearch&amp;ScopeID=1.&amp;SearchText1=%d8%a7%d9%84%d9%85%d8%b3%d9%84%d9%85%d9%89%d8%8c+%d9%85%d9%89+%d9%85%d8%ad%d9%85%d8%af+%d8%b9%d8%a8%d8%af+%d8%a7%d9%84%d9%84%d9%87+%d8%b4%d8%ad%d8%a7%d8%aa%d8%a9.&amp;criteria1=2." TargetMode="External"/><Relationship Id="rId58" Type="http://schemas.openxmlformats.org/officeDocument/2006/relationships/hyperlink" Target="https://inp.edu.eg/Institute-of-National-Planning/Member/details/Prof---Khaled-Zakaria-Mohamed/506" TargetMode="External"/><Relationship Id="rId5" Type="http://schemas.openxmlformats.org/officeDocument/2006/relationships/footnotes" Target="footnotes.xml"/><Relationship Id="rId19" Type="http://schemas.openxmlformats.org/officeDocument/2006/relationships/chart" Target="charts/chart9.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19.xml"/><Relationship Id="rId35" Type="http://schemas.openxmlformats.org/officeDocument/2006/relationships/chart" Target="charts/chart21.xml"/><Relationship Id="rId43" Type="http://schemas.openxmlformats.org/officeDocument/2006/relationships/chart" Target="charts/chart29.xml"/><Relationship Id="rId48" Type="http://schemas.openxmlformats.org/officeDocument/2006/relationships/chart" Target="charts/chart33.xml"/><Relationship Id="rId56" Type="http://schemas.openxmlformats.org/officeDocument/2006/relationships/footer" Target="footer4.xml"/><Relationship Id="rId8" Type="http://schemas.openxmlformats.org/officeDocument/2006/relationships/chart" Target="charts/chart1.xml"/><Relationship Id="rId51" Type="http://schemas.openxmlformats.org/officeDocument/2006/relationships/hyperlink" Target="http://srv3.eulc.edu.eg/eulc_v5/libraries/start.aspx?fn=ApplySearch&amp;ScopeID=1.&amp;SearchText1=%d8%a7%d9%84%d9%85%d8%b3%d9%84%d9%85%d9%89%d8%8c+%d9%85%d9%89+%d9%85%d8%ad%d9%85%d8%af+%d8%b9%d8%a8%d8%af+%d8%a7%d9%84%d9%84%d9%87+%d8%b4%d8%ad%d8%a7%d8%aa%d8%a9.&amp;criteria1=2." TargetMode="External"/><Relationship Id="rId3" Type="http://schemas.openxmlformats.org/officeDocument/2006/relationships/settings" Target="settings.xml"/><Relationship Id="rId12" Type="http://schemas.openxmlformats.org/officeDocument/2006/relationships/chart" Target="charts/chart5.xml"/><Relationship Id="rId17" Type="http://schemas.openxmlformats.org/officeDocument/2006/relationships/header" Target="header1.xml"/><Relationship Id="rId25" Type="http://schemas.openxmlformats.org/officeDocument/2006/relationships/chart" Target="charts/chart15.xml"/><Relationship Id="rId33" Type="http://schemas.openxmlformats.org/officeDocument/2006/relationships/header" Target="header3.xml"/><Relationship Id="rId38" Type="http://schemas.openxmlformats.org/officeDocument/2006/relationships/chart" Target="charts/chart24.xml"/><Relationship Id="rId46" Type="http://schemas.openxmlformats.org/officeDocument/2006/relationships/chart" Target="charts/chart31.xml"/><Relationship Id="rId59" Type="http://schemas.openxmlformats.org/officeDocument/2006/relationships/fontTable" Target="fontTable.xml"/><Relationship Id="rId20" Type="http://schemas.openxmlformats.org/officeDocument/2006/relationships/chart" Target="charts/chart10.xml"/><Relationship Id="rId41" Type="http://schemas.openxmlformats.org/officeDocument/2006/relationships/chart" Target="charts/chart27.xml"/><Relationship Id="rId54"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8.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chart" Target="charts/chart22.xml"/><Relationship Id="rId49" Type="http://schemas.openxmlformats.org/officeDocument/2006/relationships/chart" Target="charts/chart34.xml"/><Relationship Id="rId57" Type="http://schemas.openxmlformats.org/officeDocument/2006/relationships/hyperlink" Target="https://data.albankaldawli.org/indicator/FP.CPI.TOTL?end=2017&amp;locations=EG&amp;start=1990" TargetMode="External"/><Relationship Id="rId10" Type="http://schemas.openxmlformats.org/officeDocument/2006/relationships/chart" Target="charts/chart3.xml"/><Relationship Id="rId31" Type="http://schemas.openxmlformats.org/officeDocument/2006/relationships/image" Target="media/image4.png"/><Relationship Id="rId44" Type="http://schemas.openxmlformats.org/officeDocument/2006/relationships/image" Target="media/image5.png"/><Relationship Id="rId52" Type="http://schemas.openxmlformats.org/officeDocument/2006/relationships/hyperlink" Target="http://srv3.eulc.edu.eg/eulc_v5/libraries/start.aspx?fn=ApplySearch&amp;ScopeID=1.&amp;SearchText1=%d8%af%d8%b1%d8%a7%d8%b3%d8%a9+%d8%a7%d9%82%d8%aa%d8%b5%d8%a7%d8%af%d9%8a%d8%a9+%d9%82%d9%8a%d8%a7%d8%b3%d9%8a%d8%a9+%d9%84%d9%85%d8%ad%d8%af%d8%af%d8%a7%d8%aa+%d8%a7%d9%84%d8%aa%d8%b6%d8%ae%d9%85+%d9%81%d9%8a+%d9%85%d8%b5%d8%b1+%d8%ae%d9%84%d8%a7%d9%84+%d8%a7%d9%84%d9%81%d8%aa%d8%b1%d8%a9+1986+-2006+%2f&amp;criteria1=0." TargetMode="External"/><Relationship Id="rId6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rv3.eulc.edu.eg/eulc_v5/libraries/start.aspx?fn=ApplySearch&amp;ScopeID=1.&amp;SearchText1=%d8%a7%d9%84%d9%85%d8%b3%d9%84%d9%85%d9%89%d8%8c+%d9%85%d9%89+%d9%85%d8%ad%d9%85%d8%af+%d8%b9%d8%a8%d8%af+%d8%a7%d9%84%d9%84%d9%87+%d8%b4%d8%ad%d8%a7%d8%aa%d8%a9.&amp;criteria1=2." TargetMode="External"/><Relationship Id="rId7" Type="http://schemas.openxmlformats.org/officeDocument/2006/relationships/hyperlink" Target="https://www.nobelprize.org/prizes/economic-sciences/2011/sims/facts/" TargetMode="External"/><Relationship Id="rId2" Type="http://schemas.openxmlformats.org/officeDocument/2006/relationships/hyperlink" Target="http://srv3.eulc.edu.eg/eulc_v5/libraries/start.aspx?fn=ApplySearch&amp;ScopeID=1.&amp;SearchText1=%d8%a7%d9%84%d9%85%d8%b3%d9%84%d9%85%d9%89%d8%8c+%d9%85%d9%89+%d9%85%d8%ad%d9%85%d8%af+%d8%b9%d8%a8%d8%af+%d8%a7%d9%84%d9%84%d9%87+%d8%b4%d8%ad%d8%a7%d8%aa%d8%a9.&amp;criteria1=2." TargetMode="External"/><Relationship Id="rId1" Type="http://schemas.openxmlformats.org/officeDocument/2006/relationships/hyperlink" Target="https://data.albankaldawli.org/indicator/FP.CPI.TOTL?end=2017&amp;locations=EG&amp;start=1990" TargetMode="External"/><Relationship Id="rId6" Type="http://schemas.openxmlformats.org/officeDocument/2006/relationships/hyperlink" Target="https://data.albankaldawli.org/indicator/GC.TAX.TOTL.GD.ZS" TargetMode="External"/><Relationship Id="rId5" Type="http://schemas.openxmlformats.org/officeDocument/2006/relationships/hyperlink" Target="https://data.albankaldawli.org/indicator/GC.TAX.TOTL.GD.ZS" TargetMode="External"/><Relationship Id="rId4" Type="http://schemas.openxmlformats.org/officeDocument/2006/relationships/hyperlink" Target="https://data.albankaldawli.org/indicator/NG.GNP.PACP.KN?start=1990&amp;locations=EG&am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G:\2-%20&#1575;&#1604;&#1601;&#1589;&#1604;%20&#1575;&#1604;&#1571;&#1608;&#1604;\&#1575;&#1604;&#1601;&#1589;&#1604;%20&#1575;&#1604;&#1571;&#1608;&#1604;%20-%20&#1593;&#1580;&#1586;%20&#1575;&#1604;&#1605;&#1608;&#1575;&#1586;&#1606;&#1577;.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H:\New%20folder\3%20Mster%20thesis\2-%20Second%20chapter\Data\02-1%20Budget%20deficit.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H:\New%20folder\3%20Mster%20thesis\2-%20Second%20chapter\Data\02-1%20Budget%20deficit.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H:\New%20folder\3%20Mster%20thesis\2-%20Second%20chapter\Data\02-1%20Budget%20deficit.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H:\New%20folder\3%20Mster%20thesis\2-%20Second%20chapter\Data\02-1%20Budget%20deficit.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H:\New%20folder\3%20Mster%20thesis\2-%20Second%20chapter\Data\02-1%20Budget%20deficit.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1" Type="http://schemas.openxmlformats.org/officeDocument/2006/relationships/oleObject" Target="file:///G:\22%20Msc\3%20Mster%20thesis\2-%20Second%20chapter\03%20Finance.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G:\22%20Msc\3%20Mster%20thesis\2-%20Second%20chapter\03%20Finance.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G:\22%20Msc\3%20Mster%20thesis\2-%20Second%20chapter\03%20Finance.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D:\4%20Various\2%20MSc\3%20Mster%20thesis\2-%20Second%20chapter\Data\04%20Inflation.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G:\22%20Msc\3%20Mster%20thesis\2-%20Second%20chapter\04%20Inflation.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G:\2-%20&#1575;&#1604;&#1601;&#1589;&#1604;%20&#1575;&#1604;&#1571;&#1608;&#1604;\&#1575;&#1604;&#1601;&#1589;&#1604;%20&#1575;&#1604;&#1571;&#1608;&#1604;%20-%20&#1593;&#1580;&#1586;%20&#1575;&#1604;&#1605;&#1608;&#1575;&#1586;&#1606;&#1577;.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1" Type="http://schemas.openxmlformats.org/officeDocument/2006/relationships/oleObject" Target="file:///G:\22%20Msc\3%20Mster%20thesis\2-%20Second%20chapter\02%20Budget%20deficit%20.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G:\22%20Msc\3%20Mster%20thesis\2-%20Second%20chapter\02%20Budget%20deficit%20.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G:\22%20Msc\3%20Mster%20thesis\2-%20Second%20chapter\02%20Budget%20deficit%20.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G:\22%20Msc\3%20Mster%20thesis\2-%20Second%20chapter\03%20Finance.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G:\22%20Msc\3%20Mster%20thesis\2-%20Second%20chapter\03%20Finance.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G:\22%20Msc\3%20Mster%20thesis\2-%20Second%20chapter\03%20Finance.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G:\22%20Msc\3%20Mster%20thesis\2-%20Second%20chapter\04%20Inflation.xlsx" TargetMode="External"/></Relationships>
</file>

<file path=word/charts/_rels/chart27.xml.rels><?xml version="1.0" encoding="UTF-8" standalone="yes"?>
<Relationships xmlns="http://schemas.openxmlformats.org/package/2006/relationships"><Relationship Id="rId3" Type="http://schemas.openxmlformats.org/officeDocument/2006/relationships/oleObject" Target="file:///H:\3%20Mster%20thesis\2-%20Second%20chapter\Data\04%20Inflation.xlsx" TargetMode="External"/><Relationship Id="rId2" Type="http://schemas.microsoft.com/office/2011/relationships/chartColorStyle" Target="colors15.xml"/><Relationship Id="rId1" Type="http://schemas.microsoft.com/office/2011/relationships/chartStyle" Target="style15.xml"/></Relationships>
</file>

<file path=word/charts/_rels/chart28.xml.rels><?xml version="1.0" encoding="UTF-8" standalone="yes"?>
<Relationships xmlns="http://schemas.openxmlformats.org/package/2006/relationships"><Relationship Id="rId1" Type="http://schemas.openxmlformats.org/officeDocument/2006/relationships/oleObject" Target="file:///G:\22%20Msc\3%20Mster%20thesis\2-%20Second%20chapter\02%20Budget%20deficit%20.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G:\22%20Msc\3%20Mster%20thesis\2-%20Second%20chapter\04%20Inflation.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G:\2-%20&#1575;&#1604;&#1601;&#1589;&#1604;%20&#1575;&#1604;&#1571;&#1608;&#1604;\&#1575;&#1604;&#1601;&#1589;&#1604;%20&#1575;&#1604;&#1571;&#1608;&#1604;%20-%20&#1593;&#1580;&#1586;%20&#1575;&#1604;&#1605;&#1608;&#1575;&#1586;&#1606;&#1577;.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H:\New%20folder\22%20Msc\3%20Mster%20thesis\Data.xlsx" TargetMode="External"/><Relationship Id="rId2" Type="http://schemas.microsoft.com/office/2011/relationships/chartColorStyle" Target="colors16.xml"/><Relationship Id="rId1" Type="http://schemas.microsoft.com/office/2011/relationships/chartStyle" Target="style16.xml"/></Relationships>
</file>

<file path=word/charts/_rels/chart31.xml.rels><?xml version="1.0" encoding="UTF-8" standalone="yes"?>
<Relationships xmlns="http://schemas.openxmlformats.org/package/2006/relationships"><Relationship Id="rId3" Type="http://schemas.openxmlformats.org/officeDocument/2006/relationships/oleObject" Target="file:///H:\New%20folder\22%20Msc\3%20Mster%20thesis\Data.xlsx" TargetMode="External"/><Relationship Id="rId2" Type="http://schemas.microsoft.com/office/2011/relationships/chartColorStyle" Target="colors17.xml"/><Relationship Id="rId1" Type="http://schemas.microsoft.com/office/2011/relationships/chartStyle" Target="style17.xml"/></Relationships>
</file>

<file path=word/charts/_rels/chart32.xml.rels><?xml version="1.0" encoding="UTF-8" standalone="yes"?>
<Relationships xmlns="http://schemas.openxmlformats.org/package/2006/relationships"><Relationship Id="rId3" Type="http://schemas.openxmlformats.org/officeDocument/2006/relationships/oleObject" Target="file:///H:\New%20folder\22%20Msc\3%20Mster%20thesis\Data.xlsx" TargetMode="External"/><Relationship Id="rId2" Type="http://schemas.microsoft.com/office/2011/relationships/chartColorStyle" Target="colors18.xml"/><Relationship Id="rId1" Type="http://schemas.microsoft.com/office/2011/relationships/chartStyle" Target="style18.xml"/></Relationships>
</file>

<file path=word/charts/_rels/chart33.xml.rels><?xml version="1.0" encoding="UTF-8" standalone="yes"?>
<Relationships xmlns="http://schemas.openxmlformats.org/package/2006/relationships"><Relationship Id="rId3" Type="http://schemas.openxmlformats.org/officeDocument/2006/relationships/oleObject" Target="file:///H:\New%20folder\22%20Msc\3%20Mster%20thesis\Data.xlsx" TargetMode="External"/><Relationship Id="rId2" Type="http://schemas.microsoft.com/office/2011/relationships/chartColorStyle" Target="colors19.xml"/><Relationship Id="rId1" Type="http://schemas.microsoft.com/office/2011/relationships/chartStyle" Target="style19.xml"/></Relationships>
</file>

<file path=word/charts/_rels/chart34.xml.rels><?xml version="1.0" encoding="UTF-8" standalone="yes"?>
<Relationships xmlns="http://schemas.openxmlformats.org/package/2006/relationships"><Relationship Id="rId3" Type="http://schemas.openxmlformats.org/officeDocument/2006/relationships/oleObject" Target="file:///H:\New%20folder\22%20Msc\3%20Mster%20thesis\Data.xlsx" TargetMode="External"/><Relationship Id="rId2" Type="http://schemas.microsoft.com/office/2011/relationships/chartColorStyle" Target="colors20.xml"/><Relationship Id="rId1" Type="http://schemas.microsoft.com/office/2011/relationships/chartStyle" Target="style20.xml"/></Relationships>
</file>

<file path=word/charts/_rels/chart4.xml.rels><?xml version="1.0" encoding="UTF-8" standalone="yes"?>
<Relationships xmlns="http://schemas.openxmlformats.org/package/2006/relationships"><Relationship Id="rId3" Type="http://schemas.openxmlformats.org/officeDocument/2006/relationships/oleObject" Target="file:///G:\2-%20&#1575;&#1604;&#1601;&#1589;&#1604;%20&#1575;&#1604;&#1571;&#1608;&#1604;\&#1575;&#1604;&#1601;&#1589;&#1604;%20&#1575;&#1604;&#1571;&#1608;&#1604;%20-%20&#1570;&#1604;&#1610;&#1575;&#1578;%20&#1575;&#1604;&#1578;&#1605;&#1608;&#1610;&#160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G:\2-%20&#1575;&#1604;&#1601;&#1589;&#1604;%20&#1575;&#1604;&#1571;&#1608;&#1604;\&#1575;&#1604;&#1601;&#1589;&#1604;%20&#1575;&#1604;&#1571;&#1608;&#1604;%20-%20&#1570;&#1604;&#1610;&#1575;&#1578;%20&#1575;&#1604;&#1578;&#1605;&#1608;&#1610;&#160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G:\2-%20&#1575;&#1604;&#1601;&#1589;&#1604;%20&#1575;&#1604;&#1571;&#1608;&#1604;\&#1575;&#1604;&#1601;&#1589;&#1604;%20&#1575;&#1604;&#1571;&#1608;&#1604;%20-%20&#1570;&#1604;&#1610;&#1575;&#1578;%20&#1575;&#1604;&#1578;&#1605;&#1608;&#1610;&#160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G:\2-%20&#1575;&#1604;&#1601;&#1589;&#1604;%20&#1575;&#1604;&#1571;&#1608;&#1604;\&#1575;&#1604;&#1601;&#1589;&#1604;%20&#1575;&#1604;&#1571;&#1608;&#1604;%20-%20&#1575;&#1604;&#1578;&#1590;&#1582;&#1605;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G:\2-%20&#1575;&#1604;&#1601;&#1589;&#1604;%20&#1575;&#1604;&#1571;&#1608;&#1604;\&#1575;&#1604;&#1601;&#1589;&#1604;%20&#1575;&#1604;&#1571;&#1608;&#1604;%20-%20&#1575;&#1604;&#1578;&#1590;&#1582;&#1605;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H:\New%20folder\3%20Mster%20thesis\2-%20Second%20chapter\Data\02-1%20Budget%20defici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'1998-1991'!$B$3</c:f>
              <c:strCache>
                <c:ptCount val="1"/>
                <c:pt idx="0">
                  <c:v>إجمالي الإيرادات</c:v>
                </c:pt>
              </c:strCache>
            </c:strRef>
          </c:tx>
          <c:spPr>
            <a:pattFill prst="pct20">
              <a:fgClr>
                <a:schemeClr val="accent3">
                  <a:lumMod val="50000"/>
                </a:schemeClr>
              </a:fgClr>
              <a:bgClr>
                <a:schemeClr val="bg1"/>
              </a:bgClr>
            </a:pattFill>
            <a:ln w="3175">
              <a:solidFill>
                <a:schemeClr val="tx1"/>
              </a:solidFill>
            </a:ln>
            <a:effectLst/>
          </c:spPr>
          <c:invertIfNegative val="0"/>
          <c:cat>
            <c:strRef>
              <c:f>'1998-1991'!$A$4:$A$11</c:f>
              <c:strCache>
                <c:ptCount val="7"/>
                <c:pt idx="0">
                  <c:v>1991/1992</c:v>
                </c:pt>
                <c:pt idx="1">
                  <c:v>1992/1993</c:v>
                </c:pt>
                <c:pt idx="2">
                  <c:v>1993/1994</c:v>
                </c:pt>
                <c:pt idx="3">
                  <c:v>1994/1995</c:v>
                </c:pt>
                <c:pt idx="4">
                  <c:v>1995/1996</c:v>
                </c:pt>
                <c:pt idx="5">
                  <c:v>1996/1997</c:v>
                </c:pt>
                <c:pt idx="6">
                  <c:v>1997/1998</c:v>
                </c:pt>
              </c:strCache>
            </c:strRef>
          </c:cat>
          <c:val>
            <c:numRef>
              <c:f>'1998-1991'!$B$4:$B$11</c:f>
              <c:numCache>
                <c:formatCode>General</c:formatCode>
                <c:ptCount val="7"/>
                <c:pt idx="0">
                  <c:v>41406</c:v>
                </c:pt>
                <c:pt idx="1">
                  <c:v>46703</c:v>
                </c:pt>
                <c:pt idx="2">
                  <c:v>52567</c:v>
                </c:pt>
                <c:pt idx="3">
                  <c:v>55719</c:v>
                </c:pt>
                <c:pt idx="4">
                  <c:v>60893</c:v>
                </c:pt>
                <c:pt idx="5">
                  <c:v>64498</c:v>
                </c:pt>
                <c:pt idx="6">
                  <c:v>67963</c:v>
                </c:pt>
              </c:numCache>
            </c:numRef>
          </c:val>
          <c:extLst>
            <c:ext xmlns:c16="http://schemas.microsoft.com/office/drawing/2014/chart" uri="{C3380CC4-5D6E-409C-BE32-E72D297353CC}">
              <c16:uniqueId val="{00000000-F2AE-4F37-9412-536C987C1C63}"/>
            </c:ext>
          </c:extLst>
        </c:ser>
        <c:ser>
          <c:idx val="1"/>
          <c:order val="1"/>
          <c:tx>
            <c:strRef>
              <c:f>'1998-1991'!$C$3</c:f>
              <c:strCache>
                <c:ptCount val="1"/>
                <c:pt idx="0">
                  <c:v>إجمالي المصروفات</c:v>
                </c:pt>
              </c:strCache>
            </c:strRef>
          </c:tx>
          <c:spPr>
            <a:solidFill>
              <a:schemeClr val="accent2"/>
            </a:solidFill>
            <a:ln>
              <a:solidFill>
                <a:srgbClr val="002060"/>
              </a:solidFill>
            </a:ln>
            <a:effectLst/>
          </c:spPr>
          <c:invertIfNegative val="0"/>
          <c:cat>
            <c:strRef>
              <c:f>'1998-1991'!$A$4:$A$11</c:f>
              <c:strCache>
                <c:ptCount val="7"/>
                <c:pt idx="0">
                  <c:v>1991/1992</c:v>
                </c:pt>
                <c:pt idx="1">
                  <c:v>1992/1993</c:v>
                </c:pt>
                <c:pt idx="2">
                  <c:v>1993/1994</c:v>
                </c:pt>
                <c:pt idx="3">
                  <c:v>1994/1995</c:v>
                </c:pt>
                <c:pt idx="4">
                  <c:v>1995/1996</c:v>
                </c:pt>
                <c:pt idx="5">
                  <c:v>1996/1997</c:v>
                </c:pt>
                <c:pt idx="6">
                  <c:v>1997/1998</c:v>
                </c:pt>
              </c:strCache>
            </c:strRef>
          </c:cat>
          <c:val>
            <c:numRef>
              <c:f>'1998-1991'!$C$4:$C$11</c:f>
              <c:numCache>
                <c:formatCode>General</c:formatCode>
                <c:ptCount val="7"/>
                <c:pt idx="0">
                  <c:v>47563</c:v>
                </c:pt>
                <c:pt idx="1">
                  <c:v>52223</c:v>
                </c:pt>
                <c:pt idx="2">
                  <c:v>56254</c:v>
                </c:pt>
                <c:pt idx="3">
                  <c:v>58256</c:v>
                </c:pt>
                <c:pt idx="4">
                  <c:v>63889</c:v>
                </c:pt>
                <c:pt idx="5">
                  <c:v>66826</c:v>
                </c:pt>
                <c:pt idx="6">
                  <c:v>70783</c:v>
                </c:pt>
              </c:numCache>
            </c:numRef>
          </c:val>
          <c:extLst>
            <c:ext xmlns:c16="http://schemas.microsoft.com/office/drawing/2014/chart" uri="{C3380CC4-5D6E-409C-BE32-E72D297353CC}">
              <c16:uniqueId val="{00000001-F2AE-4F37-9412-536C987C1C63}"/>
            </c:ext>
          </c:extLst>
        </c:ser>
        <c:dLbls>
          <c:showLegendKey val="0"/>
          <c:showVal val="0"/>
          <c:showCatName val="0"/>
          <c:showSerName val="0"/>
          <c:showPercent val="0"/>
          <c:showBubbleSize val="0"/>
        </c:dLbls>
        <c:gapWidth val="150"/>
        <c:axId val="87202432"/>
        <c:axId val="87229568"/>
      </c:barChart>
      <c:lineChart>
        <c:grouping val="standard"/>
        <c:varyColors val="0"/>
        <c:ser>
          <c:idx val="2"/>
          <c:order val="2"/>
          <c:tx>
            <c:strRef>
              <c:f>'1998-1991'!$D$3</c:f>
              <c:strCache>
                <c:ptCount val="1"/>
                <c:pt idx="0">
                  <c:v>العجز الكلي</c:v>
                </c:pt>
              </c:strCache>
            </c:strRef>
          </c:tx>
          <c:spPr>
            <a:ln w="28575" cap="rnd">
              <a:solidFill>
                <a:schemeClr val="accent5">
                  <a:lumMod val="75000"/>
                </a:schemeClr>
              </a:solidFill>
              <a:round/>
            </a:ln>
            <a:effectLst/>
          </c:spPr>
          <c:marker>
            <c:symbol val="none"/>
          </c:marker>
          <c:cat>
            <c:strRef>
              <c:f>'1998-1991'!$A$4:$A$11</c:f>
              <c:strCache>
                <c:ptCount val="7"/>
                <c:pt idx="0">
                  <c:v>1991/1992</c:v>
                </c:pt>
                <c:pt idx="1">
                  <c:v>1992/1993</c:v>
                </c:pt>
                <c:pt idx="2">
                  <c:v>1993/1994</c:v>
                </c:pt>
                <c:pt idx="3">
                  <c:v>1994/1995</c:v>
                </c:pt>
                <c:pt idx="4">
                  <c:v>1995/1996</c:v>
                </c:pt>
                <c:pt idx="5">
                  <c:v>1996/1997</c:v>
                </c:pt>
                <c:pt idx="6">
                  <c:v>1997/1998</c:v>
                </c:pt>
              </c:strCache>
            </c:strRef>
          </c:cat>
          <c:val>
            <c:numRef>
              <c:f>'1998-1991'!$D$4:$D$11</c:f>
              <c:numCache>
                <c:formatCode>General</c:formatCode>
                <c:ptCount val="7"/>
                <c:pt idx="0">
                  <c:v>6157</c:v>
                </c:pt>
                <c:pt idx="1">
                  <c:v>5520</c:v>
                </c:pt>
                <c:pt idx="2">
                  <c:v>3697</c:v>
                </c:pt>
                <c:pt idx="3">
                  <c:v>2537</c:v>
                </c:pt>
                <c:pt idx="4">
                  <c:v>2996</c:v>
                </c:pt>
                <c:pt idx="5">
                  <c:v>2328</c:v>
                </c:pt>
                <c:pt idx="6">
                  <c:v>2820</c:v>
                </c:pt>
              </c:numCache>
            </c:numRef>
          </c:val>
          <c:smooth val="0"/>
          <c:extLst>
            <c:ext xmlns:c16="http://schemas.microsoft.com/office/drawing/2014/chart" uri="{C3380CC4-5D6E-409C-BE32-E72D297353CC}">
              <c16:uniqueId val="{00000002-F2AE-4F37-9412-536C987C1C63}"/>
            </c:ext>
          </c:extLst>
        </c:ser>
        <c:dLbls>
          <c:showLegendKey val="0"/>
          <c:showVal val="0"/>
          <c:showCatName val="0"/>
          <c:showSerName val="0"/>
          <c:showPercent val="0"/>
          <c:showBubbleSize val="0"/>
        </c:dLbls>
        <c:marker val="1"/>
        <c:smooth val="0"/>
        <c:axId val="87202432"/>
        <c:axId val="87229568"/>
      </c:lineChart>
      <c:catAx>
        <c:axId val="872024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87229568"/>
        <c:crosses val="autoZero"/>
        <c:auto val="1"/>
        <c:lblAlgn val="ctr"/>
        <c:lblOffset val="100"/>
        <c:noMultiLvlLbl val="0"/>
      </c:catAx>
      <c:valAx>
        <c:axId val="87229568"/>
        <c:scaling>
          <c:orientation val="minMax"/>
          <c:max val="8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rtl="1">
              <a:defRPr sz="900" b="0" i="0" u="none" strike="noStrike" kern="1200" baseline="0">
                <a:solidFill>
                  <a:schemeClr val="dk1"/>
                </a:solidFill>
                <a:latin typeface="+mn-lt"/>
                <a:ea typeface="+mn-ea"/>
                <a:cs typeface="+mn-cs"/>
              </a:defRPr>
            </a:pPr>
            <a:endParaRPr lang="en-US"/>
          </a:p>
        </c:txPr>
        <c:crossAx val="87202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25400" cap="flat" cmpd="sng" algn="ctr">
      <a:solidFill>
        <a:schemeClr val="accent2"/>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'2005-1998'!$J$3</c:f>
              <c:strCache>
                <c:ptCount val="1"/>
                <c:pt idx="0">
                  <c:v>التغير النسبي في الإيرادات</c:v>
                </c:pt>
              </c:strCache>
            </c:strRef>
          </c:tx>
          <c:spPr>
            <a:pattFill prst="pct20">
              <a:fgClr>
                <a:schemeClr val="dk1"/>
              </a:fgClr>
              <a:bgClr>
                <a:schemeClr val="bg1"/>
              </a:bgClr>
            </a:pattFill>
            <a:ln>
              <a:solidFill>
                <a:schemeClr val="tx1"/>
              </a:solidFill>
            </a:ln>
            <a:effectLst/>
          </c:spPr>
          <c:invertIfNegative val="0"/>
          <c:cat>
            <c:strRef>
              <c:f>'2005-1998'!$A$4:$A$11</c:f>
              <c:strCache>
                <c:ptCount val="7"/>
                <c:pt idx="0">
                  <c:v>1998/1999</c:v>
                </c:pt>
                <c:pt idx="1">
                  <c:v>1999/2000</c:v>
                </c:pt>
                <c:pt idx="2">
                  <c:v>2000/2001</c:v>
                </c:pt>
                <c:pt idx="3">
                  <c:v>2001/2002</c:v>
                </c:pt>
                <c:pt idx="4">
                  <c:v>2002/2003</c:v>
                </c:pt>
                <c:pt idx="5">
                  <c:v>2003/2004</c:v>
                </c:pt>
                <c:pt idx="6">
                  <c:v>2004/2005</c:v>
                </c:pt>
              </c:strCache>
            </c:strRef>
          </c:cat>
          <c:val>
            <c:numRef>
              <c:f>'2005-1998'!$J$4:$J$11</c:f>
              <c:numCache>
                <c:formatCode>0.0%</c:formatCode>
                <c:ptCount val="7"/>
                <c:pt idx="0">
                  <c:v>4.5745479157777026E-2</c:v>
                </c:pt>
                <c:pt idx="1">
                  <c:v>6.088192255740657E-2</c:v>
                </c:pt>
                <c:pt idx="2">
                  <c:v>9.8144537725964529E-3</c:v>
                </c:pt>
                <c:pt idx="3">
                  <c:v>2.8605576642719236E-2</c:v>
                </c:pt>
                <c:pt idx="4">
                  <c:v>0.14083787683389301</c:v>
                </c:pt>
                <c:pt idx="5">
                  <c:v>0.14027331639562604</c:v>
                </c:pt>
                <c:pt idx="6">
                  <c:v>8.8182175107970162E-2</c:v>
                </c:pt>
              </c:numCache>
            </c:numRef>
          </c:val>
          <c:extLst>
            <c:ext xmlns:c16="http://schemas.microsoft.com/office/drawing/2014/chart" uri="{C3380CC4-5D6E-409C-BE32-E72D297353CC}">
              <c16:uniqueId val="{00000000-F318-40AD-95A7-E68027C40D82}"/>
            </c:ext>
          </c:extLst>
        </c:ser>
        <c:ser>
          <c:idx val="1"/>
          <c:order val="1"/>
          <c:tx>
            <c:strRef>
              <c:f>'2005-1998'!$K$3</c:f>
              <c:strCache>
                <c:ptCount val="1"/>
                <c:pt idx="0">
                  <c:v>التغير النسبي في المصروفات</c:v>
                </c:pt>
              </c:strCache>
            </c:strRef>
          </c:tx>
          <c:spPr>
            <a:solidFill>
              <a:schemeClr val="accent2"/>
            </a:solidFill>
            <a:ln>
              <a:noFill/>
            </a:ln>
            <a:effectLst/>
          </c:spPr>
          <c:invertIfNegative val="0"/>
          <c:cat>
            <c:strRef>
              <c:f>'2005-1998'!$A$4:$A$11</c:f>
              <c:strCache>
                <c:ptCount val="7"/>
                <c:pt idx="0">
                  <c:v>1998/1999</c:v>
                </c:pt>
                <c:pt idx="1">
                  <c:v>1999/2000</c:v>
                </c:pt>
                <c:pt idx="2">
                  <c:v>2000/2001</c:v>
                </c:pt>
                <c:pt idx="3">
                  <c:v>2001/2002</c:v>
                </c:pt>
                <c:pt idx="4">
                  <c:v>2002/2003</c:v>
                </c:pt>
                <c:pt idx="5">
                  <c:v>2003/2004</c:v>
                </c:pt>
                <c:pt idx="6">
                  <c:v>2004/2005</c:v>
                </c:pt>
              </c:strCache>
            </c:strRef>
          </c:cat>
          <c:val>
            <c:numRef>
              <c:f>'2005-1998'!$K$4:$K$11</c:f>
              <c:numCache>
                <c:formatCode>0.0%</c:formatCode>
                <c:ptCount val="7"/>
                <c:pt idx="0">
                  <c:v>0.13014424367432859</c:v>
                </c:pt>
                <c:pt idx="1">
                  <c:v>0.10756922307644227</c:v>
                </c:pt>
                <c:pt idx="2">
                  <c:v>8.4887133182844243E-2</c:v>
                </c:pt>
                <c:pt idx="3">
                  <c:v>0.20204741939846652</c:v>
                </c:pt>
                <c:pt idx="4">
                  <c:v>0.10193695798930259</c:v>
                </c:pt>
                <c:pt idx="5">
                  <c:v>0.14662268300345585</c:v>
                </c:pt>
                <c:pt idx="6">
                  <c:v>0.10701564512151683</c:v>
                </c:pt>
              </c:numCache>
            </c:numRef>
          </c:val>
          <c:extLst>
            <c:ext xmlns:c16="http://schemas.microsoft.com/office/drawing/2014/chart" uri="{C3380CC4-5D6E-409C-BE32-E72D297353CC}">
              <c16:uniqueId val="{00000001-F318-40AD-95A7-E68027C40D82}"/>
            </c:ext>
          </c:extLst>
        </c:ser>
        <c:dLbls>
          <c:showLegendKey val="0"/>
          <c:showVal val="0"/>
          <c:showCatName val="0"/>
          <c:showSerName val="0"/>
          <c:showPercent val="0"/>
          <c:showBubbleSize val="0"/>
        </c:dLbls>
        <c:gapWidth val="150"/>
        <c:axId val="91773952"/>
        <c:axId val="91792128"/>
      </c:barChart>
      <c:catAx>
        <c:axId val="917739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91792128"/>
        <c:crosses val="autoZero"/>
        <c:auto val="1"/>
        <c:lblAlgn val="ctr"/>
        <c:lblOffset val="100"/>
        <c:noMultiLvlLbl val="0"/>
      </c:catAx>
      <c:valAx>
        <c:axId val="917921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91773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25400" cap="flat" cmpd="sng" algn="ctr">
      <a:solidFill>
        <a:schemeClr val="accent2"/>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'2005-1998'!$G$3</c:f>
              <c:strCache>
                <c:ptCount val="1"/>
                <c:pt idx="0">
                  <c:v>نسبة الإيرادات إلى الناتج</c:v>
                </c:pt>
              </c:strCache>
            </c:strRef>
          </c:tx>
          <c:spPr>
            <a:ln w="28575" cap="rnd">
              <a:solidFill>
                <a:schemeClr val="accent1"/>
              </a:solidFill>
              <a:prstDash val="lgDash"/>
              <a:round/>
            </a:ln>
            <a:effectLst/>
          </c:spPr>
          <c:marker>
            <c:symbol val="square"/>
            <c:size val="5"/>
            <c:spPr>
              <a:solidFill>
                <a:schemeClr val="accent1"/>
              </a:solidFill>
              <a:ln w="9525">
                <a:solidFill>
                  <a:schemeClr val="accent1"/>
                </a:solidFill>
              </a:ln>
              <a:effectLst/>
            </c:spPr>
          </c:marker>
          <c:cat>
            <c:strRef>
              <c:f>'2005-1998'!$A$5:$A$11</c:f>
              <c:strCache>
                <c:ptCount val="7"/>
                <c:pt idx="0">
                  <c:v>1998/1999</c:v>
                </c:pt>
                <c:pt idx="1">
                  <c:v>1999/2000</c:v>
                </c:pt>
                <c:pt idx="2">
                  <c:v>2000/2001</c:v>
                </c:pt>
                <c:pt idx="3">
                  <c:v>2001/2002</c:v>
                </c:pt>
                <c:pt idx="4">
                  <c:v>2002/2003</c:v>
                </c:pt>
                <c:pt idx="5">
                  <c:v>2003/2004</c:v>
                </c:pt>
                <c:pt idx="6">
                  <c:v>2004/2005</c:v>
                </c:pt>
              </c:strCache>
            </c:strRef>
          </c:cat>
          <c:val>
            <c:numRef>
              <c:f>'2005-1998'!$G$5:$G$11</c:f>
              <c:numCache>
                <c:formatCode>0.0%</c:formatCode>
                <c:ptCount val="7"/>
                <c:pt idx="0">
                  <c:v>0.23105331599479845</c:v>
                </c:pt>
                <c:pt idx="1">
                  <c:v>0.22169655983534253</c:v>
                </c:pt>
                <c:pt idx="2">
                  <c:v>0.21226373013660441</c:v>
                </c:pt>
                <c:pt idx="3">
                  <c:v>0.20669569807337029</c:v>
                </c:pt>
                <c:pt idx="4">
                  <c:v>0.21400479041916168</c:v>
                </c:pt>
                <c:pt idx="5">
                  <c:v>0.20993200082423244</c:v>
                </c:pt>
                <c:pt idx="6">
                  <c:v>0.20587558031569173</c:v>
                </c:pt>
              </c:numCache>
            </c:numRef>
          </c:val>
          <c:smooth val="0"/>
          <c:extLst>
            <c:ext xmlns:c16="http://schemas.microsoft.com/office/drawing/2014/chart" uri="{C3380CC4-5D6E-409C-BE32-E72D297353CC}">
              <c16:uniqueId val="{00000000-1535-4543-8352-36AB9056D318}"/>
            </c:ext>
          </c:extLst>
        </c:ser>
        <c:ser>
          <c:idx val="1"/>
          <c:order val="1"/>
          <c:tx>
            <c:strRef>
              <c:f>'2005-1998'!$H$3</c:f>
              <c:strCache>
                <c:ptCount val="1"/>
                <c:pt idx="0">
                  <c:v>نسبة المصروفات إلى الناتج</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cat>
            <c:strRef>
              <c:f>'2005-1998'!$A$5:$A$11</c:f>
              <c:strCache>
                <c:ptCount val="7"/>
                <c:pt idx="0">
                  <c:v>1998/1999</c:v>
                </c:pt>
                <c:pt idx="1">
                  <c:v>1999/2000</c:v>
                </c:pt>
                <c:pt idx="2">
                  <c:v>2000/2001</c:v>
                </c:pt>
                <c:pt idx="3">
                  <c:v>2001/2002</c:v>
                </c:pt>
                <c:pt idx="4">
                  <c:v>2002/2003</c:v>
                </c:pt>
                <c:pt idx="5">
                  <c:v>2003/2004</c:v>
                </c:pt>
                <c:pt idx="6">
                  <c:v>2004/2005</c:v>
                </c:pt>
              </c:strCache>
            </c:strRef>
          </c:cat>
          <c:val>
            <c:numRef>
              <c:f>'2005-1998'!$H$5:$H$11</c:f>
              <c:numCache>
                <c:formatCode>0.0%</c:formatCode>
                <c:ptCount val="7"/>
                <c:pt idx="0">
                  <c:v>0.26006176853055918</c:v>
                </c:pt>
                <c:pt idx="1">
                  <c:v>0.26051161423110852</c:v>
                </c:pt>
                <c:pt idx="2">
                  <c:v>0.26797044884304433</c:v>
                </c:pt>
                <c:pt idx="3">
                  <c:v>0.30494061757719715</c:v>
                </c:pt>
                <c:pt idx="4">
                  <c:v>0.3049580838323353</c:v>
                </c:pt>
                <c:pt idx="5">
                  <c:v>0.30082011127137853</c:v>
                </c:pt>
                <c:pt idx="6">
                  <c:v>0.30011327762302692</c:v>
                </c:pt>
              </c:numCache>
            </c:numRef>
          </c:val>
          <c:smooth val="0"/>
          <c:extLst>
            <c:ext xmlns:c16="http://schemas.microsoft.com/office/drawing/2014/chart" uri="{C3380CC4-5D6E-409C-BE32-E72D297353CC}">
              <c16:uniqueId val="{00000001-1535-4543-8352-36AB9056D318}"/>
            </c:ext>
          </c:extLst>
        </c:ser>
        <c:ser>
          <c:idx val="2"/>
          <c:order val="2"/>
          <c:tx>
            <c:strRef>
              <c:f>'2005-1998'!$I$3</c:f>
              <c:strCache>
                <c:ptCount val="1"/>
                <c:pt idx="0">
                  <c:v>نسبة العجز إلى الناتج</c:v>
                </c:pt>
              </c:strCache>
            </c:strRef>
          </c:tx>
          <c:spPr>
            <a:ln w="28575" cap="rnd">
              <a:solidFill>
                <a:schemeClr val="accent3"/>
              </a:solidFill>
              <a:prstDash val="sysDot"/>
              <a:round/>
            </a:ln>
            <a:effectLst/>
          </c:spPr>
          <c:marker>
            <c:symbol val="triangle"/>
            <c:size val="5"/>
            <c:spPr>
              <a:solidFill>
                <a:schemeClr val="accent3"/>
              </a:solidFill>
              <a:ln w="9525">
                <a:solidFill>
                  <a:schemeClr val="accent3"/>
                </a:solidFill>
              </a:ln>
              <a:effectLst/>
            </c:spPr>
          </c:marker>
          <c:cat>
            <c:strRef>
              <c:f>'2005-1998'!$A$5:$A$11</c:f>
              <c:strCache>
                <c:ptCount val="7"/>
                <c:pt idx="0">
                  <c:v>1998/1999</c:v>
                </c:pt>
                <c:pt idx="1">
                  <c:v>1999/2000</c:v>
                </c:pt>
                <c:pt idx="2">
                  <c:v>2000/2001</c:v>
                </c:pt>
                <c:pt idx="3">
                  <c:v>2001/2002</c:v>
                </c:pt>
                <c:pt idx="4">
                  <c:v>2002/2003</c:v>
                </c:pt>
                <c:pt idx="5">
                  <c:v>2003/2004</c:v>
                </c:pt>
                <c:pt idx="6">
                  <c:v>2004/2005</c:v>
                </c:pt>
              </c:strCache>
            </c:strRef>
          </c:cat>
          <c:val>
            <c:numRef>
              <c:f>'2005-1998'!$I$5:$I$11</c:f>
              <c:numCache>
                <c:formatCode>0.0%</c:formatCode>
                <c:ptCount val="7"/>
                <c:pt idx="0">
                  <c:v>2.9008452535760728E-2</c:v>
                </c:pt>
                <c:pt idx="1">
                  <c:v>3.8815054395765949E-2</c:v>
                </c:pt>
                <c:pt idx="2">
                  <c:v>5.5706718706439923E-2</c:v>
                </c:pt>
                <c:pt idx="3">
                  <c:v>0.10157297439957773</c:v>
                </c:pt>
                <c:pt idx="4">
                  <c:v>0.10453652694610778</c:v>
                </c:pt>
                <c:pt idx="5">
                  <c:v>9.45353389655883E-2</c:v>
                </c:pt>
                <c:pt idx="6">
                  <c:v>9.5901578458681525E-2</c:v>
                </c:pt>
              </c:numCache>
            </c:numRef>
          </c:val>
          <c:smooth val="0"/>
          <c:extLst>
            <c:ext xmlns:c16="http://schemas.microsoft.com/office/drawing/2014/chart" uri="{C3380CC4-5D6E-409C-BE32-E72D297353CC}">
              <c16:uniqueId val="{00000002-1535-4543-8352-36AB9056D318}"/>
            </c:ext>
          </c:extLst>
        </c:ser>
        <c:dLbls>
          <c:showLegendKey val="0"/>
          <c:showVal val="0"/>
          <c:showCatName val="0"/>
          <c:showSerName val="0"/>
          <c:showPercent val="0"/>
          <c:showBubbleSize val="0"/>
        </c:dLbls>
        <c:marker val="1"/>
        <c:smooth val="0"/>
        <c:axId val="99113984"/>
        <c:axId val="99116160"/>
      </c:lineChart>
      <c:catAx>
        <c:axId val="991139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99116160"/>
        <c:crosses val="autoZero"/>
        <c:auto val="1"/>
        <c:lblAlgn val="ctr"/>
        <c:lblOffset val="100"/>
        <c:noMultiLvlLbl val="0"/>
      </c:catAx>
      <c:valAx>
        <c:axId val="991161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99113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25400" cap="flat" cmpd="sng" algn="ctr">
      <a:solidFill>
        <a:schemeClr val="accent2"/>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'2011-2005'!$B$3</c:f>
              <c:strCache>
                <c:ptCount val="1"/>
                <c:pt idx="0">
                  <c:v>إجمالي الإيرادات</c:v>
                </c:pt>
              </c:strCache>
            </c:strRef>
          </c:tx>
          <c:spPr>
            <a:pattFill prst="pct20">
              <a:fgClr>
                <a:schemeClr val="dk1"/>
              </a:fgClr>
              <a:bgClr>
                <a:schemeClr val="bg1"/>
              </a:bgClr>
            </a:pattFill>
            <a:ln>
              <a:solidFill>
                <a:schemeClr val="accent1"/>
              </a:solidFill>
            </a:ln>
            <a:effectLst/>
          </c:spPr>
          <c:invertIfNegative val="0"/>
          <c:cat>
            <c:strRef>
              <c:f>'2011-2005'!$A$12:$A$17</c:f>
              <c:strCache>
                <c:ptCount val="6"/>
                <c:pt idx="0">
                  <c:v>2005/2006</c:v>
                </c:pt>
                <c:pt idx="1">
                  <c:v>2006/2007</c:v>
                </c:pt>
                <c:pt idx="2">
                  <c:v>2007/2008</c:v>
                </c:pt>
                <c:pt idx="3">
                  <c:v>2008/2009</c:v>
                </c:pt>
                <c:pt idx="4">
                  <c:v>2009/2010</c:v>
                </c:pt>
                <c:pt idx="5">
                  <c:v>2010/2011</c:v>
                </c:pt>
              </c:strCache>
            </c:strRef>
          </c:cat>
          <c:val>
            <c:numRef>
              <c:f>'2011-2005'!$B$12:$B$17</c:f>
              <c:numCache>
                <c:formatCode>General</c:formatCode>
                <c:ptCount val="6"/>
                <c:pt idx="0">
                  <c:v>151266</c:v>
                </c:pt>
                <c:pt idx="1">
                  <c:v>180215</c:v>
                </c:pt>
                <c:pt idx="2">
                  <c:v>221404</c:v>
                </c:pt>
                <c:pt idx="3">
                  <c:v>282505</c:v>
                </c:pt>
                <c:pt idx="4">
                  <c:v>268114</c:v>
                </c:pt>
                <c:pt idx="5">
                  <c:v>265286</c:v>
                </c:pt>
              </c:numCache>
            </c:numRef>
          </c:val>
          <c:extLst>
            <c:ext xmlns:c16="http://schemas.microsoft.com/office/drawing/2014/chart" uri="{C3380CC4-5D6E-409C-BE32-E72D297353CC}">
              <c16:uniqueId val="{00000000-37ED-4432-834E-4092C1A9A098}"/>
            </c:ext>
          </c:extLst>
        </c:ser>
        <c:ser>
          <c:idx val="1"/>
          <c:order val="1"/>
          <c:tx>
            <c:strRef>
              <c:f>'2011-2005'!$C$3</c:f>
              <c:strCache>
                <c:ptCount val="1"/>
                <c:pt idx="0">
                  <c:v>إجمالي المصروفات</c:v>
                </c:pt>
              </c:strCache>
            </c:strRef>
          </c:tx>
          <c:spPr>
            <a:solidFill>
              <a:schemeClr val="accent2"/>
            </a:solidFill>
            <a:ln>
              <a:noFill/>
            </a:ln>
            <a:effectLst/>
          </c:spPr>
          <c:invertIfNegative val="0"/>
          <c:cat>
            <c:strRef>
              <c:f>'2011-2005'!$A$12:$A$17</c:f>
              <c:strCache>
                <c:ptCount val="6"/>
                <c:pt idx="0">
                  <c:v>2005/2006</c:v>
                </c:pt>
                <c:pt idx="1">
                  <c:v>2006/2007</c:v>
                </c:pt>
                <c:pt idx="2">
                  <c:v>2007/2008</c:v>
                </c:pt>
                <c:pt idx="3">
                  <c:v>2008/2009</c:v>
                </c:pt>
                <c:pt idx="4">
                  <c:v>2009/2010</c:v>
                </c:pt>
                <c:pt idx="5">
                  <c:v>2010/2011</c:v>
                </c:pt>
              </c:strCache>
            </c:strRef>
          </c:cat>
          <c:val>
            <c:numRef>
              <c:f>'2011-2005'!$C$12:$C$17</c:f>
              <c:numCache>
                <c:formatCode>General</c:formatCode>
                <c:ptCount val="6"/>
                <c:pt idx="0">
                  <c:v>207810</c:v>
                </c:pt>
                <c:pt idx="1">
                  <c:v>222029</c:v>
                </c:pt>
                <c:pt idx="2">
                  <c:v>282290</c:v>
                </c:pt>
                <c:pt idx="3">
                  <c:v>351500</c:v>
                </c:pt>
                <c:pt idx="4">
                  <c:v>365987</c:v>
                </c:pt>
                <c:pt idx="5">
                  <c:v>401866</c:v>
                </c:pt>
              </c:numCache>
            </c:numRef>
          </c:val>
          <c:extLst>
            <c:ext xmlns:c16="http://schemas.microsoft.com/office/drawing/2014/chart" uri="{C3380CC4-5D6E-409C-BE32-E72D297353CC}">
              <c16:uniqueId val="{00000001-37ED-4432-834E-4092C1A9A098}"/>
            </c:ext>
          </c:extLst>
        </c:ser>
        <c:dLbls>
          <c:showLegendKey val="0"/>
          <c:showVal val="0"/>
          <c:showCatName val="0"/>
          <c:showSerName val="0"/>
          <c:showPercent val="0"/>
          <c:showBubbleSize val="0"/>
        </c:dLbls>
        <c:gapWidth val="150"/>
        <c:axId val="99815808"/>
        <c:axId val="99817344"/>
      </c:barChart>
      <c:lineChart>
        <c:grouping val="standard"/>
        <c:varyColors val="0"/>
        <c:ser>
          <c:idx val="2"/>
          <c:order val="2"/>
          <c:tx>
            <c:strRef>
              <c:f>'2011-2005'!$D$3</c:f>
              <c:strCache>
                <c:ptCount val="1"/>
                <c:pt idx="0">
                  <c:v>العجز الكلي</c:v>
                </c:pt>
              </c:strCache>
            </c:strRef>
          </c:tx>
          <c:spPr>
            <a:ln w="28575" cap="rnd">
              <a:solidFill>
                <a:schemeClr val="accent3"/>
              </a:solidFill>
              <a:round/>
            </a:ln>
            <a:effectLst/>
          </c:spPr>
          <c:marker>
            <c:symbol val="none"/>
          </c:marker>
          <c:cat>
            <c:strRef>
              <c:f>'2011-2005'!$A$12:$A$17</c:f>
              <c:strCache>
                <c:ptCount val="6"/>
                <c:pt idx="0">
                  <c:v>2005/2006</c:v>
                </c:pt>
                <c:pt idx="1">
                  <c:v>2006/2007</c:v>
                </c:pt>
                <c:pt idx="2">
                  <c:v>2007/2008</c:v>
                </c:pt>
                <c:pt idx="3">
                  <c:v>2008/2009</c:v>
                </c:pt>
                <c:pt idx="4">
                  <c:v>2009/2010</c:v>
                </c:pt>
                <c:pt idx="5">
                  <c:v>2010/2011</c:v>
                </c:pt>
              </c:strCache>
            </c:strRef>
          </c:cat>
          <c:val>
            <c:numRef>
              <c:f>'2011-2005'!$D$12:$D$17</c:f>
              <c:numCache>
                <c:formatCode>General</c:formatCode>
                <c:ptCount val="6"/>
                <c:pt idx="0">
                  <c:v>50385</c:v>
                </c:pt>
                <c:pt idx="1">
                  <c:v>54697</c:v>
                </c:pt>
                <c:pt idx="2">
                  <c:v>61122</c:v>
                </c:pt>
                <c:pt idx="3">
                  <c:v>71826</c:v>
                </c:pt>
                <c:pt idx="4">
                  <c:v>98038</c:v>
                </c:pt>
                <c:pt idx="5">
                  <c:v>134460</c:v>
                </c:pt>
              </c:numCache>
            </c:numRef>
          </c:val>
          <c:smooth val="0"/>
          <c:extLst>
            <c:ext xmlns:c16="http://schemas.microsoft.com/office/drawing/2014/chart" uri="{C3380CC4-5D6E-409C-BE32-E72D297353CC}">
              <c16:uniqueId val="{00000002-37ED-4432-834E-4092C1A9A098}"/>
            </c:ext>
          </c:extLst>
        </c:ser>
        <c:dLbls>
          <c:showLegendKey val="0"/>
          <c:showVal val="0"/>
          <c:showCatName val="0"/>
          <c:showSerName val="0"/>
          <c:showPercent val="0"/>
          <c:showBubbleSize val="0"/>
        </c:dLbls>
        <c:marker val="1"/>
        <c:smooth val="0"/>
        <c:axId val="99815808"/>
        <c:axId val="99817344"/>
      </c:lineChart>
      <c:catAx>
        <c:axId val="998158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99817344"/>
        <c:crosses val="autoZero"/>
        <c:auto val="1"/>
        <c:lblAlgn val="ctr"/>
        <c:lblOffset val="100"/>
        <c:noMultiLvlLbl val="0"/>
      </c:catAx>
      <c:valAx>
        <c:axId val="99817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99815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25400" cap="flat" cmpd="sng" algn="ctr">
      <a:solidFill>
        <a:schemeClr val="accent2"/>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'2011-2005'!$J$3</c:f>
              <c:strCache>
                <c:ptCount val="1"/>
                <c:pt idx="0">
                  <c:v>التغير النسبي في الإيرادات</c:v>
                </c:pt>
              </c:strCache>
            </c:strRef>
          </c:tx>
          <c:spPr>
            <a:pattFill prst="pct20">
              <a:fgClr>
                <a:schemeClr val="tx1"/>
              </a:fgClr>
              <a:bgClr>
                <a:schemeClr val="bg1"/>
              </a:bgClr>
            </a:pattFill>
            <a:ln>
              <a:solidFill>
                <a:schemeClr val="accent1"/>
              </a:solidFill>
            </a:ln>
            <a:effectLst/>
          </c:spPr>
          <c:invertIfNegative val="0"/>
          <c:cat>
            <c:strRef>
              <c:f>'2011-2005'!$A$12:$A$17</c:f>
              <c:strCache>
                <c:ptCount val="6"/>
                <c:pt idx="0">
                  <c:v>2005/2006</c:v>
                </c:pt>
                <c:pt idx="1">
                  <c:v>2006/2007</c:v>
                </c:pt>
                <c:pt idx="2">
                  <c:v>2007/2008</c:v>
                </c:pt>
                <c:pt idx="3">
                  <c:v>2008/2009</c:v>
                </c:pt>
                <c:pt idx="4">
                  <c:v>2009/2010</c:v>
                </c:pt>
                <c:pt idx="5">
                  <c:v>2010/2011</c:v>
                </c:pt>
              </c:strCache>
            </c:strRef>
          </c:cat>
          <c:val>
            <c:numRef>
              <c:f>'2011-2005'!$J$12:$J$17</c:f>
              <c:numCache>
                <c:formatCode>0.0%</c:formatCode>
                <c:ptCount val="6"/>
                <c:pt idx="0">
                  <c:v>0.3644284889594458</c:v>
                </c:pt>
                <c:pt idx="1">
                  <c:v>0.1913781021511774</c:v>
                </c:pt>
                <c:pt idx="2">
                  <c:v>0.2285547817884194</c:v>
                </c:pt>
                <c:pt idx="3">
                  <c:v>0.27597062383696769</c:v>
                </c:pt>
                <c:pt idx="4">
                  <c:v>-5.0940691315197961E-2</c:v>
                </c:pt>
                <c:pt idx="5">
                  <c:v>-1.0547752075609628E-2</c:v>
                </c:pt>
              </c:numCache>
            </c:numRef>
          </c:val>
          <c:extLst>
            <c:ext xmlns:c16="http://schemas.microsoft.com/office/drawing/2014/chart" uri="{C3380CC4-5D6E-409C-BE32-E72D297353CC}">
              <c16:uniqueId val="{00000000-99CA-4DD0-89FB-ED52A02B28B2}"/>
            </c:ext>
          </c:extLst>
        </c:ser>
        <c:ser>
          <c:idx val="1"/>
          <c:order val="1"/>
          <c:tx>
            <c:strRef>
              <c:f>'2011-2005'!$K$3</c:f>
              <c:strCache>
                <c:ptCount val="1"/>
                <c:pt idx="0">
                  <c:v>التغير النسبي في المصروفات</c:v>
                </c:pt>
              </c:strCache>
            </c:strRef>
          </c:tx>
          <c:spPr>
            <a:solidFill>
              <a:schemeClr val="accent2"/>
            </a:solidFill>
            <a:ln>
              <a:noFill/>
            </a:ln>
            <a:effectLst/>
          </c:spPr>
          <c:invertIfNegative val="0"/>
          <c:cat>
            <c:strRef>
              <c:f>'2011-2005'!$A$12:$A$17</c:f>
              <c:strCache>
                <c:ptCount val="6"/>
                <c:pt idx="0">
                  <c:v>2005/2006</c:v>
                </c:pt>
                <c:pt idx="1">
                  <c:v>2006/2007</c:v>
                </c:pt>
                <c:pt idx="2">
                  <c:v>2007/2008</c:v>
                </c:pt>
                <c:pt idx="3">
                  <c:v>2008/2009</c:v>
                </c:pt>
                <c:pt idx="4">
                  <c:v>2009/2010</c:v>
                </c:pt>
                <c:pt idx="5">
                  <c:v>2010/2011</c:v>
                </c:pt>
              </c:strCache>
            </c:strRef>
          </c:cat>
          <c:val>
            <c:numRef>
              <c:f>'2011-2005'!$K$12:$K$17</c:f>
              <c:numCache>
                <c:formatCode>0.0%</c:formatCode>
                <c:ptCount val="6"/>
                <c:pt idx="0">
                  <c:v>0.28586544232756433</c:v>
                </c:pt>
                <c:pt idx="1">
                  <c:v>6.8423078773879986E-2</c:v>
                </c:pt>
                <c:pt idx="2">
                  <c:v>0.27141049142229168</c:v>
                </c:pt>
                <c:pt idx="3">
                  <c:v>0.24517340323780509</c:v>
                </c:pt>
                <c:pt idx="4">
                  <c:v>4.1214793741109527E-2</c:v>
                </c:pt>
                <c:pt idx="5">
                  <c:v>9.8033536710320307E-2</c:v>
                </c:pt>
              </c:numCache>
            </c:numRef>
          </c:val>
          <c:extLst>
            <c:ext xmlns:c16="http://schemas.microsoft.com/office/drawing/2014/chart" uri="{C3380CC4-5D6E-409C-BE32-E72D297353CC}">
              <c16:uniqueId val="{00000001-99CA-4DD0-89FB-ED52A02B28B2}"/>
            </c:ext>
          </c:extLst>
        </c:ser>
        <c:dLbls>
          <c:showLegendKey val="0"/>
          <c:showVal val="0"/>
          <c:showCatName val="0"/>
          <c:showSerName val="0"/>
          <c:showPercent val="0"/>
          <c:showBubbleSize val="0"/>
        </c:dLbls>
        <c:gapWidth val="150"/>
        <c:axId val="99851648"/>
        <c:axId val="99853440"/>
      </c:barChart>
      <c:catAx>
        <c:axId val="99851648"/>
        <c:scaling>
          <c:orientation val="minMax"/>
        </c:scaling>
        <c:delete val="0"/>
        <c:axPos val="b"/>
        <c:numFmt formatCode="General" sourceLinked="1"/>
        <c:majorTickMark val="in"/>
        <c:minorTickMark val="out"/>
        <c:tickLblPos val="nextTo"/>
        <c:spPr>
          <a:noFill/>
          <a:ln w="9525" cap="flat" cmpd="sng" algn="ctr">
            <a:solidFill>
              <a:schemeClr val="accent2">
                <a:alpha val="68000"/>
              </a:schemeClr>
            </a:solidFill>
            <a:round/>
          </a:ln>
          <a:effectLst/>
        </c:spPr>
        <c:txPr>
          <a:bodyPr rot="0" spcFirstLastPara="1" vertOverflow="ellipsis" wrap="square" anchor="b" anchorCtr="1"/>
          <a:lstStyle/>
          <a:p>
            <a:pPr>
              <a:defRPr sz="900" b="0" i="0" u="none" strike="noStrike" kern="1200" baseline="0">
                <a:solidFill>
                  <a:schemeClr val="dk1"/>
                </a:solidFill>
                <a:latin typeface="+mn-lt"/>
                <a:ea typeface="+mn-ea"/>
                <a:cs typeface="+mn-cs"/>
              </a:defRPr>
            </a:pPr>
            <a:endParaRPr lang="en-US"/>
          </a:p>
        </c:txPr>
        <c:crossAx val="99853440"/>
        <c:crosses val="autoZero"/>
        <c:auto val="1"/>
        <c:lblAlgn val="ctr"/>
        <c:lblOffset val="100"/>
        <c:tickLblSkip val="1"/>
        <c:noMultiLvlLbl val="0"/>
      </c:catAx>
      <c:valAx>
        <c:axId val="998534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99851648"/>
        <c:crossesAt val="0"/>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25400" cap="flat" cmpd="sng" algn="ctr">
      <a:solidFill>
        <a:schemeClr val="accent2"/>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'2011-2005'!$G$3</c:f>
              <c:strCache>
                <c:ptCount val="1"/>
                <c:pt idx="0">
                  <c:v>نسبة الإيرادات إلى الناتج</c:v>
                </c:pt>
              </c:strCache>
            </c:strRef>
          </c:tx>
          <c:spPr>
            <a:ln w="28575" cap="rnd">
              <a:solidFill>
                <a:schemeClr val="accent1"/>
              </a:solidFill>
              <a:prstDash val="lgDash"/>
              <a:round/>
            </a:ln>
            <a:effectLst/>
          </c:spPr>
          <c:marker>
            <c:symbol val="x"/>
            <c:size val="5"/>
            <c:spPr>
              <a:solidFill>
                <a:schemeClr val="accent1"/>
              </a:solidFill>
              <a:ln w="9525">
                <a:solidFill>
                  <a:schemeClr val="accent1"/>
                </a:solidFill>
              </a:ln>
              <a:effectLst/>
            </c:spPr>
          </c:marker>
          <c:cat>
            <c:strRef>
              <c:f>'2011-2005'!$A$12:$A$17</c:f>
              <c:strCache>
                <c:ptCount val="6"/>
                <c:pt idx="0">
                  <c:v>2005/2006</c:v>
                </c:pt>
                <c:pt idx="1">
                  <c:v>2006/2007</c:v>
                </c:pt>
                <c:pt idx="2">
                  <c:v>2007/2008</c:v>
                </c:pt>
                <c:pt idx="3">
                  <c:v>2008/2009</c:v>
                </c:pt>
                <c:pt idx="4">
                  <c:v>2009/2010</c:v>
                </c:pt>
                <c:pt idx="5">
                  <c:v>2010/2011</c:v>
                </c:pt>
              </c:strCache>
            </c:strRef>
          </c:cat>
          <c:val>
            <c:numRef>
              <c:f>'2011-2005'!$G$12:$G$17</c:f>
              <c:numCache>
                <c:formatCode>0.0%</c:formatCode>
                <c:ptCount val="6"/>
                <c:pt idx="0">
                  <c:v>0.24488586692569209</c:v>
                </c:pt>
                <c:pt idx="1">
                  <c:v>0.24196428571428572</c:v>
                </c:pt>
                <c:pt idx="2">
                  <c:v>0.24724064768285875</c:v>
                </c:pt>
                <c:pt idx="3">
                  <c:v>0.27106601420072923</c:v>
                </c:pt>
                <c:pt idx="4">
                  <c:v>0.22218778486782134</c:v>
                </c:pt>
                <c:pt idx="5">
                  <c:v>0.19348406389030706</c:v>
                </c:pt>
              </c:numCache>
            </c:numRef>
          </c:val>
          <c:smooth val="0"/>
          <c:extLst>
            <c:ext xmlns:c16="http://schemas.microsoft.com/office/drawing/2014/chart" uri="{C3380CC4-5D6E-409C-BE32-E72D297353CC}">
              <c16:uniqueId val="{00000000-39E8-4043-9FBF-4616D70F5B32}"/>
            </c:ext>
          </c:extLst>
        </c:ser>
        <c:ser>
          <c:idx val="1"/>
          <c:order val="1"/>
          <c:tx>
            <c:strRef>
              <c:f>'2011-2005'!$H$3</c:f>
              <c:strCache>
                <c:ptCount val="1"/>
                <c:pt idx="0">
                  <c:v>نسبة المصروفات إلى الناتج</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cat>
            <c:strRef>
              <c:f>'2011-2005'!$A$12:$A$17</c:f>
              <c:strCache>
                <c:ptCount val="6"/>
                <c:pt idx="0">
                  <c:v>2005/2006</c:v>
                </c:pt>
                <c:pt idx="1">
                  <c:v>2006/2007</c:v>
                </c:pt>
                <c:pt idx="2">
                  <c:v>2007/2008</c:v>
                </c:pt>
                <c:pt idx="3">
                  <c:v>2008/2009</c:v>
                </c:pt>
                <c:pt idx="4">
                  <c:v>2009/2010</c:v>
                </c:pt>
                <c:pt idx="5">
                  <c:v>2010/2011</c:v>
                </c:pt>
              </c:strCache>
            </c:strRef>
          </c:cat>
          <c:val>
            <c:numRef>
              <c:f>'2011-2005'!$H$12:$H$17</c:f>
              <c:numCache>
                <c:formatCode>0.0%</c:formatCode>
                <c:ptCount val="6"/>
                <c:pt idx="0">
                  <c:v>0.33642544924720741</c:v>
                </c:pt>
                <c:pt idx="1">
                  <c:v>0.29810553168635873</c:v>
                </c:pt>
                <c:pt idx="2">
                  <c:v>0.3152317141261865</c:v>
                </c:pt>
                <c:pt idx="3">
                  <c:v>0.3372673191326041</c:v>
                </c:pt>
                <c:pt idx="4">
                  <c:v>0.30329576531035052</c:v>
                </c:pt>
                <c:pt idx="5">
                  <c:v>0.29309751294580993</c:v>
                </c:pt>
              </c:numCache>
            </c:numRef>
          </c:val>
          <c:smooth val="0"/>
          <c:extLst>
            <c:ext xmlns:c16="http://schemas.microsoft.com/office/drawing/2014/chart" uri="{C3380CC4-5D6E-409C-BE32-E72D297353CC}">
              <c16:uniqueId val="{00000001-39E8-4043-9FBF-4616D70F5B32}"/>
            </c:ext>
          </c:extLst>
        </c:ser>
        <c:ser>
          <c:idx val="2"/>
          <c:order val="2"/>
          <c:tx>
            <c:strRef>
              <c:f>'2011-2005'!$I$3</c:f>
              <c:strCache>
                <c:ptCount val="1"/>
                <c:pt idx="0">
                  <c:v>نسبة العجز إلى الناتج</c:v>
                </c:pt>
              </c:strCache>
            </c:strRef>
          </c:tx>
          <c:spPr>
            <a:ln w="28575" cap="rnd">
              <a:solidFill>
                <a:schemeClr val="accent3"/>
              </a:solidFill>
              <a:prstDash val="sysDot"/>
              <a:round/>
            </a:ln>
            <a:effectLst/>
          </c:spPr>
          <c:marker>
            <c:symbol val="triangle"/>
            <c:size val="5"/>
            <c:spPr>
              <a:solidFill>
                <a:schemeClr val="accent3"/>
              </a:solidFill>
              <a:ln w="9525">
                <a:solidFill>
                  <a:schemeClr val="accent3"/>
                </a:solidFill>
                <a:prstDash val="sysDot"/>
              </a:ln>
              <a:effectLst/>
            </c:spPr>
          </c:marker>
          <c:cat>
            <c:strRef>
              <c:f>'2011-2005'!$A$12:$A$17</c:f>
              <c:strCache>
                <c:ptCount val="6"/>
                <c:pt idx="0">
                  <c:v>2005/2006</c:v>
                </c:pt>
                <c:pt idx="1">
                  <c:v>2006/2007</c:v>
                </c:pt>
                <c:pt idx="2">
                  <c:v>2007/2008</c:v>
                </c:pt>
                <c:pt idx="3">
                  <c:v>2008/2009</c:v>
                </c:pt>
                <c:pt idx="4">
                  <c:v>2009/2010</c:v>
                </c:pt>
                <c:pt idx="5">
                  <c:v>2010/2011</c:v>
                </c:pt>
              </c:strCache>
            </c:strRef>
          </c:cat>
          <c:val>
            <c:numRef>
              <c:f>'2011-2005'!$I$12:$I$17</c:f>
              <c:numCache>
                <c:formatCode>0.0%</c:formatCode>
                <c:ptCount val="6"/>
                <c:pt idx="0">
                  <c:v>8.1568722680913058E-2</c:v>
                </c:pt>
                <c:pt idx="1">
                  <c:v>7.3438506981740065E-2</c:v>
                </c:pt>
                <c:pt idx="2">
                  <c:v>6.8254606365159134E-2</c:v>
                </c:pt>
                <c:pt idx="3">
                  <c:v>6.8917674150834773E-2</c:v>
                </c:pt>
                <c:pt idx="4">
                  <c:v>8.1244716996768052E-2</c:v>
                </c:pt>
                <c:pt idx="5">
                  <c:v>9.8067245277514398E-2</c:v>
                </c:pt>
              </c:numCache>
            </c:numRef>
          </c:val>
          <c:smooth val="0"/>
          <c:extLst>
            <c:ext xmlns:c16="http://schemas.microsoft.com/office/drawing/2014/chart" uri="{C3380CC4-5D6E-409C-BE32-E72D297353CC}">
              <c16:uniqueId val="{00000002-39E8-4043-9FBF-4616D70F5B32}"/>
            </c:ext>
          </c:extLst>
        </c:ser>
        <c:dLbls>
          <c:showLegendKey val="0"/>
          <c:showVal val="0"/>
          <c:showCatName val="0"/>
          <c:showSerName val="0"/>
          <c:showPercent val="0"/>
          <c:showBubbleSize val="0"/>
        </c:dLbls>
        <c:marker val="1"/>
        <c:smooth val="0"/>
        <c:axId val="99868032"/>
        <c:axId val="99894784"/>
      </c:lineChart>
      <c:catAx>
        <c:axId val="998680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99894784"/>
        <c:crosses val="autoZero"/>
        <c:auto val="1"/>
        <c:lblAlgn val="ctr"/>
        <c:lblOffset val="100"/>
        <c:noMultiLvlLbl val="0"/>
      </c:catAx>
      <c:valAx>
        <c:axId val="998947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99868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25400" cap="flat" cmpd="sng" algn="ctr">
      <a:solidFill>
        <a:schemeClr val="accent2"/>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'2011-1999'!$H$1</c:f>
              <c:strCache>
                <c:ptCount val="1"/>
                <c:pt idx="0">
                  <c:v>تمويل خارجي</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'2011-1999'!$A$2:$A$15</c:f>
              <c:strCache>
                <c:ptCount val="13"/>
                <c:pt idx="0">
                  <c:v>1998/1999</c:v>
                </c:pt>
                <c:pt idx="1">
                  <c:v>1999/2000</c:v>
                </c:pt>
                <c:pt idx="2">
                  <c:v>2000/2001</c:v>
                </c:pt>
                <c:pt idx="3">
                  <c:v>2001/2002</c:v>
                </c:pt>
                <c:pt idx="4">
                  <c:v>2002/2003</c:v>
                </c:pt>
                <c:pt idx="5">
                  <c:v>2003/2004</c:v>
                </c:pt>
                <c:pt idx="6">
                  <c:v>2004/2005</c:v>
                </c:pt>
                <c:pt idx="7">
                  <c:v>2005/2006</c:v>
                </c:pt>
                <c:pt idx="8">
                  <c:v>2006/2007</c:v>
                </c:pt>
                <c:pt idx="9">
                  <c:v>2007/2008</c:v>
                </c:pt>
                <c:pt idx="10">
                  <c:v>2008/2009</c:v>
                </c:pt>
                <c:pt idx="11">
                  <c:v>2009/2010</c:v>
                </c:pt>
                <c:pt idx="12">
                  <c:v>2010/2011</c:v>
                </c:pt>
              </c:strCache>
              <c:extLst/>
            </c:strRef>
          </c:cat>
          <c:val>
            <c:numRef>
              <c:f>'2011-1999'!$H$2:$H$15</c:f>
              <c:numCache>
                <c:formatCode>General</c:formatCode>
                <c:ptCount val="13"/>
                <c:pt idx="0">
                  <c:v>-2001</c:v>
                </c:pt>
                <c:pt idx="1">
                  <c:v>-1487</c:v>
                </c:pt>
                <c:pt idx="2">
                  <c:v>-1946</c:v>
                </c:pt>
                <c:pt idx="3">
                  <c:v>6527</c:v>
                </c:pt>
                <c:pt idx="4">
                  <c:v>5580</c:v>
                </c:pt>
                <c:pt idx="5">
                  <c:v>504</c:v>
                </c:pt>
                <c:pt idx="6">
                  <c:v>-4243</c:v>
                </c:pt>
                <c:pt idx="7">
                  <c:v>3641</c:v>
                </c:pt>
                <c:pt idx="8">
                  <c:v>3581</c:v>
                </c:pt>
                <c:pt idx="9">
                  <c:v>11439</c:v>
                </c:pt>
                <c:pt idx="10">
                  <c:v>-1812</c:v>
                </c:pt>
                <c:pt idx="11">
                  <c:v>2458</c:v>
                </c:pt>
                <c:pt idx="12">
                  <c:v>5022</c:v>
                </c:pt>
              </c:numCache>
              <c:extLst/>
            </c:numRef>
          </c:val>
          <c:smooth val="0"/>
          <c:extLst>
            <c:ext xmlns:c16="http://schemas.microsoft.com/office/drawing/2014/chart" uri="{C3380CC4-5D6E-409C-BE32-E72D297353CC}">
              <c16:uniqueId val="{00000000-A601-4250-A02B-EF14B790B5AA}"/>
            </c:ext>
          </c:extLst>
        </c:ser>
        <c:dLbls>
          <c:showLegendKey val="0"/>
          <c:showVal val="0"/>
          <c:showCatName val="0"/>
          <c:showSerName val="0"/>
          <c:showPercent val="0"/>
          <c:showBubbleSize val="0"/>
        </c:dLbls>
        <c:marker val="1"/>
        <c:smooth val="0"/>
        <c:axId val="99907840"/>
        <c:axId val="99926400"/>
      </c:lineChart>
      <c:catAx>
        <c:axId val="999078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99926400"/>
        <c:crosses val="autoZero"/>
        <c:auto val="1"/>
        <c:lblAlgn val="ctr"/>
        <c:lblOffset val="100"/>
        <c:noMultiLvlLbl val="0"/>
      </c:catAx>
      <c:valAx>
        <c:axId val="9992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99907840"/>
        <c:crosses val="autoZero"/>
        <c:crossBetween val="between"/>
      </c:valAx>
      <c:spPr>
        <a:noFill/>
        <a:ln>
          <a:noFill/>
        </a:ln>
        <a:effectLst/>
      </c:spPr>
    </c:plotArea>
    <c:plotVisOnly val="1"/>
    <c:dispBlanksAs val="gap"/>
    <c:showDLblsOverMax val="0"/>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'2011-1999'!$J$1</c:f>
              <c:strCache>
                <c:ptCount val="1"/>
                <c:pt idx="0">
                  <c:v>تمويل محلي غير مصرفي</c:v>
                </c:pt>
              </c:strCache>
            </c:strRef>
          </c:tx>
          <c:spPr>
            <a:ln w="28575" cap="rnd">
              <a:solidFill>
                <a:schemeClr val="accent1"/>
              </a:solidFill>
              <a:prstDash val="sysDash"/>
              <a:round/>
            </a:ln>
            <a:effectLst/>
          </c:spPr>
          <c:marker>
            <c:symbol val="triangle"/>
            <c:size val="5"/>
          </c:marker>
          <c:cat>
            <c:strRef>
              <c:f>'2011-1999'!$A$2:$A$15</c:f>
              <c:strCache>
                <c:ptCount val="13"/>
                <c:pt idx="0">
                  <c:v>1998/1999</c:v>
                </c:pt>
                <c:pt idx="1">
                  <c:v>1999/2000</c:v>
                </c:pt>
                <c:pt idx="2">
                  <c:v>2000/2001</c:v>
                </c:pt>
                <c:pt idx="3">
                  <c:v>2001/2002</c:v>
                </c:pt>
                <c:pt idx="4">
                  <c:v>2002/2003</c:v>
                </c:pt>
                <c:pt idx="5">
                  <c:v>2003/2004</c:v>
                </c:pt>
                <c:pt idx="6">
                  <c:v>2004/2005</c:v>
                </c:pt>
                <c:pt idx="7">
                  <c:v>2005/2006</c:v>
                </c:pt>
                <c:pt idx="8">
                  <c:v>2006/2007</c:v>
                </c:pt>
                <c:pt idx="9">
                  <c:v>2007/2008</c:v>
                </c:pt>
                <c:pt idx="10">
                  <c:v>2008/2009</c:v>
                </c:pt>
                <c:pt idx="11">
                  <c:v>2009/2010</c:v>
                </c:pt>
                <c:pt idx="12">
                  <c:v>2010/2011</c:v>
                </c:pt>
              </c:strCache>
              <c:extLst/>
            </c:strRef>
          </c:cat>
          <c:val>
            <c:numRef>
              <c:f>'2011-1999'!$J$2:$J$15</c:f>
              <c:numCache>
                <c:formatCode>General</c:formatCode>
                <c:ptCount val="13"/>
                <c:pt idx="0">
                  <c:v>1461</c:v>
                </c:pt>
                <c:pt idx="1">
                  <c:v>10857</c:v>
                </c:pt>
                <c:pt idx="2">
                  <c:v>5437</c:v>
                </c:pt>
                <c:pt idx="3">
                  <c:v>16308</c:v>
                </c:pt>
                <c:pt idx="4">
                  <c:v>16649</c:v>
                </c:pt>
                <c:pt idx="5">
                  <c:v>24138</c:v>
                </c:pt>
                <c:pt idx="6">
                  <c:v>33750</c:v>
                </c:pt>
                <c:pt idx="7">
                  <c:v>36750</c:v>
                </c:pt>
                <c:pt idx="8">
                  <c:v>54212</c:v>
                </c:pt>
                <c:pt idx="9">
                  <c:v>3714</c:v>
                </c:pt>
                <c:pt idx="10">
                  <c:v>-15191</c:v>
                </c:pt>
                <c:pt idx="11">
                  <c:v>61229</c:v>
                </c:pt>
                <c:pt idx="12">
                  <c:v>34712</c:v>
                </c:pt>
              </c:numCache>
              <c:extLst/>
            </c:numRef>
          </c:val>
          <c:smooth val="0"/>
          <c:extLst>
            <c:ext xmlns:c16="http://schemas.microsoft.com/office/drawing/2014/chart" uri="{C3380CC4-5D6E-409C-BE32-E72D297353CC}">
              <c16:uniqueId val="{00000000-2051-443F-BBA3-663F151CBC65}"/>
            </c:ext>
          </c:extLst>
        </c:ser>
        <c:ser>
          <c:idx val="1"/>
          <c:order val="1"/>
          <c:tx>
            <c:strRef>
              <c:f>'2011-1999'!$L$1</c:f>
              <c:strCache>
                <c:ptCount val="1"/>
                <c:pt idx="0">
                  <c:v>تمويل محلي مصرفي</c:v>
                </c:pt>
              </c:strCache>
            </c:strRef>
          </c:tx>
          <c:spPr>
            <a:ln w="28575" cap="rnd">
              <a:solidFill>
                <a:schemeClr val="accent2"/>
              </a:solidFill>
              <a:round/>
            </a:ln>
            <a:effectLst/>
          </c:spPr>
          <c:marker>
            <c:symbol val="square"/>
            <c:size val="5"/>
          </c:marker>
          <c:cat>
            <c:strRef>
              <c:f>'2011-1999'!$A$2:$A$15</c:f>
              <c:strCache>
                <c:ptCount val="13"/>
                <c:pt idx="0">
                  <c:v>1998/1999</c:v>
                </c:pt>
                <c:pt idx="1">
                  <c:v>1999/2000</c:v>
                </c:pt>
                <c:pt idx="2">
                  <c:v>2000/2001</c:v>
                </c:pt>
                <c:pt idx="3">
                  <c:v>2001/2002</c:v>
                </c:pt>
                <c:pt idx="4">
                  <c:v>2002/2003</c:v>
                </c:pt>
                <c:pt idx="5">
                  <c:v>2003/2004</c:v>
                </c:pt>
                <c:pt idx="6">
                  <c:v>2004/2005</c:v>
                </c:pt>
                <c:pt idx="7">
                  <c:v>2005/2006</c:v>
                </c:pt>
                <c:pt idx="8">
                  <c:v>2006/2007</c:v>
                </c:pt>
                <c:pt idx="9">
                  <c:v>2007/2008</c:v>
                </c:pt>
                <c:pt idx="10">
                  <c:v>2008/2009</c:v>
                </c:pt>
                <c:pt idx="11">
                  <c:v>2009/2010</c:v>
                </c:pt>
                <c:pt idx="12">
                  <c:v>2010/2011</c:v>
                </c:pt>
              </c:strCache>
              <c:extLst/>
            </c:strRef>
          </c:cat>
          <c:val>
            <c:numRef>
              <c:f>'2011-1999'!$L$2:$L$15</c:f>
              <c:numCache>
                <c:formatCode>General</c:formatCode>
                <c:ptCount val="13"/>
                <c:pt idx="0">
                  <c:v>8895</c:v>
                </c:pt>
                <c:pt idx="1">
                  <c:v>5978</c:v>
                </c:pt>
                <c:pt idx="2">
                  <c:v>23724</c:v>
                </c:pt>
                <c:pt idx="3">
                  <c:v>14391</c:v>
                </c:pt>
                <c:pt idx="4">
                  <c:v>19293</c:v>
                </c:pt>
                <c:pt idx="5">
                  <c:v>21196</c:v>
                </c:pt>
                <c:pt idx="6">
                  <c:v>29819</c:v>
                </c:pt>
                <c:pt idx="7">
                  <c:v>17631</c:v>
                </c:pt>
                <c:pt idx="8">
                  <c:v>-20926</c:v>
                </c:pt>
                <c:pt idx="9">
                  <c:v>-3187</c:v>
                </c:pt>
                <c:pt idx="10">
                  <c:v>98818</c:v>
                </c:pt>
                <c:pt idx="11">
                  <c:v>40263</c:v>
                </c:pt>
                <c:pt idx="12">
                  <c:v>109583</c:v>
                </c:pt>
              </c:numCache>
              <c:extLst/>
            </c:numRef>
          </c:val>
          <c:smooth val="0"/>
          <c:extLst>
            <c:ext xmlns:c16="http://schemas.microsoft.com/office/drawing/2014/chart" uri="{C3380CC4-5D6E-409C-BE32-E72D297353CC}">
              <c16:uniqueId val="{00000001-2051-443F-BBA3-663F151CBC65}"/>
            </c:ext>
          </c:extLst>
        </c:ser>
        <c:dLbls>
          <c:showLegendKey val="0"/>
          <c:showVal val="0"/>
          <c:showCatName val="0"/>
          <c:showSerName val="0"/>
          <c:showPercent val="0"/>
          <c:showBubbleSize val="0"/>
        </c:dLbls>
        <c:marker val="1"/>
        <c:smooth val="0"/>
        <c:axId val="99959936"/>
        <c:axId val="99961472"/>
      </c:lineChart>
      <c:catAx>
        <c:axId val="999599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99961472"/>
        <c:crosses val="autoZero"/>
        <c:auto val="1"/>
        <c:lblAlgn val="ctr"/>
        <c:lblOffset val="100"/>
        <c:noMultiLvlLbl val="0"/>
      </c:catAx>
      <c:valAx>
        <c:axId val="99961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99959936"/>
        <c:crosses val="autoZero"/>
        <c:crossBetween val="between"/>
      </c:valAx>
      <c:spPr>
        <a:noFill/>
        <a:ln>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ar-EG"/>
              <a:t>التمويل المحلي والتمويل الخارجي</a:t>
            </a:r>
          </a:p>
        </c:rich>
      </c:tx>
      <c:overlay val="0"/>
      <c:spPr>
        <a:noFill/>
        <a:ln>
          <a:noFill/>
        </a:ln>
        <a:effectLst/>
      </c:spPr>
    </c:title>
    <c:autoTitleDeleted val="0"/>
    <c:plotArea>
      <c:layout/>
      <c:lineChart>
        <c:grouping val="standard"/>
        <c:varyColors val="0"/>
        <c:ser>
          <c:idx val="0"/>
          <c:order val="0"/>
          <c:tx>
            <c:strRef>
              <c:f>'2011-1999'!$H$1</c:f>
              <c:strCache>
                <c:ptCount val="1"/>
                <c:pt idx="0">
                  <c:v>تمويل خارجي</c:v>
                </c:pt>
              </c:strCache>
            </c:strRef>
          </c:tx>
          <c:spPr>
            <a:ln w="28575" cap="rnd">
              <a:solidFill>
                <a:schemeClr val="accent1"/>
              </a:solidFill>
              <a:round/>
            </a:ln>
            <a:effectLst/>
          </c:spPr>
          <c:marker>
            <c:symbol val="square"/>
            <c:size val="5"/>
          </c:marker>
          <c:cat>
            <c:strRef>
              <c:f>'2011-1999'!$A$2:$A$15</c:f>
              <c:strCache>
                <c:ptCount val="14"/>
                <c:pt idx="0">
                  <c:v>1997/1998</c:v>
                </c:pt>
                <c:pt idx="1">
                  <c:v>1998/1999</c:v>
                </c:pt>
                <c:pt idx="2">
                  <c:v>1999/2000</c:v>
                </c:pt>
                <c:pt idx="3">
                  <c:v>2000/2001</c:v>
                </c:pt>
                <c:pt idx="4">
                  <c:v>2001/2002</c:v>
                </c:pt>
                <c:pt idx="5">
                  <c:v>2002/2003</c:v>
                </c:pt>
                <c:pt idx="6">
                  <c:v>2003/2004</c:v>
                </c:pt>
                <c:pt idx="7">
                  <c:v>2004/2005</c:v>
                </c:pt>
                <c:pt idx="8">
                  <c:v>2005/2006</c:v>
                </c:pt>
                <c:pt idx="9">
                  <c:v>2006/2007</c:v>
                </c:pt>
                <c:pt idx="10">
                  <c:v>2007/2008</c:v>
                </c:pt>
                <c:pt idx="11">
                  <c:v>2008/2009</c:v>
                </c:pt>
                <c:pt idx="12">
                  <c:v>2009/2010</c:v>
                </c:pt>
                <c:pt idx="13">
                  <c:v>2010/2011</c:v>
                </c:pt>
              </c:strCache>
            </c:strRef>
          </c:cat>
          <c:val>
            <c:numRef>
              <c:f>'2011-1999'!$H$2:$H$15</c:f>
              <c:numCache>
                <c:formatCode>General</c:formatCode>
                <c:ptCount val="14"/>
                <c:pt idx="0">
                  <c:v>-1328</c:v>
                </c:pt>
                <c:pt idx="1">
                  <c:v>-2001</c:v>
                </c:pt>
                <c:pt idx="2">
                  <c:v>-1487</c:v>
                </c:pt>
                <c:pt idx="3">
                  <c:v>-1946</c:v>
                </c:pt>
                <c:pt idx="4">
                  <c:v>6527</c:v>
                </c:pt>
                <c:pt idx="5">
                  <c:v>5580</c:v>
                </c:pt>
                <c:pt idx="6">
                  <c:v>504</c:v>
                </c:pt>
                <c:pt idx="7">
                  <c:v>-4243</c:v>
                </c:pt>
                <c:pt idx="8">
                  <c:v>3641</c:v>
                </c:pt>
                <c:pt idx="9">
                  <c:v>3581</c:v>
                </c:pt>
                <c:pt idx="10">
                  <c:v>11439</c:v>
                </c:pt>
                <c:pt idx="11">
                  <c:v>-1812</c:v>
                </c:pt>
                <c:pt idx="12">
                  <c:v>2458</c:v>
                </c:pt>
                <c:pt idx="13">
                  <c:v>5022</c:v>
                </c:pt>
              </c:numCache>
            </c:numRef>
          </c:val>
          <c:smooth val="0"/>
          <c:extLst>
            <c:ext xmlns:c16="http://schemas.microsoft.com/office/drawing/2014/chart" uri="{C3380CC4-5D6E-409C-BE32-E72D297353CC}">
              <c16:uniqueId val="{00000000-98F7-4E26-ACF8-83FB9918B3EB}"/>
            </c:ext>
          </c:extLst>
        </c:ser>
        <c:ser>
          <c:idx val="1"/>
          <c:order val="1"/>
          <c:tx>
            <c:strRef>
              <c:f>'2011-1999'!$N$1</c:f>
              <c:strCache>
                <c:ptCount val="1"/>
                <c:pt idx="0">
                  <c:v>إجمالي التمويل المحلي</c:v>
                </c:pt>
              </c:strCache>
            </c:strRef>
          </c:tx>
          <c:spPr>
            <a:ln w="28575" cap="rnd">
              <a:solidFill>
                <a:schemeClr val="accent2"/>
              </a:solidFill>
              <a:prstDash val="sysDash"/>
              <a:round/>
            </a:ln>
            <a:effectLst/>
          </c:spPr>
          <c:marker>
            <c:symbol val="triangle"/>
            <c:size val="5"/>
          </c:marker>
          <c:cat>
            <c:strRef>
              <c:f>'2011-1999'!$A$2:$A$15</c:f>
              <c:strCache>
                <c:ptCount val="14"/>
                <c:pt idx="0">
                  <c:v>1997/1998</c:v>
                </c:pt>
                <c:pt idx="1">
                  <c:v>1998/1999</c:v>
                </c:pt>
                <c:pt idx="2">
                  <c:v>1999/2000</c:v>
                </c:pt>
                <c:pt idx="3">
                  <c:v>2000/2001</c:v>
                </c:pt>
                <c:pt idx="4">
                  <c:v>2001/2002</c:v>
                </c:pt>
                <c:pt idx="5">
                  <c:v>2002/2003</c:v>
                </c:pt>
                <c:pt idx="6">
                  <c:v>2003/2004</c:v>
                </c:pt>
                <c:pt idx="7">
                  <c:v>2004/2005</c:v>
                </c:pt>
                <c:pt idx="8">
                  <c:v>2005/2006</c:v>
                </c:pt>
                <c:pt idx="9">
                  <c:v>2006/2007</c:v>
                </c:pt>
                <c:pt idx="10">
                  <c:v>2007/2008</c:v>
                </c:pt>
                <c:pt idx="11">
                  <c:v>2008/2009</c:v>
                </c:pt>
                <c:pt idx="12">
                  <c:v>2009/2010</c:v>
                </c:pt>
                <c:pt idx="13">
                  <c:v>2010/2011</c:v>
                </c:pt>
              </c:strCache>
            </c:strRef>
          </c:cat>
          <c:val>
            <c:numRef>
              <c:f>'2011-1999'!$N$2:$N$15</c:f>
              <c:numCache>
                <c:formatCode>General</c:formatCode>
                <c:ptCount val="14"/>
                <c:pt idx="0">
                  <c:v>4148</c:v>
                </c:pt>
                <c:pt idx="1">
                  <c:v>10356</c:v>
                </c:pt>
                <c:pt idx="2">
                  <c:v>16835</c:v>
                </c:pt>
                <c:pt idx="3">
                  <c:v>29161</c:v>
                </c:pt>
                <c:pt idx="4">
                  <c:v>30699</c:v>
                </c:pt>
                <c:pt idx="5">
                  <c:v>35942</c:v>
                </c:pt>
                <c:pt idx="6">
                  <c:v>45334</c:v>
                </c:pt>
                <c:pt idx="7">
                  <c:v>63569</c:v>
                </c:pt>
                <c:pt idx="8">
                  <c:v>54381</c:v>
                </c:pt>
                <c:pt idx="9">
                  <c:v>33286</c:v>
                </c:pt>
                <c:pt idx="10">
                  <c:v>527</c:v>
                </c:pt>
                <c:pt idx="11">
                  <c:v>83627</c:v>
                </c:pt>
                <c:pt idx="12">
                  <c:v>101492</c:v>
                </c:pt>
                <c:pt idx="13">
                  <c:v>144295</c:v>
                </c:pt>
              </c:numCache>
            </c:numRef>
          </c:val>
          <c:smooth val="0"/>
          <c:extLst>
            <c:ext xmlns:c16="http://schemas.microsoft.com/office/drawing/2014/chart" uri="{C3380CC4-5D6E-409C-BE32-E72D297353CC}">
              <c16:uniqueId val="{00000001-98F7-4E26-ACF8-83FB9918B3EB}"/>
            </c:ext>
          </c:extLst>
        </c:ser>
        <c:dLbls>
          <c:showLegendKey val="0"/>
          <c:showVal val="0"/>
          <c:showCatName val="0"/>
          <c:showSerName val="0"/>
          <c:showPercent val="0"/>
          <c:showBubbleSize val="0"/>
        </c:dLbls>
        <c:marker val="1"/>
        <c:smooth val="0"/>
        <c:axId val="100000128"/>
        <c:axId val="100001664"/>
      </c:lineChart>
      <c:catAx>
        <c:axId val="1000001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00001664"/>
        <c:crosses val="autoZero"/>
        <c:auto val="1"/>
        <c:lblAlgn val="ctr"/>
        <c:lblOffset val="100"/>
        <c:noMultiLvlLbl val="0"/>
      </c:catAx>
      <c:valAx>
        <c:axId val="100001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100000128"/>
        <c:crosses val="autoZero"/>
        <c:crossBetween val="between"/>
      </c:valAx>
      <c:spPr>
        <a:noFill/>
        <a:ln>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'2011-1998'!$B$1</c:f>
              <c:strCache>
                <c:ptCount val="1"/>
                <c:pt idx="0">
                  <c:v>العجز الكلي</c:v>
                </c:pt>
              </c:strCache>
            </c:strRef>
          </c:tx>
          <c:spPr>
            <a:ln>
              <a:prstDash val="sysDash"/>
            </a:ln>
          </c:spPr>
          <c:marker>
            <c:symbol val="square"/>
            <c:size val="5"/>
          </c:marker>
          <c:cat>
            <c:strRef>
              <c:f>'2011-1998'!$A$2:$A$15</c:f>
              <c:strCache>
                <c:ptCount val="14"/>
                <c:pt idx="0">
                  <c:v>1997/1998</c:v>
                </c:pt>
                <c:pt idx="1">
                  <c:v>1998/1999</c:v>
                </c:pt>
                <c:pt idx="2">
                  <c:v>1999/2000</c:v>
                </c:pt>
                <c:pt idx="3">
                  <c:v>2000/2001</c:v>
                </c:pt>
                <c:pt idx="4">
                  <c:v>2001/2002</c:v>
                </c:pt>
                <c:pt idx="5">
                  <c:v>2002/2003</c:v>
                </c:pt>
                <c:pt idx="6">
                  <c:v>2003/2004</c:v>
                </c:pt>
                <c:pt idx="7">
                  <c:v>2004/2005</c:v>
                </c:pt>
                <c:pt idx="8">
                  <c:v>2005/2006</c:v>
                </c:pt>
                <c:pt idx="9">
                  <c:v>2006/2007</c:v>
                </c:pt>
                <c:pt idx="10">
                  <c:v>2007/2008</c:v>
                </c:pt>
                <c:pt idx="11">
                  <c:v>2008/2009</c:v>
                </c:pt>
                <c:pt idx="12">
                  <c:v>2009/2010</c:v>
                </c:pt>
                <c:pt idx="13">
                  <c:v>2010/2011</c:v>
                </c:pt>
              </c:strCache>
            </c:strRef>
          </c:cat>
          <c:val>
            <c:numRef>
              <c:f>'2011-1998'!$B$2:$B$15</c:f>
              <c:numCache>
                <c:formatCode>General</c:formatCode>
                <c:ptCount val="14"/>
                <c:pt idx="0">
                  <c:v>2.82</c:v>
                </c:pt>
                <c:pt idx="1">
                  <c:v>8.923</c:v>
                </c:pt>
                <c:pt idx="2">
                  <c:v>13.201000000000001</c:v>
                </c:pt>
                <c:pt idx="3">
                  <c:v>19.981999999999999</c:v>
                </c:pt>
                <c:pt idx="4">
                  <c:v>38.485999999999997</c:v>
                </c:pt>
                <c:pt idx="5">
                  <c:v>43.643999999999998</c:v>
                </c:pt>
                <c:pt idx="6">
                  <c:v>45.878</c:v>
                </c:pt>
                <c:pt idx="7">
                  <c:v>51.643000000000001</c:v>
                </c:pt>
                <c:pt idx="8">
                  <c:v>50.384999999999998</c:v>
                </c:pt>
                <c:pt idx="9">
                  <c:v>54.697000000000003</c:v>
                </c:pt>
                <c:pt idx="10">
                  <c:v>61.122</c:v>
                </c:pt>
                <c:pt idx="11">
                  <c:v>71.825999999999993</c:v>
                </c:pt>
                <c:pt idx="12">
                  <c:v>98.037999999999997</c:v>
                </c:pt>
                <c:pt idx="13">
                  <c:v>134.46</c:v>
                </c:pt>
              </c:numCache>
            </c:numRef>
          </c:val>
          <c:smooth val="0"/>
          <c:extLst>
            <c:ext xmlns:c16="http://schemas.microsoft.com/office/drawing/2014/chart" uri="{C3380CC4-5D6E-409C-BE32-E72D297353CC}">
              <c16:uniqueId val="{00000000-0243-4794-9A43-AD2AF142B4C4}"/>
            </c:ext>
          </c:extLst>
        </c:ser>
        <c:dLbls>
          <c:showLegendKey val="0"/>
          <c:showVal val="0"/>
          <c:showCatName val="0"/>
          <c:showSerName val="0"/>
          <c:showPercent val="0"/>
          <c:showBubbleSize val="0"/>
        </c:dLbls>
        <c:marker val="1"/>
        <c:smooth val="0"/>
        <c:axId val="105555456"/>
        <c:axId val="105556992"/>
      </c:lineChart>
      <c:lineChart>
        <c:grouping val="standard"/>
        <c:varyColors val="0"/>
        <c:ser>
          <c:idx val="1"/>
          <c:order val="1"/>
          <c:tx>
            <c:strRef>
              <c:f>'2011-1998'!$P$1</c:f>
              <c:strCache>
                <c:ptCount val="1"/>
                <c:pt idx="0">
                  <c:v>الأسعار القياسية للسلع الاستهلاكية (2010 = 100)</c:v>
                </c:pt>
              </c:strCache>
            </c:strRef>
          </c:tx>
          <c:marker>
            <c:symbol val="square"/>
            <c:size val="5"/>
          </c:marker>
          <c:cat>
            <c:strRef>
              <c:f>'2011-1998'!$A$2:$A$15</c:f>
              <c:strCache>
                <c:ptCount val="14"/>
                <c:pt idx="0">
                  <c:v>1997/1998</c:v>
                </c:pt>
                <c:pt idx="1">
                  <c:v>1998/1999</c:v>
                </c:pt>
                <c:pt idx="2">
                  <c:v>1999/2000</c:v>
                </c:pt>
                <c:pt idx="3">
                  <c:v>2000/2001</c:v>
                </c:pt>
                <c:pt idx="4">
                  <c:v>2001/2002</c:v>
                </c:pt>
                <c:pt idx="5">
                  <c:v>2002/2003</c:v>
                </c:pt>
                <c:pt idx="6">
                  <c:v>2003/2004</c:v>
                </c:pt>
                <c:pt idx="7">
                  <c:v>2004/2005</c:v>
                </c:pt>
                <c:pt idx="8">
                  <c:v>2005/2006</c:v>
                </c:pt>
                <c:pt idx="9">
                  <c:v>2006/2007</c:v>
                </c:pt>
                <c:pt idx="10">
                  <c:v>2007/2008</c:v>
                </c:pt>
                <c:pt idx="11">
                  <c:v>2008/2009</c:v>
                </c:pt>
                <c:pt idx="12">
                  <c:v>2009/2010</c:v>
                </c:pt>
                <c:pt idx="13">
                  <c:v>2010/2011</c:v>
                </c:pt>
              </c:strCache>
            </c:strRef>
          </c:cat>
          <c:val>
            <c:numRef>
              <c:f>'2011-1998'!$P$2:$P$15</c:f>
              <c:numCache>
                <c:formatCode>0.0</c:formatCode>
                <c:ptCount val="14"/>
                <c:pt idx="0">
                  <c:v>40.99</c:v>
                </c:pt>
                <c:pt idx="1">
                  <c:v>42.58</c:v>
                </c:pt>
                <c:pt idx="2">
                  <c:v>43.89</c:v>
                </c:pt>
                <c:pt idx="3">
                  <c:v>45.07</c:v>
                </c:pt>
                <c:pt idx="4">
                  <c:v>46.1</c:v>
                </c:pt>
                <c:pt idx="5">
                  <c:v>47.36</c:v>
                </c:pt>
                <c:pt idx="6">
                  <c:v>49.49</c:v>
                </c:pt>
                <c:pt idx="7">
                  <c:v>55.07</c:v>
                </c:pt>
                <c:pt idx="8">
                  <c:v>57.75</c:v>
                </c:pt>
                <c:pt idx="9">
                  <c:v>62.17</c:v>
                </c:pt>
                <c:pt idx="10">
                  <c:v>67.959999999999994</c:v>
                </c:pt>
                <c:pt idx="11">
                  <c:v>80.41</c:v>
                </c:pt>
                <c:pt idx="12">
                  <c:v>89.87</c:v>
                </c:pt>
                <c:pt idx="13">
                  <c:v>100</c:v>
                </c:pt>
              </c:numCache>
            </c:numRef>
          </c:val>
          <c:smooth val="0"/>
          <c:extLst>
            <c:ext xmlns:c16="http://schemas.microsoft.com/office/drawing/2014/chart" uri="{C3380CC4-5D6E-409C-BE32-E72D297353CC}">
              <c16:uniqueId val="{00000001-0243-4794-9A43-AD2AF142B4C4}"/>
            </c:ext>
          </c:extLst>
        </c:ser>
        <c:dLbls>
          <c:showLegendKey val="0"/>
          <c:showVal val="0"/>
          <c:showCatName val="0"/>
          <c:showSerName val="0"/>
          <c:showPercent val="0"/>
          <c:showBubbleSize val="0"/>
        </c:dLbls>
        <c:marker val="1"/>
        <c:smooth val="0"/>
        <c:axId val="105573376"/>
        <c:axId val="105571456"/>
      </c:lineChart>
      <c:catAx>
        <c:axId val="105555456"/>
        <c:scaling>
          <c:orientation val="minMax"/>
        </c:scaling>
        <c:delete val="0"/>
        <c:axPos val="b"/>
        <c:numFmt formatCode="General" sourceLinked="0"/>
        <c:majorTickMark val="out"/>
        <c:minorTickMark val="none"/>
        <c:tickLblPos val="nextTo"/>
        <c:txPr>
          <a:bodyPr rot="-5400000" vert="horz"/>
          <a:lstStyle/>
          <a:p>
            <a:pPr>
              <a:defRPr/>
            </a:pPr>
            <a:endParaRPr lang="en-US"/>
          </a:p>
        </c:txPr>
        <c:crossAx val="105556992"/>
        <c:crosses val="autoZero"/>
        <c:auto val="1"/>
        <c:lblAlgn val="ctr"/>
        <c:lblOffset val="100"/>
        <c:noMultiLvlLbl val="0"/>
      </c:catAx>
      <c:valAx>
        <c:axId val="105556992"/>
        <c:scaling>
          <c:orientation val="minMax"/>
        </c:scaling>
        <c:delete val="0"/>
        <c:axPos val="l"/>
        <c:majorGridlines/>
        <c:title>
          <c:tx>
            <c:rich>
              <a:bodyPr/>
              <a:lstStyle/>
              <a:p>
                <a:pPr>
                  <a:defRPr sz="1000" b="0"/>
                </a:pPr>
                <a:r>
                  <a:rPr lang="ar-EG" sz="1000" b="0" i="0" u="none" strike="noStrike" baseline="0">
                    <a:effectLst/>
                  </a:rPr>
                  <a:t>قيم العجز بالميار جنيه مصري</a:t>
                </a:r>
                <a:endParaRPr lang="en-US" sz="1000" b="0"/>
              </a:p>
            </c:rich>
          </c:tx>
          <c:overlay val="0"/>
        </c:title>
        <c:numFmt formatCode="General" sourceLinked="1"/>
        <c:majorTickMark val="out"/>
        <c:minorTickMark val="none"/>
        <c:tickLblPos val="nextTo"/>
        <c:crossAx val="105555456"/>
        <c:crosses val="autoZero"/>
        <c:crossBetween val="between"/>
      </c:valAx>
      <c:valAx>
        <c:axId val="105571456"/>
        <c:scaling>
          <c:orientation val="minMax"/>
        </c:scaling>
        <c:delete val="0"/>
        <c:axPos val="r"/>
        <c:title>
          <c:tx>
            <c:rich>
              <a:bodyPr/>
              <a:lstStyle/>
              <a:p>
                <a:pPr marL="0" marR="0" lvl="0" indent="0" algn="ctr" defTabSz="914400" rtl="1"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r>
                  <a:rPr lang="ar-EG" sz="1000" b="0" i="0" baseline="0">
                    <a:effectLst/>
                  </a:rPr>
                  <a:t>الرقم القياسي لأسعار المستهلكين</a:t>
                </a:r>
                <a:endParaRPr lang="en-US" sz="1000" b="0">
                  <a:effectLst/>
                </a:endParaRPr>
              </a:p>
            </c:rich>
          </c:tx>
          <c:overlay val="0"/>
        </c:title>
        <c:numFmt formatCode="0" sourceLinked="0"/>
        <c:majorTickMark val="out"/>
        <c:minorTickMark val="none"/>
        <c:tickLblPos val="nextTo"/>
        <c:crossAx val="105573376"/>
        <c:crosses val="max"/>
        <c:crossBetween val="between"/>
      </c:valAx>
      <c:catAx>
        <c:axId val="105573376"/>
        <c:scaling>
          <c:orientation val="minMax"/>
        </c:scaling>
        <c:delete val="1"/>
        <c:axPos val="b"/>
        <c:title>
          <c:tx>
            <c:rich>
              <a:bodyPr/>
              <a:lstStyle/>
              <a:p>
                <a:pPr>
                  <a:defRPr b="0"/>
                </a:pPr>
                <a:r>
                  <a:rPr lang="ar-EG" b="0"/>
                  <a:t>العام</a:t>
                </a:r>
                <a:r>
                  <a:rPr lang="ar-EG" b="0" baseline="0"/>
                  <a:t> المالي</a:t>
                </a:r>
                <a:endParaRPr lang="en-US" b="0"/>
              </a:p>
            </c:rich>
          </c:tx>
          <c:overlay val="0"/>
        </c:title>
        <c:numFmt formatCode="General" sourceLinked="1"/>
        <c:majorTickMark val="out"/>
        <c:minorTickMark val="none"/>
        <c:tickLblPos val="nextTo"/>
        <c:crossAx val="105571456"/>
        <c:crosses val="autoZero"/>
        <c:auto val="1"/>
        <c:lblAlgn val="ctr"/>
        <c:lblOffset val="100"/>
        <c:noMultiLvlLbl val="0"/>
      </c:catAx>
    </c:plotArea>
    <c:legend>
      <c:legendPos val="b"/>
      <c:layout>
        <c:manualLayout>
          <c:xMode val="edge"/>
          <c:yMode val="edge"/>
          <c:x val="0.14583088321768786"/>
          <c:y val="0.90552724421795372"/>
          <c:w val="0.70982487885239209"/>
          <c:h val="7.0885587557141402E-2"/>
        </c:manualLayout>
      </c:layout>
      <c:overlay val="0"/>
    </c:legend>
    <c:plotVisOnly val="1"/>
    <c:dispBlanksAs val="gap"/>
    <c:showDLblsOverMax val="0"/>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879905373829655"/>
          <c:y val="4.3409563024535691E-2"/>
          <c:w val="0.75659051668576027"/>
          <c:h val="0.67269528392447597"/>
        </c:manualLayout>
      </c:layout>
      <c:lineChart>
        <c:grouping val="standard"/>
        <c:varyColors val="0"/>
        <c:ser>
          <c:idx val="0"/>
          <c:order val="0"/>
          <c:tx>
            <c:strRef>
              <c:f>'2011-1998'!$D$1</c:f>
              <c:strCache>
                <c:ptCount val="1"/>
                <c:pt idx="0">
                  <c:v>التمويل الخارجي</c:v>
                </c:pt>
              </c:strCache>
            </c:strRef>
          </c:tx>
          <c:spPr>
            <a:ln>
              <a:prstDash val="lgDash"/>
            </a:ln>
          </c:spPr>
          <c:marker>
            <c:symbol val="square"/>
            <c:size val="5"/>
          </c:marker>
          <c:cat>
            <c:strRef>
              <c:f>'2011-1998'!$A$2:$A$15</c:f>
              <c:strCache>
                <c:ptCount val="13"/>
                <c:pt idx="0">
                  <c:v>1998/1999</c:v>
                </c:pt>
                <c:pt idx="1">
                  <c:v>1999/2000</c:v>
                </c:pt>
                <c:pt idx="2">
                  <c:v>2000/2001</c:v>
                </c:pt>
                <c:pt idx="3">
                  <c:v>2001/2002</c:v>
                </c:pt>
                <c:pt idx="4">
                  <c:v>2002/2003</c:v>
                </c:pt>
                <c:pt idx="5">
                  <c:v>2003/2004</c:v>
                </c:pt>
                <c:pt idx="6">
                  <c:v>2004/2005</c:v>
                </c:pt>
                <c:pt idx="7">
                  <c:v>2005/2006</c:v>
                </c:pt>
                <c:pt idx="8">
                  <c:v>2006/2007</c:v>
                </c:pt>
                <c:pt idx="9">
                  <c:v>2007/2008</c:v>
                </c:pt>
                <c:pt idx="10">
                  <c:v>2008/2009</c:v>
                </c:pt>
                <c:pt idx="11">
                  <c:v>2009/2010</c:v>
                </c:pt>
                <c:pt idx="12">
                  <c:v>2010/2011</c:v>
                </c:pt>
              </c:strCache>
              <c:extLst/>
            </c:strRef>
          </c:cat>
          <c:val>
            <c:numRef>
              <c:f>'2011-1998'!$D$2:$D$15</c:f>
              <c:numCache>
                <c:formatCode>General</c:formatCode>
                <c:ptCount val="13"/>
                <c:pt idx="0">
                  <c:v>-2.0009999999999999</c:v>
                </c:pt>
                <c:pt idx="1">
                  <c:v>-1.4870000000000001</c:v>
                </c:pt>
                <c:pt idx="2">
                  <c:v>-1.946</c:v>
                </c:pt>
                <c:pt idx="3">
                  <c:v>6.5270000000000001</c:v>
                </c:pt>
                <c:pt idx="4">
                  <c:v>5.58</c:v>
                </c:pt>
                <c:pt idx="5">
                  <c:v>0.504</c:v>
                </c:pt>
                <c:pt idx="6">
                  <c:v>-4.2430000000000003</c:v>
                </c:pt>
                <c:pt idx="7">
                  <c:v>3.641</c:v>
                </c:pt>
                <c:pt idx="8">
                  <c:v>3.581</c:v>
                </c:pt>
                <c:pt idx="9">
                  <c:v>11.439</c:v>
                </c:pt>
                <c:pt idx="10">
                  <c:v>-1.8120000000000001</c:v>
                </c:pt>
                <c:pt idx="11">
                  <c:v>2.4580000000000002</c:v>
                </c:pt>
                <c:pt idx="12">
                  <c:v>5.0220000000000002</c:v>
                </c:pt>
              </c:numCache>
              <c:extLst/>
            </c:numRef>
          </c:val>
          <c:smooth val="0"/>
          <c:extLst>
            <c:ext xmlns:c16="http://schemas.microsoft.com/office/drawing/2014/chart" uri="{C3380CC4-5D6E-409C-BE32-E72D297353CC}">
              <c16:uniqueId val="{00000000-DEDD-4ED4-8C15-357485BE6577}"/>
            </c:ext>
          </c:extLst>
        </c:ser>
        <c:ser>
          <c:idx val="1"/>
          <c:order val="1"/>
          <c:tx>
            <c:strRef>
              <c:f>'2011-1998'!$F$1</c:f>
              <c:strCache>
                <c:ptCount val="1"/>
                <c:pt idx="0">
                  <c:v>تمويل محلي غير المصرفي</c:v>
                </c:pt>
              </c:strCache>
            </c:strRef>
          </c:tx>
          <c:spPr>
            <a:ln>
              <a:prstDash val="sysDash"/>
            </a:ln>
          </c:spPr>
          <c:marker>
            <c:symbol val="circle"/>
            <c:size val="5"/>
          </c:marker>
          <c:cat>
            <c:strRef>
              <c:f>'2011-1998'!$A$2:$A$15</c:f>
              <c:strCache>
                <c:ptCount val="13"/>
                <c:pt idx="0">
                  <c:v>1998/1999</c:v>
                </c:pt>
                <c:pt idx="1">
                  <c:v>1999/2000</c:v>
                </c:pt>
                <c:pt idx="2">
                  <c:v>2000/2001</c:v>
                </c:pt>
                <c:pt idx="3">
                  <c:v>2001/2002</c:v>
                </c:pt>
                <c:pt idx="4">
                  <c:v>2002/2003</c:v>
                </c:pt>
                <c:pt idx="5">
                  <c:v>2003/2004</c:v>
                </c:pt>
                <c:pt idx="6">
                  <c:v>2004/2005</c:v>
                </c:pt>
                <c:pt idx="7">
                  <c:v>2005/2006</c:v>
                </c:pt>
                <c:pt idx="8">
                  <c:v>2006/2007</c:v>
                </c:pt>
                <c:pt idx="9">
                  <c:v>2007/2008</c:v>
                </c:pt>
                <c:pt idx="10">
                  <c:v>2008/2009</c:v>
                </c:pt>
                <c:pt idx="11">
                  <c:v>2009/2010</c:v>
                </c:pt>
                <c:pt idx="12">
                  <c:v>2010/2011</c:v>
                </c:pt>
              </c:strCache>
              <c:extLst/>
            </c:strRef>
          </c:cat>
          <c:val>
            <c:numRef>
              <c:f>'2011-1998'!$F$2:$F$15</c:f>
              <c:numCache>
                <c:formatCode>General</c:formatCode>
                <c:ptCount val="13"/>
                <c:pt idx="0">
                  <c:v>1.4610000000000001</c:v>
                </c:pt>
                <c:pt idx="1">
                  <c:v>10.856999999999999</c:v>
                </c:pt>
                <c:pt idx="2">
                  <c:v>5.4370000000000003</c:v>
                </c:pt>
                <c:pt idx="3">
                  <c:v>16.308</c:v>
                </c:pt>
                <c:pt idx="4">
                  <c:v>16.649000000000001</c:v>
                </c:pt>
                <c:pt idx="5">
                  <c:v>24.138000000000002</c:v>
                </c:pt>
                <c:pt idx="6">
                  <c:v>3.375</c:v>
                </c:pt>
                <c:pt idx="7">
                  <c:v>36.75</c:v>
                </c:pt>
                <c:pt idx="8">
                  <c:v>54.212000000000003</c:v>
                </c:pt>
                <c:pt idx="9">
                  <c:v>3.714</c:v>
                </c:pt>
                <c:pt idx="10">
                  <c:v>-15.191000000000001</c:v>
                </c:pt>
                <c:pt idx="11">
                  <c:v>61.228999999999999</c:v>
                </c:pt>
                <c:pt idx="12">
                  <c:v>34.712000000000003</c:v>
                </c:pt>
              </c:numCache>
              <c:extLst/>
            </c:numRef>
          </c:val>
          <c:smooth val="0"/>
          <c:extLst>
            <c:ext xmlns:c16="http://schemas.microsoft.com/office/drawing/2014/chart" uri="{C3380CC4-5D6E-409C-BE32-E72D297353CC}">
              <c16:uniqueId val="{00000001-DEDD-4ED4-8C15-357485BE6577}"/>
            </c:ext>
          </c:extLst>
        </c:ser>
        <c:ser>
          <c:idx val="2"/>
          <c:order val="2"/>
          <c:tx>
            <c:strRef>
              <c:f>'2011-1998'!$H$1</c:f>
              <c:strCache>
                <c:ptCount val="1"/>
                <c:pt idx="0">
                  <c:v>تمويل محلي مصرفي</c:v>
                </c:pt>
              </c:strCache>
            </c:strRef>
          </c:tx>
          <c:spPr>
            <a:ln>
              <a:prstDash val="dash"/>
            </a:ln>
          </c:spPr>
          <c:marker>
            <c:symbol val="square"/>
            <c:size val="5"/>
          </c:marker>
          <c:cat>
            <c:strRef>
              <c:f>'2011-1998'!$A$2:$A$15</c:f>
              <c:strCache>
                <c:ptCount val="13"/>
                <c:pt idx="0">
                  <c:v>1998/1999</c:v>
                </c:pt>
                <c:pt idx="1">
                  <c:v>1999/2000</c:v>
                </c:pt>
                <c:pt idx="2">
                  <c:v>2000/2001</c:v>
                </c:pt>
                <c:pt idx="3">
                  <c:v>2001/2002</c:v>
                </c:pt>
                <c:pt idx="4">
                  <c:v>2002/2003</c:v>
                </c:pt>
                <c:pt idx="5">
                  <c:v>2003/2004</c:v>
                </c:pt>
                <c:pt idx="6">
                  <c:v>2004/2005</c:v>
                </c:pt>
                <c:pt idx="7">
                  <c:v>2005/2006</c:v>
                </c:pt>
                <c:pt idx="8">
                  <c:v>2006/2007</c:v>
                </c:pt>
                <c:pt idx="9">
                  <c:v>2007/2008</c:v>
                </c:pt>
                <c:pt idx="10">
                  <c:v>2008/2009</c:v>
                </c:pt>
                <c:pt idx="11">
                  <c:v>2009/2010</c:v>
                </c:pt>
                <c:pt idx="12">
                  <c:v>2010/2011</c:v>
                </c:pt>
              </c:strCache>
              <c:extLst/>
            </c:strRef>
          </c:cat>
          <c:val>
            <c:numRef>
              <c:f>'2011-1998'!$H$2:$H$15</c:f>
              <c:numCache>
                <c:formatCode>General</c:formatCode>
                <c:ptCount val="13"/>
                <c:pt idx="0">
                  <c:v>8.8949999999999996</c:v>
                </c:pt>
                <c:pt idx="1">
                  <c:v>5.9779999999999998</c:v>
                </c:pt>
                <c:pt idx="2">
                  <c:v>23.724</c:v>
                </c:pt>
                <c:pt idx="3">
                  <c:v>14.391</c:v>
                </c:pt>
                <c:pt idx="4">
                  <c:v>19.292999999999999</c:v>
                </c:pt>
                <c:pt idx="5">
                  <c:v>21.196000000000002</c:v>
                </c:pt>
                <c:pt idx="6">
                  <c:v>29.818999999999999</c:v>
                </c:pt>
                <c:pt idx="7">
                  <c:v>17.631</c:v>
                </c:pt>
                <c:pt idx="8">
                  <c:v>-20.925999999999998</c:v>
                </c:pt>
                <c:pt idx="9">
                  <c:v>-3.1869999999999998</c:v>
                </c:pt>
                <c:pt idx="10">
                  <c:v>98.817999999999998</c:v>
                </c:pt>
                <c:pt idx="11">
                  <c:v>40.262999999999998</c:v>
                </c:pt>
                <c:pt idx="12">
                  <c:v>109.583</c:v>
                </c:pt>
              </c:numCache>
              <c:extLst/>
            </c:numRef>
          </c:val>
          <c:smooth val="0"/>
          <c:extLst>
            <c:ext xmlns:c16="http://schemas.microsoft.com/office/drawing/2014/chart" uri="{C3380CC4-5D6E-409C-BE32-E72D297353CC}">
              <c16:uniqueId val="{00000002-DEDD-4ED4-8C15-357485BE6577}"/>
            </c:ext>
          </c:extLst>
        </c:ser>
        <c:dLbls>
          <c:showLegendKey val="0"/>
          <c:showVal val="0"/>
          <c:showCatName val="0"/>
          <c:showSerName val="0"/>
          <c:showPercent val="0"/>
          <c:showBubbleSize val="0"/>
        </c:dLbls>
        <c:marker val="1"/>
        <c:smooth val="0"/>
        <c:axId val="105627008"/>
        <c:axId val="105629184"/>
      </c:lineChart>
      <c:lineChart>
        <c:grouping val="standard"/>
        <c:varyColors val="0"/>
        <c:ser>
          <c:idx val="3"/>
          <c:order val="3"/>
          <c:tx>
            <c:strRef>
              <c:f>'2011-1998'!$P$1</c:f>
              <c:strCache>
                <c:ptCount val="1"/>
                <c:pt idx="0">
                  <c:v>الأسعار القياسية للسلع الاستهلاكية (2010 = 100)</c:v>
                </c:pt>
              </c:strCache>
            </c:strRef>
          </c:tx>
          <c:spPr>
            <a:ln>
              <a:prstDash val="solid"/>
            </a:ln>
          </c:spPr>
          <c:marker>
            <c:symbol val="none"/>
          </c:marker>
          <c:cat>
            <c:strRef>
              <c:f>'2011-1998'!$A$2:$A$15</c:f>
              <c:strCache>
                <c:ptCount val="13"/>
                <c:pt idx="0">
                  <c:v>1998/1999</c:v>
                </c:pt>
                <c:pt idx="1">
                  <c:v>1999/2000</c:v>
                </c:pt>
                <c:pt idx="2">
                  <c:v>2000/2001</c:v>
                </c:pt>
                <c:pt idx="3">
                  <c:v>2001/2002</c:v>
                </c:pt>
                <c:pt idx="4">
                  <c:v>2002/2003</c:v>
                </c:pt>
                <c:pt idx="5">
                  <c:v>2003/2004</c:v>
                </c:pt>
                <c:pt idx="6">
                  <c:v>2004/2005</c:v>
                </c:pt>
                <c:pt idx="7">
                  <c:v>2005/2006</c:v>
                </c:pt>
                <c:pt idx="8">
                  <c:v>2006/2007</c:v>
                </c:pt>
                <c:pt idx="9">
                  <c:v>2007/2008</c:v>
                </c:pt>
                <c:pt idx="10">
                  <c:v>2008/2009</c:v>
                </c:pt>
                <c:pt idx="11">
                  <c:v>2009/2010</c:v>
                </c:pt>
                <c:pt idx="12">
                  <c:v>2010/2011</c:v>
                </c:pt>
              </c:strCache>
              <c:extLst/>
            </c:strRef>
          </c:cat>
          <c:val>
            <c:numRef>
              <c:f>'2011-1998'!$P$2:$P$15</c:f>
              <c:numCache>
                <c:formatCode>0.0</c:formatCode>
                <c:ptCount val="13"/>
                <c:pt idx="0">
                  <c:v>42.58</c:v>
                </c:pt>
                <c:pt idx="1">
                  <c:v>43.89</c:v>
                </c:pt>
                <c:pt idx="2">
                  <c:v>45.07</c:v>
                </c:pt>
                <c:pt idx="3">
                  <c:v>46.1</c:v>
                </c:pt>
                <c:pt idx="4">
                  <c:v>47.36</c:v>
                </c:pt>
                <c:pt idx="5">
                  <c:v>49.49</c:v>
                </c:pt>
                <c:pt idx="6">
                  <c:v>55.07</c:v>
                </c:pt>
                <c:pt idx="7">
                  <c:v>57.75</c:v>
                </c:pt>
                <c:pt idx="8">
                  <c:v>62.17</c:v>
                </c:pt>
                <c:pt idx="9">
                  <c:v>67.959999999999994</c:v>
                </c:pt>
                <c:pt idx="10">
                  <c:v>80.41</c:v>
                </c:pt>
                <c:pt idx="11">
                  <c:v>89.87</c:v>
                </c:pt>
                <c:pt idx="12">
                  <c:v>100</c:v>
                </c:pt>
              </c:numCache>
              <c:extLst/>
            </c:numRef>
          </c:val>
          <c:smooth val="0"/>
          <c:extLst>
            <c:ext xmlns:c16="http://schemas.microsoft.com/office/drawing/2014/chart" uri="{C3380CC4-5D6E-409C-BE32-E72D297353CC}">
              <c16:uniqueId val="{00000003-DEDD-4ED4-8C15-357485BE6577}"/>
            </c:ext>
          </c:extLst>
        </c:ser>
        <c:dLbls>
          <c:showLegendKey val="0"/>
          <c:showVal val="0"/>
          <c:showCatName val="0"/>
          <c:showSerName val="0"/>
          <c:showPercent val="0"/>
          <c:showBubbleSize val="0"/>
        </c:dLbls>
        <c:marker val="1"/>
        <c:smooth val="0"/>
        <c:axId val="105641472"/>
        <c:axId val="105631104"/>
      </c:lineChart>
      <c:dateAx>
        <c:axId val="105627008"/>
        <c:scaling>
          <c:orientation val="minMax"/>
        </c:scaling>
        <c:delete val="0"/>
        <c:axPos val="b"/>
        <c:title>
          <c:tx>
            <c:rich>
              <a:bodyPr/>
              <a:lstStyle/>
              <a:p>
                <a:pPr>
                  <a:defRPr b="0"/>
                </a:pPr>
                <a:r>
                  <a:rPr lang="ar-EG" b="0"/>
                  <a:t>العام</a:t>
                </a:r>
                <a:r>
                  <a:rPr lang="ar-EG" b="0" baseline="0"/>
                  <a:t> المالي</a:t>
                </a:r>
                <a:endParaRPr lang="en-US" b="0"/>
              </a:p>
            </c:rich>
          </c:tx>
          <c:layout>
            <c:manualLayout>
              <c:xMode val="edge"/>
              <c:yMode val="edge"/>
              <c:x val="0.44998229844280763"/>
              <c:y val="0.81475999839494784"/>
            </c:manualLayout>
          </c:layout>
          <c:overlay val="0"/>
        </c:title>
        <c:numFmt formatCode="General" sourceLinked="0"/>
        <c:majorTickMark val="out"/>
        <c:minorTickMark val="cross"/>
        <c:tickLblPos val="nextTo"/>
        <c:spPr>
          <a:ln/>
        </c:spPr>
        <c:txPr>
          <a:bodyPr rot="-5400000" vert="horz" anchor="b" anchorCtr="0"/>
          <a:lstStyle/>
          <a:p>
            <a:pPr>
              <a:defRPr/>
            </a:pPr>
            <a:endParaRPr lang="en-US"/>
          </a:p>
        </c:txPr>
        <c:crossAx val="105629184"/>
        <c:crossesAt val="-15"/>
        <c:auto val="0"/>
        <c:lblOffset val="100"/>
        <c:baseTimeUnit val="days"/>
        <c:minorUnit val="2"/>
      </c:dateAx>
      <c:valAx>
        <c:axId val="105629184"/>
        <c:scaling>
          <c:orientation val="minMax"/>
          <c:min val="-40"/>
        </c:scaling>
        <c:delete val="0"/>
        <c:axPos val="l"/>
        <c:majorGridlines/>
        <c:title>
          <c:tx>
            <c:rich>
              <a:bodyPr/>
              <a:lstStyle/>
              <a:p>
                <a:pPr marL="0" marR="0" lvl="0" indent="0" algn="ctr" defTabSz="914400" rtl="1"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ar-EG" sz="1000" b="0" i="0" baseline="0">
                    <a:effectLst/>
                  </a:rPr>
                  <a:t>قيم التمويل بالميار جنيه مصري</a:t>
                </a:r>
                <a:endParaRPr lang="en-US" sz="1000">
                  <a:effectLst/>
                </a:endParaRPr>
              </a:p>
            </c:rich>
          </c:tx>
          <c:overlay val="0"/>
        </c:title>
        <c:numFmt formatCode="General" sourceLinked="1"/>
        <c:majorTickMark val="out"/>
        <c:minorTickMark val="none"/>
        <c:tickLblPos val="nextTo"/>
        <c:crossAx val="105627008"/>
        <c:crosses val="autoZero"/>
        <c:crossBetween val="between"/>
      </c:valAx>
      <c:valAx>
        <c:axId val="105631104"/>
        <c:scaling>
          <c:orientation val="minMax"/>
        </c:scaling>
        <c:delete val="0"/>
        <c:axPos val="r"/>
        <c:title>
          <c:tx>
            <c:rich>
              <a:bodyPr/>
              <a:lstStyle/>
              <a:p>
                <a:pPr marL="0" marR="0" lvl="0" indent="0" algn="ctr" defTabSz="914400" rtl="1"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ar-EG" sz="1000" b="0" i="0" baseline="0">
                    <a:effectLst/>
                  </a:rPr>
                  <a:t>الرقم القياسي لأسعار المستهلكين</a:t>
                </a:r>
                <a:endParaRPr lang="en-US" sz="1000">
                  <a:effectLst/>
                </a:endParaRPr>
              </a:p>
            </c:rich>
          </c:tx>
          <c:overlay val="0"/>
        </c:title>
        <c:numFmt formatCode="0.0" sourceLinked="1"/>
        <c:majorTickMark val="out"/>
        <c:minorTickMark val="none"/>
        <c:tickLblPos val="nextTo"/>
        <c:crossAx val="105641472"/>
        <c:crosses val="max"/>
        <c:crossBetween val="between"/>
      </c:valAx>
      <c:catAx>
        <c:axId val="105641472"/>
        <c:scaling>
          <c:orientation val="minMax"/>
        </c:scaling>
        <c:delete val="1"/>
        <c:axPos val="b"/>
        <c:numFmt formatCode="General" sourceLinked="1"/>
        <c:majorTickMark val="out"/>
        <c:minorTickMark val="none"/>
        <c:tickLblPos val="nextTo"/>
        <c:crossAx val="105631104"/>
        <c:crosses val="autoZero"/>
        <c:auto val="1"/>
        <c:lblAlgn val="ctr"/>
        <c:lblOffset val="100"/>
        <c:noMultiLvlLbl val="0"/>
      </c:catAx>
    </c:plotArea>
    <c:legend>
      <c:legendPos val="b"/>
      <c:layout>
        <c:manualLayout>
          <c:xMode val="edge"/>
          <c:yMode val="edge"/>
          <c:x val="1.6492223115873485E-2"/>
          <c:y val="0.8622423814036182"/>
          <c:w val="0.96587502882176623"/>
          <c:h val="0.12599752451562921"/>
        </c:manualLayout>
      </c:layout>
      <c:overlay val="0"/>
      <c:txPr>
        <a:bodyPr/>
        <a:lstStyle/>
        <a:p>
          <a:pPr>
            <a:defRPr sz="1000"/>
          </a:pPr>
          <a:endParaRPr lang="en-US"/>
        </a:p>
      </c:txPr>
    </c:legend>
    <c:plotVisOnly val="1"/>
    <c:dispBlanksAs val="gap"/>
    <c:showDLblsOverMax val="0"/>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'1998-1991'!$J$3</c:f>
              <c:strCache>
                <c:ptCount val="1"/>
                <c:pt idx="0">
                  <c:v>التغير النسبي في الإيرادات</c:v>
                </c:pt>
              </c:strCache>
            </c:strRef>
          </c:tx>
          <c:spPr>
            <a:pattFill prst="pct20">
              <a:fgClr>
                <a:schemeClr val="accent1"/>
              </a:fgClr>
              <a:bgClr>
                <a:schemeClr val="bg1"/>
              </a:bgClr>
            </a:pattFill>
            <a:ln w="3175">
              <a:solidFill>
                <a:schemeClr val="tx1"/>
              </a:solidFill>
            </a:ln>
            <a:effectLst/>
          </c:spPr>
          <c:invertIfNegative val="0"/>
          <c:cat>
            <c:strRef>
              <c:f>'1998-1991'!$A$4:$A$11</c:f>
              <c:strCache>
                <c:ptCount val="7"/>
                <c:pt idx="0">
                  <c:v>1991/1992</c:v>
                </c:pt>
                <c:pt idx="1">
                  <c:v>1992/1993</c:v>
                </c:pt>
                <c:pt idx="2">
                  <c:v>1993/1994</c:v>
                </c:pt>
                <c:pt idx="3">
                  <c:v>1994/1995</c:v>
                </c:pt>
                <c:pt idx="4">
                  <c:v>1995/1996</c:v>
                </c:pt>
                <c:pt idx="5">
                  <c:v>1996/1997</c:v>
                </c:pt>
                <c:pt idx="6">
                  <c:v>1997/1998</c:v>
                </c:pt>
              </c:strCache>
            </c:strRef>
          </c:cat>
          <c:val>
            <c:numRef>
              <c:f>'1998-1991'!$J$4:$J$11</c:f>
              <c:numCache>
                <c:formatCode>0.0%</c:formatCode>
                <c:ptCount val="7"/>
                <c:pt idx="0">
                  <c:v>0.28870214752567691</c:v>
                </c:pt>
                <c:pt idx="1">
                  <c:v>0.12792831956721248</c:v>
                </c:pt>
                <c:pt idx="2">
                  <c:v>0.12555938590668694</c:v>
                </c:pt>
                <c:pt idx="3">
                  <c:v>5.9961572849886811E-2</c:v>
                </c:pt>
                <c:pt idx="4">
                  <c:v>9.2858809382795809E-2</c:v>
                </c:pt>
                <c:pt idx="5">
                  <c:v>5.9202207150247155E-2</c:v>
                </c:pt>
                <c:pt idx="6">
                  <c:v>5.372259604948991E-2</c:v>
                </c:pt>
              </c:numCache>
            </c:numRef>
          </c:val>
          <c:extLst>
            <c:ext xmlns:c16="http://schemas.microsoft.com/office/drawing/2014/chart" uri="{C3380CC4-5D6E-409C-BE32-E72D297353CC}">
              <c16:uniqueId val="{00000000-2DC5-4127-9BA3-2FB71397B05B}"/>
            </c:ext>
          </c:extLst>
        </c:ser>
        <c:ser>
          <c:idx val="1"/>
          <c:order val="1"/>
          <c:tx>
            <c:strRef>
              <c:f>'1998-1991'!$K$3</c:f>
              <c:strCache>
                <c:ptCount val="1"/>
                <c:pt idx="0">
                  <c:v>التغير النسبي في المصروفات</c:v>
                </c:pt>
              </c:strCache>
            </c:strRef>
          </c:tx>
          <c:spPr>
            <a:solidFill>
              <a:schemeClr val="accent2"/>
            </a:solidFill>
            <a:ln>
              <a:noFill/>
            </a:ln>
            <a:effectLst/>
          </c:spPr>
          <c:invertIfNegative val="0"/>
          <c:cat>
            <c:strRef>
              <c:f>'1998-1991'!$A$4:$A$11</c:f>
              <c:strCache>
                <c:ptCount val="7"/>
                <c:pt idx="0">
                  <c:v>1991/1992</c:v>
                </c:pt>
                <c:pt idx="1">
                  <c:v>1992/1993</c:v>
                </c:pt>
                <c:pt idx="2">
                  <c:v>1993/1994</c:v>
                </c:pt>
                <c:pt idx="3">
                  <c:v>1994/1995</c:v>
                </c:pt>
                <c:pt idx="4">
                  <c:v>1995/1996</c:v>
                </c:pt>
                <c:pt idx="5">
                  <c:v>1996/1997</c:v>
                </c:pt>
                <c:pt idx="6">
                  <c:v>1997/1998</c:v>
                </c:pt>
              </c:strCache>
            </c:strRef>
          </c:cat>
          <c:val>
            <c:numRef>
              <c:f>'1998-1991'!$K$4:$K$11</c:f>
              <c:numCache>
                <c:formatCode>0.0%</c:formatCode>
                <c:ptCount val="7"/>
                <c:pt idx="0">
                  <c:v>0.12794061847846708</c:v>
                </c:pt>
                <c:pt idx="1">
                  <c:v>9.7975316948047855E-2</c:v>
                </c:pt>
                <c:pt idx="2">
                  <c:v>7.718821209045823E-2</c:v>
                </c:pt>
                <c:pt idx="3">
                  <c:v>3.5588580367618305E-2</c:v>
                </c:pt>
                <c:pt idx="4">
                  <c:v>9.6693902773963197E-2</c:v>
                </c:pt>
                <c:pt idx="5">
                  <c:v>4.5970354834165505E-2</c:v>
                </c:pt>
                <c:pt idx="6">
                  <c:v>5.9213479783317868E-2</c:v>
                </c:pt>
              </c:numCache>
            </c:numRef>
          </c:val>
          <c:extLst>
            <c:ext xmlns:c16="http://schemas.microsoft.com/office/drawing/2014/chart" uri="{C3380CC4-5D6E-409C-BE32-E72D297353CC}">
              <c16:uniqueId val="{00000001-2DC5-4127-9BA3-2FB71397B05B}"/>
            </c:ext>
          </c:extLst>
        </c:ser>
        <c:dLbls>
          <c:showLegendKey val="0"/>
          <c:showVal val="0"/>
          <c:showCatName val="0"/>
          <c:showSerName val="0"/>
          <c:showPercent val="0"/>
          <c:showBubbleSize val="0"/>
        </c:dLbls>
        <c:gapWidth val="150"/>
        <c:axId val="88696704"/>
        <c:axId val="88698240"/>
        <c:extLst>
          <c:ext xmlns:c15="http://schemas.microsoft.com/office/drawing/2012/chart" uri="{02D57815-91ED-43cb-92C2-25804820EDAC}">
            <c15:filteredBarSeries>
              <c15:ser>
                <c:idx val="2"/>
                <c:order val="2"/>
                <c:tx>
                  <c:strRef>
                    <c:extLst>
                      <c:ext uri="{02D57815-91ED-43cb-92C2-25804820EDAC}">
                        <c15:formulaRef>
                          <c15:sqref>'1998-1991'!$L$3</c15:sqref>
                        </c15:formulaRef>
                      </c:ext>
                    </c:extLst>
                    <c:strCache>
                      <c:ptCount val="1"/>
                      <c:pt idx="0">
                        <c:v>التغير النسبي في العجز </c:v>
                      </c:pt>
                    </c:strCache>
                  </c:strRef>
                </c:tx>
                <c:spPr>
                  <a:solidFill>
                    <a:schemeClr val="accent3"/>
                  </a:solidFill>
                  <a:ln>
                    <a:noFill/>
                  </a:ln>
                  <a:effectLst/>
                </c:spPr>
                <c:invertIfNegative val="0"/>
                <c:cat>
                  <c:strRef>
                    <c:extLst>
                      <c:ext uri="{02D57815-91ED-43cb-92C2-25804820EDAC}">
                        <c15:formulaRef>
                          <c15:sqref>'1998-1991'!$A$4:$A$11</c15:sqref>
                        </c15:formulaRef>
                      </c:ext>
                    </c:extLst>
                    <c:strCache>
                      <c:ptCount val="7"/>
                      <c:pt idx="0">
                        <c:v>1991/1992</c:v>
                      </c:pt>
                      <c:pt idx="1">
                        <c:v>1992/1993</c:v>
                      </c:pt>
                      <c:pt idx="2">
                        <c:v>1993/1994</c:v>
                      </c:pt>
                      <c:pt idx="3">
                        <c:v>1994/1995</c:v>
                      </c:pt>
                      <c:pt idx="4">
                        <c:v>1995/1996</c:v>
                      </c:pt>
                      <c:pt idx="5">
                        <c:v>1996/1997</c:v>
                      </c:pt>
                      <c:pt idx="6">
                        <c:v>1997/1998</c:v>
                      </c:pt>
                    </c:strCache>
                  </c:strRef>
                </c:cat>
                <c:val>
                  <c:numRef>
                    <c:extLst>
                      <c:ext uri="{02D57815-91ED-43cb-92C2-25804820EDAC}">
                        <c15:formulaRef>
                          <c15:sqref>'1998-1991'!$L$4:$L$11</c15:sqref>
                        </c15:formulaRef>
                      </c:ext>
                    </c:extLst>
                    <c:numCache>
                      <c:formatCode>0.0%</c:formatCode>
                      <c:ptCount val="7"/>
                      <c:pt idx="0">
                        <c:v>-0.38663080294879459</c:v>
                      </c:pt>
                      <c:pt idx="1">
                        <c:v>-0.10345947701802825</c:v>
                      </c:pt>
                      <c:pt idx="2">
                        <c:v>-0.33025362318840579</c:v>
                      </c:pt>
                      <c:pt idx="3">
                        <c:v>-0.31376791993508252</c:v>
                      </c:pt>
                      <c:pt idx="4">
                        <c:v>0.18092234923137565</c:v>
                      </c:pt>
                      <c:pt idx="5">
                        <c:v>-0.22296395193591456</c:v>
                      </c:pt>
                      <c:pt idx="6">
                        <c:v>0.21134020618556701</c:v>
                      </c:pt>
                    </c:numCache>
                  </c:numRef>
                </c:val>
                <c:extLst>
                  <c:ext xmlns:c16="http://schemas.microsoft.com/office/drawing/2014/chart" uri="{C3380CC4-5D6E-409C-BE32-E72D297353CC}">
                    <c16:uniqueId val="{00000002-2DC5-4127-9BA3-2FB71397B05B}"/>
                  </c:ext>
                </c:extLst>
              </c15:ser>
            </c15:filteredBarSeries>
          </c:ext>
        </c:extLst>
      </c:barChart>
      <c:catAx>
        <c:axId val="886967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88698240"/>
        <c:crosses val="autoZero"/>
        <c:auto val="1"/>
        <c:lblAlgn val="ctr"/>
        <c:lblOffset val="100"/>
        <c:noMultiLvlLbl val="0"/>
      </c:catAx>
      <c:valAx>
        <c:axId val="886982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88696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25400" cap="flat" cmpd="sng" algn="ctr">
      <a:solidFill>
        <a:schemeClr val="accent2"/>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35356454895523"/>
          <c:y val="6.5152627994721837E-2"/>
          <c:w val="0.81898100193094536"/>
          <c:h val="0.61727072483783618"/>
        </c:manualLayout>
      </c:layout>
      <c:barChart>
        <c:barDir val="col"/>
        <c:grouping val="clustered"/>
        <c:varyColors val="0"/>
        <c:ser>
          <c:idx val="0"/>
          <c:order val="0"/>
          <c:tx>
            <c:strRef>
              <c:f>'2019-2011'!$B$3</c:f>
              <c:strCache>
                <c:ptCount val="1"/>
                <c:pt idx="0">
                  <c:v>إجمالي الإيرادات</c:v>
                </c:pt>
              </c:strCache>
            </c:strRef>
          </c:tx>
          <c:spPr>
            <a:pattFill prst="pct20">
              <a:fgClr>
                <a:schemeClr val="accent1"/>
              </a:fgClr>
              <a:bgClr>
                <a:schemeClr val="bg1"/>
              </a:bgClr>
            </a:pattFill>
            <a:ln w="19050">
              <a:solidFill>
                <a:schemeClr val="tx2"/>
              </a:solidFill>
            </a:ln>
            <a:effectLst/>
          </c:spPr>
          <c:invertIfNegative val="0"/>
          <c:cat>
            <c:strRef>
              <c:f>'2019-2011'!$A$5:$A$12</c:f>
              <c:strCache>
                <c:ptCount val="8"/>
                <c:pt idx="0">
                  <c:v>2011/2012</c:v>
                </c:pt>
                <c:pt idx="1">
                  <c:v>2012/2013</c:v>
                </c:pt>
                <c:pt idx="2">
                  <c:v>2013/2014</c:v>
                </c:pt>
                <c:pt idx="3">
                  <c:v>2014/2015</c:v>
                </c:pt>
                <c:pt idx="4">
                  <c:v>2015/2016</c:v>
                </c:pt>
                <c:pt idx="5">
                  <c:v>2016/2017</c:v>
                </c:pt>
                <c:pt idx="6">
                  <c:v>2018/2017</c:v>
                </c:pt>
                <c:pt idx="7">
                  <c:v>2018/2019</c:v>
                </c:pt>
              </c:strCache>
            </c:strRef>
          </c:cat>
          <c:val>
            <c:numRef>
              <c:f>'2019-2011'!$B$5:$B$12</c:f>
              <c:numCache>
                <c:formatCode>General</c:formatCode>
                <c:ptCount val="8"/>
                <c:pt idx="0">
                  <c:v>303622</c:v>
                </c:pt>
                <c:pt idx="1">
                  <c:v>350322</c:v>
                </c:pt>
                <c:pt idx="2">
                  <c:v>456788</c:v>
                </c:pt>
                <c:pt idx="3">
                  <c:v>465241</c:v>
                </c:pt>
                <c:pt idx="4">
                  <c:v>491488</c:v>
                </c:pt>
                <c:pt idx="5">
                  <c:v>659184</c:v>
                </c:pt>
                <c:pt idx="6">
                  <c:v>821134</c:v>
                </c:pt>
                <c:pt idx="7">
                  <c:v>941910</c:v>
                </c:pt>
              </c:numCache>
            </c:numRef>
          </c:val>
          <c:extLst>
            <c:ext xmlns:c16="http://schemas.microsoft.com/office/drawing/2014/chart" uri="{C3380CC4-5D6E-409C-BE32-E72D297353CC}">
              <c16:uniqueId val="{00000000-A800-415C-BB4D-3F430709F66B}"/>
            </c:ext>
          </c:extLst>
        </c:ser>
        <c:ser>
          <c:idx val="1"/>
          <c:order val="1"/>
          <c:tx>
            <c:strRef>
              <c:f>'2019-2011'!$C$3</c:f>
              <c:strCache>
                <c:ptCount val="1"/>
                <c:pt idx="0">
                  <c:v>إجمالي المصروفات</c:v>
                </c:pt>
              </c:strCache>
            </c:strRef>
          </c:tx>
          <c:spPr>
            <a:solidFill>
              <a:schemeClr val="accent2"/>
            </a:solidFill>
            <a:ln>
              <a:noFill/>
            </a:ln>
            <a:effectLst/>
          </c:spPr>
          <c:invertIfNegative val="0"/>
          <c:cat>
            <c:strRef>
              <c:f>'2019-2011'!$A$5:$A$12</c:f>
              <c:strCache>
                <c:ptCount val="8"/>
                <c:pt idx="0">
                  <c:v>2011/2012</c:v>
                </c:pt>
                <c:pt idx="1">
                  <c:v>2012/2013</c:v>
                </c:pt>
                <c:pt idx="2">
                  <c:v>2013/2014</c:v>
                </c:pt>
                <c:pt idx="3">
                  <c:v>2014/2015</c:v>
                </c:pt>
                <c:pt idx="4">
                  <c:v>2015/2016</c:v>
                </c:pt>
                <c:pt idx="5">
                  <c:v>2016/2017</c:v>
                </c:pt>
                <c:pt idx="6">
                  <c:v>2018/2017</c:v>
                </c:pt>
                <c:pt idx="7">
                  <c:v>2018/2019</c:v>
                </c:pt>
              </c:strCache>
            </c:strRef>
          </c:cat>
          <c:val>
            <c:numRef>
              <c:f>'2019-2011'!$C$5:$C$12</c:f>
              <c:numCache>
                <c:formatCode>General</c:formatCode>
                <c:ptCount val="8"/>
                <c:pt idx="0">
                  <c:v>470992</c:v>
                </c:pt>
                <c:pt idx="1">
                  <c:v>588188</c:v>
                </c:pt>
                <c:pt idx="2">
                  <c:v>701514</c:v>
                </c:pt>
                <c:pt idx="3">
                  <c:v>733350</c:v>
                </c:pt>
                <c:pt idx="4">
                  <c:v>817844</c:v>
                </c:pt>
                <c:pt idx="5">
                  <c:v>1031941</c:v>
                </c:pt>
                <c:pt idx="6">
                  <c:v>1244408</c:v>
                </c:pt>
                <c:pt idx="7">
                  <c:v>1369870</c:v>
                </c:pt>
              </c:numCache>
            </c:numRef>
          </c:val>
          <c:extLst>
            <c:ext xmlns:c16="http://schemas.microsoft.com/office/drawing/2014/chart" uri="{C3380CC4-5D6E-409C-BE32-E72D297353CC}">
              <c16:uniqueId val="{00000001-A800-415C-BB4D-3F430709F66B}"/>
            </c:ext>
          </c:extLst>
        </c:ser>
        <c:dLbls>
          <c:showLegendKey val="0"/>
          <c:showVal val="0"/>
          <c:showCatName val="0"/>
          <c:showSerName val="0"/>
          <c:showPercent val="0"/>
          <c:showBubbleSize val="0"/>
        </c:dLbls>
        <c:gapWidth val="150"/>
        <c:axId val="87202432"/>
        <c:axId val="87208704"/>
      </c:barChart>
      <c:lineChart>
        <c:grouping val="standard"/>
        <c:varyColors val="0"/>
        <c:ser>
          <c:idx val="2"/>
          <c:order val="2"/>
          <c:tx>
            <c:strRef>
              <c:f>'2019-2011'!$D$3</c:f>
              <c:strCache>
                <c:ptCount val="1"/>
                <c:pt idx="0">
                  <c:v>العجز الكلي</c:v>
                </c:pt>
              </c:strCache>
            </c:strRef>
          </c:tx>
          <c:spPr>
            <a:ln w="28575" cap="rnd">
              <a:solidFill>
                <a:schemeClr val="accent3">
                  <a:lumMod val="50000"/>
                </a:schemeClr>
              </a:solidFill>
              <a:round/>
            </a:ln>
            <a:effectLst/>
          </c:spPr>
          <c:marker>
            <c:symbol val="none"/>
          </c:marker>
          <c:cat>
            <c:strRef>
              <c:f>'2019-2011'!$A$5:$A$12</c:f>
              <c:strCache>
                <c:ptCount val="8"/>
                <c:pt idx="0">
                  <c:v>2011/2012</c:v>
                </c:pt>
                <c:pt idx="1">
                  <c:v>2012/2013</c:v>
                </c:pt>
                <c:pt idx="2">
                  <c:v>2013/2014</c:v>
                </c:pt>
                <c:pt idx="3">
                  <c:v>2014/2015</c:v>
                </c:pt>
                <c:pt idx="4">
                  <c:v>2015/2016</c:v>
                </c:pt>
                <c:pt idx="5">
                  <c:v>2016/2017</c:v>
                </c:pt>
                <c:pt idx="6">
                  <c:v>2018/2017</c:v>
                </c:pt>
                <c:pt idx="7">
                  <c:v>2018/2019</c:v>
                </c:pt>
              </c:strCache>
            </c:strRef>
          </c:cat>
          <c:val>
            <c:numRef>
              <c:f>'2019-2011'!$D$5:$D$12</c:f>
              <c:numCache>
                <c:formatCode>General</c:formatCode>
                <c:ptCount val="8"/>
                <c:pt idx="0">
                  <c:v>166705</c:v>
                </c:pt>
                <c:pt idx="1">
                  <c:v>239719</c:v>
                </c:pt>
                <c:pt idx="2">
                  <c:v>255439</c:v>
                </c:pt>
                <c:pt idx="3">
                  <c:v>279430</c:v>
                </c:pt>
                <c:pt idx="4">
                  <c:v>339495</c:v>
                </c:pt>
                <c:pt idx="5">
                  <c:v>379590</c:v>
                </c:pt>
                <c:pt idx="6">
                  <c:v>432580</c:v>
                </c:pt>
                <c:pt idx="7">
                  <c:v>429951</c:v>
                </c:pt>
              </c:numCache>
            </c:numRef>
          </c:val>
          <c:smooth val="0"/>
          <c:extLst>
            <c:ext xmlns:c16="http://schemas.microsoft.com/office/drawing/2014/chart" uri="{C3380CC4-5D6E-409C-BE32-E72D297353CC}">
              <c16:uniqueId val="{00000002-A800-415C-BB4D-3F430709F66B}"/>
            </c:ext>
          </c:extLst>
        </c:ser>
        <c:dLbls>
          <c:showLegendKey val="0"/>
          <c:showVal val="0"/>
          <c:showCatName val="0"/>
          <c:showSerName val="0"/>
          <c:showPercent val="0"/>
          <c:showBubbleSize val="0"/>
        </c:dLbls>
        <c:marker val="1"/>
        <c:smooth val="0"/>
        <c:axId val="87202432"/>
        <c:axId val="87208704"/>
      </c:lineChart>
      <c:catAx>
        <c:axId val="872024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87208704"/>
        <c:crosses val="autoZero"/>
        <c:auto val="1"/>
        <c:lblAlgn val="ctr"/>
        <c:lblOffset val="100"/>
        <c:noMultiLvlLbl val="0"/>
      </c:catAx>
      <c:valAx>
        <c:axId val="87208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87202432"/>
        <c:crosses val="autoZero"/>
        <c:crossBetween val="between"/>
      </c:valAx>
      <c:spPr>
        <a:noFill/>
        <a:ln>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'2019-2011'!$J$3</c:f>
              <c:strCache>
                <c:ptCount val="1"/>
                <c:pt idx="0">
                  <c:v>التغير النسبي في الإيرادات</c:v>
                </c:pt>
              </c:strCache>
            </c:strRef>
          </c:tx>
          <c:spPr>
            <a:pattFill prst="pct20">
              <a:fgClr>
                <a:schemeClr val="accent1"/>
              </a:fgClr>
              <a:bgClr>
                <a:schemeClr val="bg1"/>
              </a:bgClr>
            </a:pattFill>
            <a:ln w="19050">
              <a:solidFill>
                <a:srgbClr val="002060"/>
              </a:solidFill>
            </a:ln>
            <a:effectLst/>
          </c:spPr>
          <c:invertIfNegative val="0"/>
          <c:cat>
            <c:strRef>
              <c:f>'2019-2011'!$A$5:$A$12</c:f>
              <c:strCache>
                <c:ptCount val="8"/>
                <c:pt idx="0">
                  <c:v>2011/2012</c:v>
                </c:pt>
                <c:pt idx="1">
                  <c:v>2012/2013</c:v>
                </c:pt>
                <c:pt idx="2">
                  <c:v>2013/2014</c:v>
                </c:pt>
                <c:pt idx="3">
                  <c:v>2014/2015</c:v>
                </c:pt>
                <c:pt idx="4">
                  <c:v>2015/2016</c:v>
                </c:pt>
                <c:pt idx="5">
                  <c:v>2016/2017</c:v>
                </c:pt>
                <c:pt idx="6">
                  <c:v>2018/2017</c:v>
                </c:pt>
                <c:pt idx="7">
                  <c:v>2018/2019</c:v>
                </c:pt>
              </c:strCache>
            </c:strRef>
          </c:cat>
          <c:val>
            <c:numRef>
              <c:f>'2019-2011'!$J$5:$J$12</c:f>
              <c:numCache>
                <c:formatCode>0.0%</c:formatCode>
                <c:ptCount val="8"/>
                <c:pt idx="0">
                  <c:v>0.14450819115972949</c:v>
                </c:pt>
                <c:pt idx="1">
                  <c:v>0.15380967123594469</c:v>
                </c:pt>
                <c:pt idx="2">
                  <c:v>0.30390897517141374</c:v>
                </c:pt>
                <c:pt idx="3">
                  <c:v>1.8505302240864472E-2</c:v>
                </c:pt>
                <c:pt idx="4">
                  <c:v>5.6415922070496796E-2</c:v>
                </c:pt>
                <c:pt idx="5">
                  <c:v>0.34120059899733057</c:v>
                </c:pt>
                <c:pt idx="6">
                  <c:v>0.24568254083836985</c:v>
                </c:pt>
                <c:pt idx="7">
                  <c:v>0.14708439791800121</c:v>
                </c:pt>
              </c:numCache>
            </c:numRef>
          </c:val>
          <c:extLst>
            <c:ext xmlns:c16="http://schemas.microsoft.com/office/drawing/2014/chart" uri="{C3380CC4-5D6E-409C-BE32-E72D297353CC}">
              <c16:uniqueId val="{00000000-6758-4659-AEE5-F2E1D5289583}"/>
            </c:ext>
          </c:extLst>
        </c:ser>
        <c:ser>
          <c:idx val="1"/>
          <c:order val="1"/>
          <c:tx>
            <c:strRef>
              <c:f>'2019-2011'!$K$3</c:f>
              <c:strCache>
                <c:ptCount val="1"/>
                <c:pt idx="0">
                  <c:v>التغير النسبي في المصروفات</c:v>
                </c:pt>
              </c:strCache>
            </c:strRef>
          </c:tx>
          <c:spPr>
            <a:solidFill>
              <a:schemeClr val="accent2"/>
            </a:solidFill>
            <a:ln>
              <a:noFill/>
            </a:ln>
            <a:effectLst/>
          </c:spPr>
          <c:invertIfNegative val="0"/>
          <c:cat>
            <c:strRef>
              <c:f>'2019-2011'!$A$5:$A$12</c:f>
              <c:strCache>
                <c:ptCount val="8"/>
                <c:pt idx="0">
                  <c:v>2011/2012</c:v>
                </c:pt>
                <c:pt idx="1">
                  <c:v>2012/2013</c:v>
                </c:pt>
                <c:pt idx="2">
                  <c:v>2013/2014</c:v>
                </c:pt>
                <c:pt idx="3">
                  <c:v>2014/2015</c:v>
                </c:pt>
                <c:pt idx="4">
                  <c:v>2015/2016</c:v>
                </c:pt>
                <c:pt idx="5">
                  <c:v>2016/2017</c:v>
                </c:pt>
                <c:pt idx="6">
                  <c:v>2018/2017</c:v>
                </c:pt>
                <c:pt idx="7">
                  <c:v>2018/2019</c:v>
                </c:pt>
              </c:strCache>
            </c:strRef>
          </c:cat>
          <c:val>
            <c:numRef>
              <c:f>'2019-2011'!$K$5:$K$12</c:f>
              <c:numCache>
                <c:formatCode>0.0%</c:formatCode>
                <c:ptCount val="8"/>
                <c:pt idx="0">
                  <c:v>0.17201256140106402</c:v>
                </c:pt>
                <c:pt idx="1">
                  <c:v>0.2488280055712199</c:v>
                </c:pt>
                <c:pt idx="2">
                  <c:v>0.19266969064312769</c:v>
                </c:pt>
                <c:pt idx="3">
                  <c:v>4.538184555119356E-2</c:v>
                </c:pt>
                <c:pt idx="4">
                  <c:v>0.11521647235290107</c:v>
                </c:pt>
                <c:pt idx="5">
                  <c:v>0.26178219807200392</c:v>
                </c:pt>
                <c:pt idx="6">
                  <c:v>0.20589064684899622</c:v>
                </c:pt>
                <c:pt idx="7">
                  <c:v>0.10082063117562728</c:v>
                </c:pt>
              </c:numCache>
            </c:numRef>
          </c:val>
          <c:extLst>
            <c:ext xmlns:c16="http://schemas.microsoft.com/office/drawing/2014/chart" uri="{C3380CC4-5D6E-409C-BE32-E72D297353CC}">
              <c16:uniqueId val="{00000001-6758-4659-AEE5-F2E1D5289583}"/>
            </c:ext>
          </c:extLst>
        </c:ser>
        <c:dLbls>
          <c:showLegendKey val="0"/>
          <c:showVal val="0"/>
          <c:showCatName val="0"/>
          <c:showSerName val="0"/>
          <c:showPercent val="0"/>
          <c:showBubbleSize val="0"/>
        </c:dLbls>
        <c:gapWidth val="150"/>
        <c:axId val="88695168"/>
        <c:axId val="88697088"/>
      </c:barChart>
      <c:catAx>
        <c:axId val="886951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sz="900"/>
            </a:pPr>
            <a:endParaRPr lang="en-US"/>
          </a:p>
        </c:txPr>
        <c:crossAx val="88697088"/>
        <c:crosses val="autoZero"/>
        <c:auto val="1"/>
        <c:lblAlgn val="ctr"/>
        <c:lblOffset val="100"/>
        <c:noMultiLvlLbl val="0"/>
      </c:catAx>
      <c:valAx>
        <c:axId val="88697088"/>
        <c:scaling>
          <c:orientation val="minMax"/>
        </c:scaling>
        <c:delete val="0"/>
        <c:axPos val="l"/>
        <c:majorGridlines>
          <c:spPr>
            <a:ln w="9525" cap="flat" cmpd="sng" algn="ctr">
              <a:solidFill>
                <a:schemeClr val="accent3">
                  <a:shade val="95000"/>
                  <a:satMod val="105000"/>
                </a:schemeClr>
              </a:solidFill>
              <a:prstDash val="solid"/>
            </a:ln>
            <a:effectLst/>
          </c:spPr>
        </c:majorGridlines>
        <c:numFmt formatCode="0.0%" sourceLinked="1"/>
        <c:majorTickMark val="none"/>
        <c:minorTickMark val="none"/>
        <c:tickLblPos val="nextTo"/>
        <c:spPr>
          <a:noFill/>
          <a:ln>
            <a:noFill/>
          </a:ln>
          <a:effectLst/>
        </c:spPr>
        <c:txPr>
          <a:bodyPr rot="-60000000" vert="horz"/>
          <a:lstStyle/>
          <a:p>
            <a:pPr>
              <a:defRPr/>
            </a:pPr>
            <a:endParaRPr lang="en-US"/>
          </a:p>
        </c:txPr>
        <c:crossAx val="88695168"/>
        <c:crosses val="autoZero"/>
        <c:crossBetween val="between"/>
      </c:valAx>
      <c:spPr>
        <a:noFill/>
        <a:ln>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'2019-2011'!$G$3</c:f>
              <c:strCache>
                <c:ptCount val="1"/>
                <c:pt idx="0">
                  <c:v>نسبة الإيرادات إلى الناتج</c:v>
                </c:pt>
              </c:strCache>
            </c:strRef>
          </c:tx>
          <c:spPr>
            <a:ln w="28575" cap="flat">
              <a:solidFill>
                <a:schemeClr val="accent1"/>
              </a:solidFill>
              <a:prstDash val="sysDash"/>
              <a:bevel/>
            </a:ln>
            <a:effectLst/>
          </c:spPr>
          <c:marker>
            <c:symbol val="x"/>
            <c:size val="5"/>
            <c:spPr>
              <a:solidFill>
                <a:schemeClr val="accent1"/>
              </a:solidFill>
              <a:ln w="9525">
                <a:solidFill>
                  <a:schemeClr val="accent1"/>
                </a:solidFill>
              </a:ln>
              <a:effectLst/>
            </c:spPr>
          </c:marker>
          <c:cat>
            <c:strRef>
              <c:f>'2019-2011'!$A$5:$A$12</c:f>
              <c:strCache>
                <c:ptCount val="8"/>
                <c:pt idx="0">
                  <c:v>2011/2012</c:v>
                </c:pt>
                <c:pt idx="1">
                  <c:v>2012/2013</c:v>
                </c:pt>
                <c:pt idx="2">
                  <c:v>2013/2014</c:v>
                </c:pt>
                <c:pt idx="3">
                  <c:v>2014/2015</c:v>
                </c:pt>
                <c:pt idx="4">
                  <c:v>2015/2016</c:v>
                </c:pt>
                <c:pt idx="5">
                  <c:v>2016/2017</c:v>
                </c:pt>
                <c:pt idx="6">
                  <c:v>2018/2017</c:v>
                </c:pt>
                <c:pt idx="7">
                  <c:v>2018/2019</c:v>
                </c:pt>
              </c:strCache>
            </c:strRef>
          </c:cat>
          <c:val>
            <c:numRef>
              <c:f>'2019-2011'!$G$5:$G$12</c:f>
              <c:numCache>
                <c:formatCode>0.0%</c:formatCode>
                <c:ptCount val="8"/>
                <c:pt idx="0">
                  <c:v>0.18328021248339973</c:v>
                </c:pt>
                <c:pt idx="1">
                  <c:v>0.19</c:v>
                </c:pt>
                <c:pt idx="2">
                  <c:v>0.21445446009389671</c:v>
                </c:pt>
                <c:pt idx="3">
                  <c:v>0.19036826384058267</c:v>
                </c:pt>
                <c:pt idx="4">
                  <c:v>0.18140104820255407</c:v>
                </c:pt>
                <c:pt idx="5">
                  <c:v>0.18996657060518732</c:v>
                </c:pt>
                <c:pt idx="6">
                  <c:v>0.1850484517960968</c:v>
                </c:pt>
                <c:pt idx="7">
                  <c:v>0.17697424045995153</c:v>
                </c:pt>
              </c:numCache>
            </c:numRef>
          </c:val>
          <c:smooth val="0"/>
          <c:extLst>
            <c:ext xmlns:c16="http://schemas.microsoft.com/office/drawing/2014/chart" uri="{C3380CC4-5D6E-409C-BE32-E72D297353CC}">
              <c16:uniqueId val="{00000000-D567-4229-BE15-69427B9B5F70}"/>
            </c:ext>
          </c:extLst>
        </c:ser>
        <c:ser>
          <c:idx val="1"/>
          <c:order val="1"/>
          <c:tx>
            <c:strRef>
              <c:f>'2019-2011'!$H$3</c:f>
              <c:strCache>
                <c:ptCount val="1"/>
                <c:pt idx="0">
                  <c:v>نسبة المصروفات إلى الناتج</c:v>
                </c:pt>
              </c:strCache>
            </c:strRef>
          </c:tx>
          <c:spPr>
            <a:ln w="28575" cap="sq">
              <a:solidFill>
                <a:schemeClr val="accent2"/>
              </a:solidFill>
              <a:round/>
              <a:headEnd type="none"/>
            </a:ln>
            <a:effectLst/>
          </c:spPr>
          <c:marker>
            <c:symbol val="circle"/>
            <c:size val="5"/>
            <c:spPr>
              <a:solidFill>
                <a:schemeClr val="accent2"/>
              </a:solidFill>
              <a:ln w="9525">
                <a:solidFill>
                  <a:schemeClr val="accent2"/>
                </a:solidFill>
              </a:ln>
              <a:effectLst/>
            </c:spPr>
          </c:marker>
          <c:cat>
            <c:strRef>
              <c:f>'2019-2011'!$A$5:$A$12</c:f>
              <c:strCache>
                <c:ptCount val="8"/>
                <c:pt idx="0">
                  <c:v>2011/2012</c:v>
                </c:pt>
                <c:pt idx="1">
                  <c:v>2012/2013</c:v>
                </c:pt>
                <c:pt idx="2">
                  <c:v>2013/2014</c:v>
                </c:pt>
                <c:pt idx="3">
                  <c:v>2014/2015</c:v>
                </c:pt>
                <c:pt idx="4">
                  <c:v>2015/2016</c:v>
                </c:pt>
                <c:pt idx="5">
                  <c:v>2016/2017</c:v>
                </c:pt>
                <c:pt idx="6">
                  <c:v>2018/2017</c:v>
                </c:pt>
                <c:pt idx="7">
                  <c:v>2018/2019</c:v>
                </c:pt>
              </c:strCache>
            </c:strRef>
          </c:cat>
          <c:val>
            <c:numRef>
              <c:f>'2019-2011'!$H$5:$H$12</c:f>
              <c:numCache>
                <c:formatCode>0.0%</c:formatCode>
                <c:ptCount val="8"/>
                <c:pt idx="0">
                  <c:v>0.28431244718097309</c:v>
                </c:pt>
                <c:pt idx="1">
                  <c:v>0.31900856925913873</c:v>
                </c:pt>
                <c:pt idx="2">
                  <c:v>0.32934929577464789</c:v>
                </c:pt>
                <c:pt idx="3">
                  <c:v>0.30007365276811654</c:v>
                </c:pt>
                <c:pt idx="4">
                  <c:v>0.30185428508156786</c:v>
                </c:pt>
                <c:pt idx="5">
                  <c:v>0.29738933717579252</c:v>
                </c:pt>
                <c:pt idx="6">
                  <c:v>0.28043629152206245</c:v>
                </c:pt>
                <c:pt idx="7">
                  <c:v>0.25738308625969974</c:v>
                </c:pt>
              </c:numCache>
            </c:numRef>
          </c:val>
          <c:smooth val="0"/>
          <c:extLst>
            <c:ext xmlns:c16="http://schemas.microsoft.com/office/drawing/2014/chart" uri="{C3380CC4-5D6E-409C-BE32-E72D297353CC}">
              <c16:uniqueId val="{00000001-D567-4229-BE15-69427B9B5F70}"/>
            </c:ext>
          </c:extLst>
        </c:ser>
        <c:ser>
          <c:idx val="2"/>
          <c:order val="2"/>
          <c:tx>
            <c:strRef>
              <c:f>'2019-2011'!$I$3</c:f>
              <c:strCache>
                <c:ptCount val="1"/>
                <c:pt idx="0">
                  <c:v>نسبة العجز إلى الناتج</c:v>
                </c:pt>
              </c:strCache>
            </c:strRef>
          </c:tx>
          <c:spPr>
            <a:ln>
              <a:prstDash val="lgDashDotDot"/>
            </a:ln>
            <a:effectLst/>
          </c:spPr>
          <c:marker>
            <c:symbol val="triangle"/>
            <c:size val="5"/>
          </c:marker>
          <c:cat>
            <c:strRef>
              <c:f>'2019-2011'!$A$5:$A$12</c:f>
              <c:strCache>
                <c:ptCount val="8"/>
                <c:pt idx="0">
                  <c:v>2011/2012</c:v>
                </c:pt>
                <c:pt idx="1">
                  <c:v>2012/2013</c:v>
                </c:pt>
                <c:pt idx="2">
                  <c:v>2013/2014</c:v>
                </c:pt>
                <c:pt idx="3">
                  <c:v>2014/2015</c:v>
                </c:pt>
                <c:pt idx="4">
                  <c:v>2015/2016</c:v>
                </c:pt>
                <c:pt idx="5">
                  <c:v>2016/2017</c:v>
                </c:pt>
                <c:pt idx="6">
                  <c:v>2018/2017</c:v>
                </c:pt>
                <c:pt idx="7">
                  <c:v>2018/2019</c:v>
                </c:pt>
              </c:strCache>
            </c:strRef>
          </c:cat>
          <c:val>
            <c:numRef>
              <c:f>'2019-2011'!$I$5:$I$12</c:f>
              <c:numCache>
                <c:formatCode>0.0%</c:formatCode>
                <c:ptCount val="8"/>
                <c:pt idx="0">
                  <c:v>0.10063081009296149</c:v>
                </c:pt>
                <c:pt idx="1">
                  <c:v>0.13001355895433345</c:v>
                </c:pt>
                <c:pt idx="2">
                  <c:v>0.11992441314553991</c:v>
                </c:pt>
                <c:pt idx="3">
                  <c:v>0.11433773886001883</c:v>
                </c:pt>
                <c:pt idx="4">
                  <c:v>0.12530265003321769</c:v>
                </c:pt>
                <c:pt idx="5">
                  <c:v>0.10939193083573487</c:v>
                </c:pt>
                <c:pt idx="6">
                  <c:v>9.7485013746788654E-2</c:v>
                </c:pt>
                <c:pt idx="7">
                  <c:v>8.0782932190970075E-2</c:v>
                </c:pt>
              </c:numCache>
            </c:numRef>
          </c:val>
          <c:smooth val="0"/>
          <c:extLst>
            <c:ext xmlns:c16="http://schemas.microsoft.com/office/drawing/2014/chart" uri="{C3380CC4-5D6E-409C-BE32-E72D297353CC}">
              <c16:uniqueId val="{00000002-D567-4229-BE15-69427B9B5F70}"/>
            </c:ext>
          </c:extLst>
        </c:ser>
        <c:dLbls>
          <c:showLegendKey val="0"/>
          <c:showVal val="0"/>
          <c:showCatName val="0"/>
          <c:showSerName val="0"/>
          <c:showPercent val="0"/>
          <c:showBubbleSize val="0"/>
        </c:dLbls>
        <c:marker val="1"/>
        <c:smooth val="0"/>
        <c:axId val="89126016"/>
        <c:axId val="89127552"/>
      </c:lineChart>
      <c:catAx>
        <c:axId val="891260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sz="900"/>
            </a:pPr>
            <a:endParaRPr lang="en-US"/>
          </a:p>
        </c:txPr>
        <c:crossAx val="89127552"/>
        <c:crosses val="autoZero"/>
        <c:auto val="1"/>
        <c:lblAlgn val="ctr"/>
        <c:lblOffset val="100"/>
        <c:noMultiLvlLbl val="0"/>
      </c:catAx>
      <c:valAx>
        <c:axId val="89127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vert="horz"/>
          <a:lstStyle/>
          <a:p>
            <a:pPr>
              <a:defRPr/>
            </a:pPr>
            <a:endParaRPr lang="en-US"/>
          </a:p>
        </c:txPr>
        <c:crossAx val="89126016"/>
        <c:crosses val="autoZero"/>
        <c:crossBetween val="between"/>
      </c:valAx>
      <c:spPr>
        <a:ln>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'2019-2012'!$H$1</c:f>
              <c:strCache>
                <c:ptCount val="1"/>
                <c:pt idx="0">
                  <c:v>تمويل خارجي</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'2019-2012'!$A$3:$A$10</c:f>
              <c:strCache>
                <c:ptCount val="8"/>
                <c:pt idx="0">
                  <c:v>2011/2012</c:v>
                </c:pt>
                <c:pt idx="1">
                  <c:v>2012/2013</c:v>
                </c:pt>
                <c:pt idx="2">
                  <c:v>2013/2014</c:v>
                </c:pt>
                <c:pt idx="3">
                  <c:v>2014/2015</c:v>
                </c:pt>
                <c:pt idx="4">
                  <c:v>2015/2016</c:v>
                </c:pt>
                <c:pt idx="5">
                  <c:v>2016/2017</c:v>
                </c:pt>
                <c:pt idx="6">
                  <c:v>2018/2017</c:v>
                </c:pt>
                <c:pt idx="7">
                  <c:v>2018/2019</c:v>
                </c:pt>
              </c:strCache>
            </c:strRef>
          </c:cat>
          <c:val>
            <c:numRef>
              <c:f>'2019-2012'!$H$3:$H$10</c:f>
              <c:numCache>
                <c:formatCode>General</c:formatCode>
                <c:ptCount val="8"/>
                <c:pt idx="0">
                  <c:v>-9062</c:v>
                </c:pt>
                <c:pt idx="1">
                  <c:v>20270</c:v>
                </c:pt>
                <c:pt idx="2">
                  <c:v>4022</c:v>
                </c:pt>
                <c:pt idx="3">
                  <c:v>-25119</c:v>
                </c:pt>
                <c:pt idx="4">
                  <c:v>81546</c:v>
                </c:pt>
                <c:pt idx="5">
                  <c:v>188211</c:v>
                </c:pt>
                <c:pt idx="6">
                  <c:v>230332</c:v>
                </c:pt>
                <c:pt idx="7">
                  <c:v>178652</c:v>
                </c:pt>
              </c:numCache>
            </c:numRef>
          </c:val>
          <c:smooth val="0"/>
          <c:extLst>
            <c:ext xmlns:c16="http://schemas.microsoft.com/office/drawing/2014/chart" uri="{C3380CC4-5D6E-409C-BE32-E72D297353CC}">
              <c16:uniqueId val="{00000000-99C4-4A72-9458-9CEE8F4134C4}"/>
            </c:ext>
          </c:extLst>
        </c:ser>
        <c:dLbls>
          <c:showLegendKey val="0"/>
          <c:showVal val="0"/>
          <c:showCatName val="0"/>
          <c:showSerName val="0"/>
          <c:showPercent val="0"/>
          <c:showBubbleSize val="0"/>
        </c:dLbls>
        <c:marker val="1"/>
        <c:smooth val="0"/>
        <c:axId val="104368384"/>
        <c:axId val="104377344"/>
      </c:lineChart>
      <c:catAx>
        <c:axId val="1043683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sz="900"/>
            </a:pPr>
            <a:endParaRPr lang="en-US"/>
          </a:p>
        </c:txPr>
        <c:crossAx val="104377344"/>
        <c:crosses val="autoZero"/>
        <c:auto val="1"/>
        <c:lblAlgn val="ctr"/>
        <c:lblOffset val="100"/>
        <c:noMultiLvlLbl val="0"/>
      </c:catAx>
      <c:valAx>
        <c:axId val="104377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104368384"/>
        <c:crosses val="autoZero"/>
        <c:crossBetween val="between"/>
      </c:valAx>
      <c:spPr>
        <a:noFill/>
        <a:ln>
          <a:noFill/>
        </a:ln>
        <a:effectLst/>
      </c:spPr>
    </c:plotArea>
    <c:plotVisOnly val="1"/>
    <c:dispBlanksAs val="gap"/>
    <c:showDLblsOverMax val="0"/>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'2019-2012'!$J$1</c:f>
              <c:strCache>
                <c:ptCount val="1"/>
                <c:pt idx="0">
                  <c:v>تمويل محلي غير مصرفي</c:v>
                </c:pt>
              </c:strCache>
            </c:strRef>
          </c:tx>
          <c:spPr>
            <a:ln w="28575" cap="rnd">
              <a:solidFill>
                <a:schemeClr val="accent1"/>
              </a:solidFill>
              <a:prstDash val="sysDash"/>
              <a:round/>
            </a:ln>
            <a:effectLst/>
          </c:spPr>
          <c:marker>
            <c:symbol val="triangle"/>
            <c:size val="5"/>
          </c:marker>
          <c:cat>
            <c:strRef>
              <c:f>'2019-2012'!$A$3:$A$10</c:f>
              <c:strCache>
                <c:ptCount val="8"/>
                <c:pt idx="0">
                  <c:v>2011/2012</c:v>
                </c:pt>
                <c:pt idx="1">
                  <c:v>2012/2013</c:v>
                </c:pt>
                <c:pt idx="2">
                  <c:v>2013/2014</c:v>
                </c:pt>
                <c:pt idx="3">
                  <c:v>2014/2015</c:v>
                </c:pt>
                <c:pt idx="4">
                  <c:v>2015/2016</c:v>
                </c:pt>
                <c:pt idx="5">
                  <c:v>2016/2017</c:v>
                </c:pt>
                <c:pt idx="6">
                  <c:v>2018/2017</c:v>
                </c:pt>
                <c:pt idx="7">
                  <c:v>2018/2019</c:v>
                </c:pt>
              </c:strCache>
            </c:strRef>
          </c:cat>
          <c:val>
            <c:numRef>
              <c:f>'2019-2012'!$J$3:$J$10</c:f>
              <c:numCache>
                <c:formatCode>General</c:formatCode>
                <c:ptCount val="8"/>
                <c:pt idx="0">
                  <c:v>35844</c:v>
                </c:pt>
                <c:pt idx="1">
                  <c:v>49286</c:v>
                </c:pt>
                <c:pt idx="2">
                  <c:v>32957</c:v>
                </c:pt>
                <c:pt idx="3">
                  <c:v>79274</c:v>
                </c:pt>
                <c:pt idx="4">
                  <c:v>136005</c:v>
                </c:pt>
                <c:pt idx="5">
                  <c:v>192736</c:v>
                </c:pt>
                <c:pt idx="6">
                  <c:v>253583</c:v>
                </c:pt>
                <c:pt idx="7">
                  <c:v>264517</c:v>
                </c:pt>
              </c:numCache>
            </c:numRef>
          </c:val>
          <c:smooth val="0"/>
          <c:extLst>
            <c:ext xmlns:c16="http://schemas.microsoft.com/office/drawing/2014/chart" uri="{C3380CC4-5D6E-409C-BE32-E72D297353CC}">
              <c16:uniqueId val="{00000000-6FAC-4CD9-A986-26027518F547}"/>
            </c:ext>
          </c:extLst>
        </c:ser>
        <c:ser>
          <c:idx val="1"/>
          <c:order val="1"/>
          <c:tx>
            <c:strRef>
              <c:f>'2019-2012'!$L$1</c:f>
              <c:strCache>
                <c:ptCount val="1"/>
                <c:pt idx="0">
                  <c:v>تمويل محلي مصرفي</c:v>
                </c:pt>
              </c:strCache>
            </c:strRef>
          </c:tx>
          <c:spPr>
            <a:ln w="28575" cap="rnd">
              <a:solidFill>
                <a:schemeClr val="accent2"/>
              </a:solidFill>
              <a:round/>
            </a:ln>
            <a:effectLst/>
          </c:spPr>
          <c:marker>
            <c:symbol val="square"/>
            <c:size val="5"/>
          </c:marker>
          <c:cat>
            <c:strRef>
              <c:f>'2019-2012'!$A$3:$A$10</c:f>
              <c:strCache>
                <c:ptCount val="8"/>
                <c:pt idx="0">
                  <c:v>2011/2012</c:v>
                </c:pt>
                <c:pt idx="1">
                  <c:v>2012/2013</c:v>
                </c:pt>
                <c:pt idx="2">
                  <c:v>2013/2014</c:v>
                </c:pt>
                <c:pt idx="3">
                  <c:v>2014/2015</c:v>
                </c:pt>
                <c:pt idx="4">
                  <c:v>2015/2016</c:v>
                </c:pt>
                <c:pt idx="5">
                  <c:v>2016/2017</c:v>
                </c:pt>
                <c:pt idx="6">
                  <c:v>2018/2017</c:v>
                </c:pt>
                <c:pt idx="7">
                  <c:v>2018/2019</c:v>
                </c:pt>
              </c:strCache>
            </c:strRef>
          </c:cat>
          <c:val>
            <c:numRef>
              <c:f>'2019-2012'!$L$3:$L$10</c:f>
              <c:numCache>
                <c:formatCode>General</c:formatCode>
                <c:ptCount val="8"/>
                <c:pt idx="0">
                  <c:v>146374</c:v>
                </c:pt>
                <c:pt idx="1">
                  <c:v>221338</c:v>
                </c:pt>
                <c:pt idx="2">
                  <c:v>244363</c:v>
                </c:pt>
                <c:pt idx="3">
                  <c:v>248454</c:v>
                </c:pt>
                <c:pt idx="4">
                  <c:v>227251</c:v>
                </c:pt>
                <c:pt idx="5">
                  <c:v>206048</c:v>
                </c:pt>
                <c:pt idx="6">
                  <c:v>176201</c:v>
                </c:pt>
                <c:pt idx="7">
                  <c:v>203432</c:v>
                </c:pt>
              </c:numCache>
            </c:numRef>
          </c:val>
          <c:smooth val="0"/>
          <c:extLst>
            <c:ext xmlns:c16="http://schemas.microsoft.com/office/drawing/2014/chart" uri="{C3380CC4-5D6E-409C-BE32-E72D297353CC}">
              <c16:uniqueId val="{00000001-6FAC-4CD9-A986-26027518F547}"/>
            </c:ext>
          </c:extLst>
        </c:ser>
        <c:dLbls>
          <c:showLegendKey val="0"/>
          <c:showVal val="0"/>
          <c:showCatName val="0"/>
          <c:showSerName val="0"/>
          <c:showPercent val="0"/>
          <c:showBubbleSize val="0"/>
        </c:dLbls>
        <c:marker val="1"/>
        <c:smooth val="0"/>
        <c:axId val="122602624"/>
        <c:axId val="122604544"/>
      </c:lineChart>
      <c:catAx>
        <c:axId val="1226026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sz="900"/>
            </a:pPr>
            <a:endParaRPr lang="en-US"/>
          </a:p>
        </c:txPr>
        <c:crossAx val="122604544"/>
        <c:crosses val="autoZero"/>
        <c:auto val="1"/>
        <c:lblAlgn val="ctr"/>
        <c:lblOffset val="100"/>
        <c:noMultiLvlLbl val="0"/>
      </c:catAx>
      <c:valAx>
        <c:axId val="122604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122602624"/>
        <c:crosses val="autoZero"/>
        <c:crossBetween val="between"/>
      </c:valAx>
      <c:spPr>
        <a:noFill/>
        <a:ln>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'2019-2012'!$H$1</c:f>
              <c:strCache>
                <c:ptCount val="1"/>
                <c:pt idx="0">
                  <c:v>تمويل خارجي</c:v>
                </c:pt>
              </c:strCache>
            </c:strRef>
          </c:tx>
          <c:spPr>
            <a:ln w="28575" cap="rnd">
              <a:solidFill>
                <a:schemeClr val="accent1"/>
              </a:solidFill>
              <a:prstDash val="sysDash"/>
              <a:round/>
            </a:ln>
            <a:effectLst/>
          </c:spPr>
          <c:marker>
            <c:symbol val="triangle"/>
            <c:size val="5"/>
          </c:marker>
          <c:cat>
            <c:strRef>
              <c:f>'2019-2012'!$A$3:$A$10</c:f>
              <c:strCache>
                <c:ptCount val="8"/>
                <c:pt idx="0">
                  <c:v>2011/2012</c:v>
                </c:pt>
                <c:pt idx="1">
                  <c:v>2012/2013</c:v>
                </c:pt>
                <c:pt idx="2">
                  <c:v>2013/2014</c:v>
                </c:pt>
                <c:pt idx="3">
                  <c:v>2014/2015</c:v>
                </c:pt>
                <c:pt idx="4">
                  <c:v>2015/2016</c:v>
                </c:pt>
                <c:pt idx="5">
                  <c:v>2016/2017</c:v>
                </c:pt>
                <c:pt idx="6">
                  <c:v>2018/2017</c:v>
                </c:pt>
                <c:pt idx="7">
                  <c:v>2018/2019</c:v>
                </c:pt>
              </c:strCache>
            </c:strRef>
          </c:cat>
          <c:val>
            <c:numRef>
              <c:f>'2019-2012'!$H$3:$H$10</c:f>
              <c:numCache>
                <c:formatCode>General</c:formatCode>
                <c:ptCount val="8"/>
                <c:pt idx="0">
                  <c:v>-9062</c:v>
                </c:pt>
                <c:pt idx="1">
                  <c:v>20270</c:v>
                </c:pt>
                <c:pt idx="2">
                  <c:v>4022</c:v>
                </c:pt>
                <c:pt idx="3">
                  <c:v>-25119</c:v>
                </c:pt>
                <c:pt idx="4">
                  <c:v>81546</c:v>
                </c:pt>
                <c:pt idx="5">
                  <c:v>188211</c:v>
                </c:pt>
                <c:pt idx="6">
                  <c:v>230332</c:v>
                </c:pt>
                <c:pt idx="7">
                  <c:v>178652</c:v>
                </c:pt>
              </c:numCache>
            </c:numRef>
          </c:val>
          <c:smooth val="0"/>
          <c:extLst>
            <c:ext xmlns:c16="http://schemas.microsoft.com/office/drawing/2014/chart" uri="{C3380CC4-5D6E-409C-BE32-E72D297353CC}">
              <c16:uniqueId val="{00000000-DD5E-44B1-8E54-3B8DBEC46030}"/>
            </c:ext>
          </c:extLst>
        </c:ser>
        <c:ser>
          <c:idx val="1"/>
          <c:order val="1"/>
          <c:tx>
            <c:strRef>
              <c:f>'2019-2012'!$N$1</c:f>
              <c:strCache>
                <c:ptCount val="1"/>
                <c:pt idx="0">
                  <c:v>إجمالي التمويل المحلي</c:v>
                </c:pt>
              </c:strCache>
            </c:strRef>
          </c:tx>
          <c:spPr>
            <a:ln w="28575" cap="rnd">
              <a:solidFill>
                <a:schemeClr val="accent2"/>
              </a:solidFill>
              <a:round/>
            </a:ln>
            <a:effectLst/>
          </c:spPr>
          <c:marker>
            <c:symbol val="square"/>
            <c:size val="5"/>
          </c:marker>
          <c:cat>
            <c:strRef>
              <c:f>'2019-2012'!$A$3:$A$10</c:f>
              <c:strCache>
                <c:ptCount val="8"/>
                <c:pt idx="0">
                  <c:v>2011/2012</c:v>
                </c:pt>
                <c:pt idx="1">
                  <c:v>2012/2013</c:v>
                </c:pt>
                <c:pt idx="2">
                  <c:v>2013/2014</c:v>
                </c:pt>
                <c:pt idx="3">
                  <c:v>2014/2015</c:v>
                </c:pt>
                <c:pt idx="4">
                  <c:v>2015/2016</c:v>
                </c:pt>
                <c:pt idx="5">
                  <c:v>2016/2017</c:v>
                </c:pt>
                <c:pt idx="6">
                  <c:v>2018/2017</c:v>
                </c:pt>
                <c:pt idx="7">
                  <c:v>2018/2019</c:v>
                </c:pt>
              </c:strCache>
            </c:strRef>
          </c:cat>
          <c:val>
            <c:numRef>
              <c:f>'2019-2012'!$N$3:$N$10</c:f>
              <c:numCache>
                <c:formatCode>General</c:formatCode>
                <c:ptCount val="8"/>
                <c:pt idx="0">
                  <c:v>182218</c:v>
                </c:pt>
                <c:pt idx="1">
                  <c:v>270624</c:v>
                </c:pt>
                <c:pt idx="2">
                  <c:v>277320</c:v>
                </c:pt>
                <c:pt idx="3">
                  <c:v>327728</c:v>
                </c:pt>
                <c:pt idx="4">
                  <c:v>363256</c:v>
                </c:pt>
                <c:pt idx="5">
                  <c:v>398784</c:v>
                </c:pt>
                <c:pt idx="6">
                  <c:v>429784</c:v>
                </c:pt>
                <c:pt idx="7">
                  <c:v>467949</c:v>
                </c:pt>
              </c:numCache>
            </c:numRef>
          </c:val>
          <c:smooth val="0"/>
          <c:extLst>
            <c:ext xmlns:c16="http://schemas.microsoft.com/office/drawing/2014/chart" uri="{C3380CC4-5D6E-409C-BE32-E72D297353CC}">
              <c16:uniqueId val="{00000001-DD5E-44B1-8E54-3B8DBEC46030}"/>
            </c:ext>
          </c:extLst>
        </c:ser>
        <c:dLbls>
          <c:showLegendKey val="0"/>
          <c:showVal val="0"/>
          <c:showCatName val="0"/>
          <c:showSerName val="0"/>
          <c:showPercent val="0"/>
          <c:showBubbleSize val="0"/>
        </c:dLbls>
        <c:marker val="1"/>
        <c:smooth val="0"/>
        <c:axId val="132052096"/>
        <c:axId val="132053632"/>
      </c:lineChart>
      <c:catAx>
        <c:axId val="1320520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32053632"/>
        <c:crosses val="autoZero"/>
        <c:auto val="1"/>
        <c:lblAlgn val="ctr"/>
        <c:lblOffset val="100"/>
        <c:noMultiLvlLbl val="0"/>
      </c:catAx>
      <c:valAx>
        <c:axId val="132053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132052096"/>
        <c:crosses val="autoZero"/>
        <c:crossBetween val="between"/>
      </c:valAx>
      <c:spPr>
        <a:noFill/>
        <a:ln>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'2019-2011'!$C$1</c:f>
              <c:strCache>
                <c:ptCount val="1"/>
                <c:pt idx="0">
                  <c:v>نسبة العجز إلى الناتج</c:v>
                </c:pt>
              </c:strCache>
            </c:strRef>
          </c:tx>
          <c:marker>
            <c:symbol val="none"/>
          </c:marker>
          <c:cat>
            <c:strRef>
              <c:f>'2019-2011'!$A$3:$A$10</c:f>
              <c:strCache>
                <c:ptCount val="8"/>
                <c:pt idx="0">
                  <c:v>2011/2012</c:v>
                </c:pt>
                <c:pt idx="1">
                  <c:v>2012/2013</c:v>
                </c:pt>
                <c:pt idx="2">
                  <c:v>2013/2014</c:v>
                </c:pt>
                <c:pt idx="3">
                  <c:v>2014/2015</c:v>
                </c:pt>
                <c:pt idx="4">
                  <c:v>2015/2016</c:v>
                </c:pt>
                <c:pt idx="5">
                  <c:v>2016/2017</c:v>
                </c:pt>
                <c:pt idx="6">
                  <c:v>2018/2017</c:v>
                </c:pt>
                <c:pt idx="7">
                  <c:v>2018/2019</c:v>
                </c:pt>
              </c:strCache>
            </c:strRef>
          </c:cat>
          <c:val>
            <c:numRef>
              <c:f>'2019-2011'!$C$3:$C$10</c:f>
              <c:numCache>
                <c:formatCode>0.0%</c:formatCode>
                <c:ptCount val="8"/>
                <c:pt idx="0">
                  <c:v>0.10063081009296149</c:v>
                </c:pt>
                <c:pt idx="1">
                  <c:v>0.13001355895433345</c:v>
                </c:pt>
                <c:pt idx="2">
                  <c:v>0.11992441314553991</c:v>
                </c:pt>
                <c:pt idx="3">
                  <c:v>0.11433773886001883</c:v>
                </c:pt>
                <c:pt idx="4">
                  <c:v>0.12530265003321769</c:v>
                </c:pt>
                <c:pt idx="5">
                  <c:v>0.10939193083573487</c:v>
                </c:pt>
                <c:pt idx="6">
                  <c:v>9.7000000000000003E-2</c:v>
                </c:pt>
                <c:pt idx="7">
                  <c:v>8.1000000000000003E-2</c:v>
                </c:pt>
              </c:numCache>
            </c:numRef>
          </c:val>
          <c:smooth val="0"/>
          <c:extLst>
            <c:ext xmlns:c16="http://schemas.microsoft.com/office/drawing/2014/chart" uri="{C3380CC4-5D6E-409C-BE32-E72D297353CC}">
              <c16:uniqueId val="{00000000-5183-43C9-8BE8-71DF86C5379C}"/>
            </c:ext>
          </c:extLst>
        </c:ser>
        <c:dLbls>
          <c:showLegendKey val="0"/>
          <c:showVal val="0"/>
          <c:showCatName val="0"/>
          <c:showSerName val="0"/>
          <c:showPercent val="0"/>
          <c:showBubbleSize val="0"/>
        </c:dLbls>
        <c:marker val="1"/>
        <c:smooth val="0"/>
        <c:axId val="145834752"/>
        <c:axId val="145836288"/>
      </c:lineChart>
      <c:lineChart>
        <c:grouping val="standard"/>
        <c:varyColors val="0"/>
        <c:ser>
          <c:idx val="1"/>
          <c:order val="1"/>
          <c:tx>
            <c:strRef>
              <c:f>'2019-2011'!$N$1</c:f>
              <c:strCache>
                <c:ptCount val="1"/>
                <c:pt idx="0">
                  <c:v>الرقم القياسي لأسعار المستهلكين</c:v>
                </c:pt>
              </c:strCache>
            </c:strRef>
          </c:tx>
          <c:marker>
            <c:symbol val="none"/>
          </c:marker>
          <c:cat>
            <c:strRef>
              <c:f>'2019-2011'!$A$3:$A$10</c:f>
              <c:strCache>
                <c:ptCount val="8"/>
                <c:pt idx="0">
                  <c:v>2011/2012</c:v>
                </c:pt>
                <c:pt idx="1">
                  <c:v>2012/2013</c:v>
                </c:pt>
                <c:pt idx="2">
                  <c:v>2013/2014</c:v>
                </c:pt>
                <c:pt idx="3">
                  <c:v>2014/2015</c:v>
                </c:pt>
                <c:pt idx="4">
                  <c:v>2015/2016</c:v>
                </c:pt>
                <c:pt idx="5">
                  <c:v>2016/2017</c:v>
                </c:pt>
                <c:pt idx="6">
                  <c:v>2018/2017</c:v>
                </c:pt>
                <c:pt idx="7">
                  <c:v>2018/2019</c:v>
                </c:pt>
              </c:strCache>
            </c:strRef>
          </c:cat>
          <c:val>
            <c:numRef>
              <c:f>'2019-2011'!$Q$4:$Q$11</c:f>
              <c:numCache>
                <c:formatCode>0.0%</c:formatCode>
                <c:ptCount val="8"/>
                <c:pt idx="0">
                  <c:v>7.1149477510222617E-2</c:v>
                </c:pt>
                <c:pt idx="1">
                  <c:v>9.4248388191381191E-2</c:v>
                </c:pt>
                <c:pt idx="2">
                  <c:v>0.1014807349406931</c:v>
                </c:pt>
                <c:pt idx="3">
                  <c:v>0.10360360360360359</c:v>
                </c:pt>
                <c:pt idx="4">
                  <c:v>0.13807397959183659</c:v>
                </c:pt>
                <c:pt idx="5">
                  <c:v>0.29498458952087431</c:v>
                </c:pt>
                <c:pt idx="6">
                  <c:v>0.14371024276256009</c:v>
                </c:pt>
                <c:pt idx="7">
                  <c:v>9.1562618236852009E-2</c:v>
                </c:pt>
              </c:numCache>
            </c:numRef>
          </c:val>
          <c:smooth val="0"/>
          <c:extLst>
            <c:ext xmlns:c16="http://schemas.microsoft.com/office/drawing/2014/chart" uri="{C3380CC4-5D6E-409C-BE32-E72D297353CC}">
              <c16:uniqueId val="{00000001-5183-43C9-8BE8-71DF86C5379C}"/>
            </c:ext>
          </c:extLst>
        </c:ser>
        <c:dLbls>
          <c:showLegendKey val="0"/>
          <c:showVal val="0"/>
          <c:showCatName val="0"/>
          <c:showSerName val="0"/>
          <c:showPercent val="0"/>
          <c:showBubbleSize val="0"/>
        </c:dLbls>
        <c:marker val="1"/>
        <c:smooth val="0"/>
        <c:axId val="34461952"/>
        <c:axId val="34460032"/>
      </c:lineChart>
      <c:catAx>
        <c:axId val="145834752"/>
        <c:scaling>
          <c:orientation val="minMax"/>
        </c:scaling>
        <c:delete val="0"/>
        <c:axPos val="b"/>
        <c:numFmt formatCode="General" sourceLinked="0"/>
        <c:majorTickMark val="out"/>
        <c:minorTickMark val="none"/>
        <c:tickLblPos val="nextTo"/>
        <c:txPr>
          <a:bodyPr rot="-5400000" vert="horz"/>
          <a:lstStyle/>
          <a:p>
            <a:pPr>
              <a:defRPr sz="900"/>
            </a:pPr>
            <a:endParaRPr lang="en-US"/>
          </a:p>
        </c:txPr>
        <c:crossAx val="145836288"/>
        <c:crosses val="autoZero"/>
        <c:auto val="1"/>
        <c:lblAlgn val="ctr"/>
        <c:lblOffset val="100"/>
        <c:noMultiLvlLbl val="0"/>
      </c:catAx>
      <c:valAx>
        <c:axId val="145836288"/>
        <c:scaling>
          <c:orientation val="minMax"/>
          <c:max val="0.35000000000000003"/>
        </c:scaling>
        <c:delete val="0"/>
        <c:axPos val="l"/>
        <c:majorGridlines/>
        <c:title>
          <c:tx>
            <c:rich>
              <a:bodyPr/>
              <a:lstStyle/>
              <a:p>
                <a:pPr>
                  <a:defRPr b="0"/>
                </a:pPr>
                <a:r>
                  <a:rPr lang="ar-EG" b="0"/>
                  <a:t>نسبة العجز إلى الناتج</a:t>
                </a:r>
                <a:endParaRPr lang="en-US" b="0"/>
              </a:p>
            </c:rich>
          </c:tx>
          <c:overlay val="0"/>
        </c:title>
        <c:numFmt formatCode="0.0%" sourceLinked="1"/>
        <c:majorTickMark val="out"/>
        <c:minorTickMark val="none"/>
        <c:tickLblPos val="nextTo"/>
        <c:crossAx val="145834752"/>
        <c:crosses val="autoZero"/>
        <c:crossBetween val="between"/>
      </c:valAx>
      <c:valAx>
        <c:axId val="34460032"/>
        <c:scaling>
          <c:orientation val="minMax"/>
        </c:scaling>
        <c:delete val="0"/>
        <c:axPos val="r"/>
        <c:title>
          <c:tx>
            <c:rich>
              <a:bodyPr/>
              <a:lstStyle/>
              <a:p>
                <a:pPr>
                  <a:defRPr b="0"/>
                </a:pPr>
                <a:r>
                  <a:rPr lang="ar-EG" b="0" baseline="0"/>
                  <a:t>معدل التضخم</a:t>
                </a:r>
                <a:endParaRPr lang="en-US" b="0"/>
              </a:p>
            </c:rich>
          </c:tx>
          <c:overlay val="0"/>
        </c:title>
        <c:numFmt formatCode="0.0%" sourceLinked="1"/>
        <c:majorTickMark val="out"/>
        <c:minorTickMark val="none"/>
        <c:tickLblPos val="nextTo"/>
        <c:crossAx val="34461952"/>
        <c:crosses val="max"/>
        <c:crossBetween val="between"/>
      </c:valAx>
      <c:catAx>
        <c:axId val="34461952"/>
        <c:scaling>
          <c:orientation val="minMax"/>
        </c:scaling>
        <c:delete val="1"/>
        <c:axPos val="b"/>
        <c:numFmt formatCode="General" sourceLinked="1"/>
        <c:majorTickMark val="out"/>
        <c:minorTickMark val="none"/>
        <c:tickLblPos val="nextTo"/>
        <c:crossAx val="34460032"/>
        <c:crosses val="autoZero"/>
        <c:auto val="1"/>
        <c:lblAlgn val="ctr"/>
        <c:lblOffset val="100"/>
        <c:noMultiLvlLbl val="0"/>
      </c:catAx>
    </c:plotArea>
    <c:legend>
      <c:legendPos val="b"/>
      <c:overlay val="0"/>
    </c:legend>
    <c:plotVisOnly val="1"/>
    <c:dispBlanksAs val="gap"/>
    <c:showDLblsOverMax val="0"/>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'2019-2011'!$D$1</c:f>
              <c:strCache>
                <c:ptCount val="1"/>
                <c:pt idx="0">
                  <c:v>التمويل الخارجي</c:v>
                </c:pt>
              </c:strCache>
            </c:strRef>
          </c:tx>
          <c:spPr>
            <a:ln w="28575" cap="rnd">
              <a:solidFill>
                <a:schemeClr val="accent1"/>
              </a:solidFill>
              <a:prstDash val="lgDash"/>
              <a:round/>
            </a:ln>
            <a:effectLst/>
          </c:spPr>
          <c:marker>
            <c:symbol val="square"/>
            <c:size val="5"/>
            <c:spPr>
              <a:solidFill>
                <a:schemeClr val="accent1"/>
              </a:solidFill>
              <a:ln w="9525">
                <a:solidFill>
                  <a:schemeClr val="accent1"/>
                </a:solidFill>
              </a:ln>
              <a:effectLst/>
            </c:spPr>
          </c:marker>
          <c:cat>
            <c:strRef>
              <c:f>'2019-2011'!$A$3:$A$10</c:f>
              <c:strCache>
                <c:ptCount val="8"/>
                <c:pt idx="0">
                  <c:v>2011/2012</c:v>
                </c:pt>
                <c:pt idx="1">
                  <c:v>2012/2013</c:v>
                </c:pt>
                <c:pt idx="2">
                  <c:v>2013/2014</c:v>
                </c:pt>
                <c:pt idx="3">
                  <c:v>2014/2015</c:v>
                </c:pt>
                <c:pt idx="4">
                  <c:v>2015/2016</c:v>
                </c:pt>
                <c:pt idx="5">
                  <c:v>2016/2017</c:v>
                </c:pt>
                <c:pt idx="6">
                  <c:v>2018/2017</c:v>
                </c:pt>
                <c:pt idx="7">
                  <c:v>2018/2019</c:v>
                </c:pt>
              </c:strCache>
            </c:strRef>
          </c:cat>
          <c:val>
            <c:numRef>
              <c:f>'2019-2011'!$D$3:$D$10</c:f>
              <c:numCache>
                <c:formatCode>General</c:formatCode>
                <c:ptCount val="8"/>
                <c:pt idx="0">
                  <c:v>-9.0619999999999994</c:v>
                </c:pt>
                <c:pt idx="1">
                  <c:v>2.0270000000000001</c:v>
                </c:pt>
                <c:pt idx="2">
                  <c:v>4.0220000000000002</c:v>
                </c:pt>
                <c:pt idx="3">
                  <c:v>-25.119</c:v>
                </c:pt>
                <c:pt idx="4">
                  <c:v>81.546000000000006</c:v>
                </c:pt>
                <c:pt idx="5">
                  <c:v>188.21100000000001</c:v>
                </c:pt>
                <c:pt idx="6">
                  <c:v>230.33199999999999</c:v>
                </c:pt>
                <c:pt idx="7">
                  <c:v>178.65199999999999</c:v>
                </c:pt>
              </c:numCache>
            </c:numRef>
          </c:val>
          <c:smooth val="0"/>
          <c:extLst>
            <c:ext xmlns:c16="http://schemas.microsoft.com/office/drawing/2014/chart" uri="{C3380CC4-5D6E-409C-BE32-E72D297353CC}">
              <c16:uniqueId val="{00000000-9F98-499C-89DC-60BEAE221D19}"/>
            </c:ext>
          </c:extLst>
        </c:ser>
        <c:ser>
          <c:idx val="1"/>
          <c:order val="1"/>
          <c:tx>
            <c:strRef>
              <c:f>'2019-2011'!$F$1</c:f>
              <c:strCache>
                <c:ptCount val="1"/>
                <c:pt idx="0">
                  <c:v>تمويل محلي غير المصرفي</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cat>
            <c:strRef>
              <c:f>'2019-2011'!$A$3:$A$10</c:f>
              <c:strCache>
                <c:ptCount val="8"/>
                <c:pt idx="0">
                  <c:v>2011/2012</c:v>
                </c:pt>
                <c:pt idx="1">
                  <c:v>2012/2013</c:v>
                </c:pt>
                <c:pt idx="2">
                  <c:v>2013/2014</c:v>
                </c:pt>
                <c:pt idx="3">
                  <c:v>2014/2015</c:v>
                </c:pt>
                <c:pt idx="4">
                  <c:v>2015/2016</c:v>
                </c:pt>
                <c:pt idx="5">
                  <c:v>2016/2017</c:v>
                </c:pt>
                <c:pt idx="6">
                  <c:v>2018/2017</c:v>
                </c:pt>
                <c:pt idx="7">
                  <c:v>2018/2019</c:v>
                </c:pt>
              </c:strCache>
            </c:strRef>
          </c:cat>
          <c:val>
            <c:numRef>
              <c:f>'2019-2011'!$F$3:$F$10</c:f>
              <c:numCache>
                <c:formatCode>General</c:formatCode>
                <c:ptCount val="8"/>
                <c:pt idx="0">
                  <c:v>35.844000000000001</c:v>
                </c:pt>
                <c:pt idx="1">
                  <c:v>49.286000000000001</c:v>
                </c:pt>
                <c:pt idx="2">
                  <c:v>32.957000000000001</c:v>
                </c:pt>
                <c:pt idx="3">
                  <c:v>79.274000000000001</c:v>
                </c:pt>
                <c:pt idx="4">
                  <c:v>136.005</c:v>
                </c:pt>
                <c:pt idx="5">
                  <c:v>192.73599999999999</c:v>
                </c:pt>
                <c:pt idx="6">
                  <c:v>253.583</c:v>
                </c:pt>
                <c:pt idx="7">
                  <c:v>264.517</c:v>
                </c:pt>
              </c:numCache>
            </c:numRef>
          </c:val>
          <c:smooth val="0"/>
          <c:extLst>
            <c:ext xmlns:c16="http://schemas.microsoft.com/office/drawing/2014/chart" uri="{C3380CC4-5D6E-409C-BE32-E72D297353CC}">
              <c16:uniqueId val="{00000001-9F98-499C-89DC-60BEAE221D19}"/>
            </c:ext>
          </c:extLst>
        </c:ser>
        <c:ser>
          <c:idx val="2"/>
          <c:order val="2"/>
          <c:tx>
            <c:strRef>
              <c:f>'2019-2011'!$H$1</c:f>
              <c:strCache>
                <c:ptCount val="1"/>
                <c:pt idx="0">
                  <c:v>تمويل محلي مصرفي</c:v>
                </c:pt>
              </c:strCache>
            </c:strRef>
          </c:tx>
          <c:spPr>
            <a:ln w="28575" cap="rnd">
              <a:solidFill>
                <a:schemeClr val="accent3"/>
              </a:solidFill>
              <a:round/>
            </a:ln>
            <a:effectLst/>
          </c:spPr>
          <c:marker>
            <c:symbol val="triangle"/>
            <c:size val="5"/>
            <c:spPr>
              <a:solidFill>
                <a:schemeClr val="accent3"/>
              </a:solidFill>
              <a:ln w="9525">
                <a:solidFill>
                  <a:schemeClr val="accent3"/>
                </a:solidFill>
              </a:ln>
              <a:effectLst/>
            </c:spPr>
          </c:marker>
          <c:cat>
            <c:strRef>
              <c:f>'2019-2011'!$A$3:$A$10</c:f>
              <c:strCache>
                <c:ptCount val="8"/>
                <c:pt idx="0">
                  <c:v>2011/2012</c:v>
                </c:pt>
                <c:pt idx="1">
                  <c:v>2012/2013</c:v>
                </c:pt>
                <c:pt idx="2">
                  <c:v>2013/2014</c:v>
                </c:pt>
                <c:pt idx="3">
                  <c:v>2014/2015</c:v>
                </c:pt>
                <c:pt idx="4">
                  <c:v>2015/2016</c:v>
                </c:pt>
                <c:pt idx="5">
                  <c:v>2016/2017</c:v>
                </c:pt>
                <c:pt idx="6">
                  <c:v>2018/2017</c:v>
                </c:pt>
                <c:pt idx="7">
                  <c:v>2018/2019</c:v>
                </c:pt>
              </c:strCache>
            </c:strRef>
          </c:cat>
          <c:val>
            <c:numRef>
              <c:f>'2019-2011'!$H$3:$H$10</c:f>
              <c:numCache>
                <c:formatCode>General</c:formatCode>
                <c:ptCount val="8"/>
                <c:pt idx="0">
                  <c:v>146.374</c:v>
                </c:pt>
                <c:pt idx="1">
                  <c:v>221.33799999999999</c:v>
                </c:pt>
                <c:pt idx="2">
                  <c:v>244.363</c:v>
                </c:pt>
                <c:pt idx="3">
                  <c:v>248.45400000000001</c:v>
                </c:pt>
                <c:pt idx="4">
                  <c:v>227.251</c:v>
                </c:pt>
                <c:pt idx="5">
                  <c:v>206.048</c:v>
                </c:pt>
                <c:pt idx="6">
                  <c:v>176.20099999999999</c:v>
                </c:pt>
                <c:pt idx="7">
                  <c:v>203.43199999999999</c:v>
                </c:pt>
              </c:numCache>
            </c:numRef>
          </c:val>
          <c:smooth val="0"/>
          <c:extLst>
            <c:ext xmlns:c16="http://schemas.microsoft.com/office/drawing/2014/chart" uri="{C3380CC4-5D6E-409C-BE32-E72D297353CC}">
              <c16:uniqueId val="{00000002-9F98-499C-89DC-60BEAE221D19}"/>
            </c:ext>
          </c:extLst>
        </c:ser>
        <c:dLbls>
          <c:showLegendKey val="0"/>
          <c:showVal val="0"/>
          <c:showCatName val="0"/>
          <c:showSerName val="0"/>
          <c:showPercent val="0"/>
          <c:showBubbleSize val="0"/>
        </c:dLbls>
        <c:marker val="1"/>
        <c:smooth val="0"/>
        <c:axId val="45067648"/>
        <c:axId val="45073920"/>
      </c:lineChart>
      <c:lineChart>
        <c:grouping val="standard"/>
        <c:varyColors val="0"/>
        <c:ser>
          <c:idx val="3"/>
          <c:order val="3"/>
          <c:tx>
            <c:strRef>
              <c:f>'2019-2011'!$P$1</c:f>
              <c:strCache>
                <c:ptCount val="1"/>
                <c:pt idx="0">
                  <c:v>الأسعار القياسية للسلع الاستهلاكية (2010 = 100)</c:v>
                </c:pt>
              </c:strCache>
            </c:strRef>
          </c:tx>
          <c:spPr>
            <a:ln w="28575" cap="rnd">
              <a:solidFill>
                <a:schemeClr val="accent4"/>
              </a:solidFill>
              <a:prstDash val="sysDash"/>
              <a:round/>
            </a:ln>
            <a:effectLst/>
          </c:spPr>
          <c:marker>
            <c:symbol val="x"/>
            <c:size val="5"/>
            <c:spPr>
              <a:noFill/>
              <a:ln w="9525">
                <a:solidFill>
                  <a:schemeClr val="accent4"/>
                </a:solidFill>
              </a:ln>
              <a:effectLst/>
            </c:spPr>
          </c:marker>
          <c:cat>
            <c:strRef>
              <c:f>'2019-2011'!$A$3:$A$10</c:f>
              <c:strCache>
                <c:ptCount val="8"/>
                <c:pt idx="0">
                  <c:v>2011/2012</c:v>
                </c:pt>
                <c:pt idx="1">
                  <c:v>2012/2013</c:v>
                </c:pt>
                <c:pt idx="2">
                  <c:v>2013/2014</c:v>
                </c:pt>
                <c:pt idx="3">
                  <c:v>2014/2015</c:v>
                </c:pt>
                <c:pt idx="4">
                  <c:v>2015/2016</c:v>
                </c:pt>
                <c:pt idx="5">
                  <c:v>2016/2017</c:v>
                </c:pt>
                <c:pt idx="6">
                  <c:v>2018/2017</c:v>
                </c:pt>
                <c:pt idx="7">
                  <c:v>2018/2019</c:v>
                </c:pt>
              </c:strCache>
            </c:strRef>
          </c:cat>
          <c:val>
            <c:numRef>
              <c:f>'2019-2011'!$P$3:$P$10</c:f>
              <c:numCache>
                <c:formatCode>0.0</c:formatCode>
                <c:ptCount val="8"/>
                <c:pt idx="0">
                  <c:v>110.05</c:v>
                </c:pt>
                <c:pt idx="1">
                  <c:v>117.88</c:v>
                </c:pt>
                <c:pt idx="2">
                  <c:v>128.99</c:v>
                </c:pt>
                <c:pt idx="3">
                  <c:v>142.08000000000001</c:v>
                </c:pt>
                <c:pt idx="4">
                  <c:v>156.80000000000001</c:v>
                </c:pt>
                <c:pt idx="5">
                  <c:v>178.45</c:v>
                </c:pt>
                <c:pt idx="6">
                  <c:v>231.09</c:v>
                </c:pt>
                <c:pt idx="7">
                  <c:v>264.3</c:v>
                </c:pt>
              </c:numCache>
            </c:numRef>
          </c:val>
          <c:smooth val="0"/>
          <c:extLst>
            <c:ext xmlns:c16="http://schemas.microsoft.com/office/drawing/2014/chart" uri="{C3380CC4-5D6E-409C-BE32-E72D297353CC}">
              <c16:uniqueId val="{00000003-9F98-499C-89DC-60BEAE221D19}"/>
            </c:ext>
          </c:extLst>
        </c:ser>
        <c:dLbls>
          <c:showLegendKey val="0"/>
          <c:showVal val="0"/>
          <c:showCatName val="0"/>
          <c:showSerName val="0"/>
          <c:showPercent val="0"/>
          <c:showBubbleSize val="0"/>
        </c:dLbls>
        <c:marker val="1"/>
        <c:smooth val="0"/>
        <c:axId val="45078016"/>
        <c:axId val="45075840"/>
      </c:lineChart>
      <c:catAx>
        <c:axId val="450676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dk1"/>
                </a:solidFill>
                <a:latin typeface="+mn-lt"/>
                <a:ea typeface="+mn-ea"/>
                <a:cs typeface="+mn-cs"/>
              </a:defRPr>
            </a:pPr>
            <a:endParaRPr lang="en-US"/>
          </a:p>
        </c:txPr>
        <c:crossAx val="45073920"/>
        <c:crosses val="autoZero"/>
        <c:auto val="1"/>
        <c:lblAlgn val="ctr"/>
        <c:lblOffset val="100"/>
        <c:noMultiLvlLbl val="0"/>
      </c:catAx>
      <c:valAx>
        <c:axId val="45073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ar-EG"/>
                  <a:t>قيم التمويل بالمليار جنيه</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45067648"/>
        <c:crosses val="autoZero"/>
        <c:crossBetween val="between"/>
      </c:valAx>
      <c:valAx>
        <c:axId val="4507584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ar-EG"/>
                  <a:t>الرقم القياسي لأسعار المستهلكين</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45078016"/>
        <c:crosses val="max"/>
        <c:crossBetween val="between"/>
      </c:valAx>
      <c:catAx>
        <c:axId val="45078016"/>
        <c:scaling>
          <c:orientation val="minMax"/>
        </c:scaling>
        <c:delete val="1"/>
        <c:axPos val="b"/>
        <c:numFmt formatCode="General" sourceLinked="1"/>
        <c:majorTickMark val="out"/>
        <c:minorTickMark val="none"/>
        <c:tickLblPos val="nextTo"/>
        <c:crossAx val="4507584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25400" cap="flat" cmpd="sng" algn="ctr">
      <a:solidFill>
        <a:schemeClr val="accent2"/>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'2019-1991'!$G$2</c:f>
              <c:strCache>
                <c:ptCount val="1"/>
                <c:pt idx="0">
                  <c:v>نسبة الإيرادات إلى الناتج</c:v>
                </c:pt>
              </c:strCache>
            </c:strRef>
          </c:tx>
          <c:spPr>
            <a:ln w="28575" cap="rnd">
              <a:solidFill>
                <a:schemeClr val="accent1"/>
              </a:solidFill>
              <a:prstDash val="sysDash"/>
              <a:round/>
            </a:ln>
            <a:effectLst/>
          </c:spPr>
          <c:marker>
            <c:symbol val="triangle"/>
            <c:size val="5"/>
          </c:marker>
          <c:cat>
            <c:strRef>
              <c:f>'2019-1991'!$A$4:$A$31</c:f>
              <c:strCache>
                <c:ptCount val="28"/>
                <c:pt idx="0">
                  <c:v>1991/1992</c:v>
                </c:pt>
                <c:pt idx="1">
                  <c:v>1992/1993</c:v>
                </c:pt>
                <c:pt idx="2">
                  <c:v>1993/1994</c:v>
                </c:pt>
                <c:pt idx="3">
                  <c:v>1994/1995</c:v>
                </c:pt>
                <c:pt idx="4">
                  <c:v>1995/1996</c:v>
                </c:pt>
                <c:pt idx="5">
                  <c:v>1996/1997</c:v>
                </c:pt>
                <c:pt idx="6">
                  <c:v>1997/1998</c:v>
                </c:pt>
                <c:pt idx="7">
                  <c:v>1998/1999</c:v>
                </c:pt>
                <c:pt idx="8">
                  <c:v>1999/2000</c:v>
                </c:pt>
                <c:pt idx="9">
                  <c:v>2000/2001</c:v>
                </c:pt>
                <c:pt idx="10">
                  <c:v>2001/2002</c:v>
                </c:pt>
                <c:pt idx="11">
                  <c:v>2002/2003</c:v>
                </c:pt>
                <c:pt idx="12">
                  <c:v>2003/2004</c:v>
                </c:pt>
                <c:pt idx="13">
                  <c:v>2004/2005</c:v>
                </c:pt>
                <c:pt idx="14">
                  <c:v>2005/2006</c:v>
                </c:pt>
                <c:pt idx="15">
                  <c:v>2006/2007</c:v>
                </c:pt>
                <c:pt idx="16">
                  <c:v>2007/2008</c:v>
                </c:pt>
                <c:pt idx="17">
                  <c:v>2008/2009</c:v>
                </c:pt>
                <c:pt idx="18">
                  <c:v>2009/2010</c:v>
                </c:pt>
                <c:pt idx="19">
                  <c:v>2010/2011</c:v>
                </c:pt>
                <c:pt idx="20">
                  <c:v>2011/2012</c:v>
                </c:pt>
                <c:pt idx="21">
                  <c:v>2012/2013</c:v>
                </c:pt>
                <c:pt idx="22">
                  <c:v>2013/2014</c:v>
                </c:pt>
                <c:pt idx="23">
                  <c:v>2014/2015</c:v>
                </c:pt>
                <c:pt idx="24">
                  <c:v>2015/2016</c:v>
                </c:pt>
                <c:pt idx="25">
                  <c:v>2016/2017</c:v>
                </c:pt>
                <c:pt idx="26">
                  <c:v>2018/2017</c:v>
                </c:pt>
                <c:pt idx="27">
                  <c:v>2018/2019</c:v>
                </c:pt>
              </c:strCache>
            </c:strRef>
          </c:cat>
          <c:val>
            <c:numRef>
              <c:f>'2019-1991'!$G$4:$G$31</c:f>
              <c:numCache>
                <c:formatCode>0.0%</c:formatCode>
                <c:ptCount val="28"/>
                <c:pt idx="0">
                  <c:v>0.31593886629481827</c:v>
                </c:pt>
                <c:pt idx="1">
                  <c:v>0.31953338806787085</c:v>
                </c:pt>
                <c:pt idx="2">
                  <c:v>0.30000057070133485</c:v>
                </c:pt>
                <c:pt idx="3">
                  <c:v>0.27300120530333466</c:v>
                </c:pt>
                <c:pt idx="4">
                  <c:v>0.26500104445914424</c:v>
                </c:pt>
                <c:pt idx="5">
                  <c:v>0.24300079495748297</c:v>
                </c:pt>
                <c:pt idx="6">
                  <c:v>0.23600066671759648</c:v>
                </c:pt>
                <c:pt idx="7">
                  <c:v>0.23105331599479845</c:v>
                </c:pt>
                <c:pt idx="8">
                  <c:v>0.22169655983534253</c:v>
                </c:pt>
                <c:pt idx="9">
                  <c:v>0.21226373013660441</c:v>
                </c:pt>
                <c:pt idx="10">
                  <c:v>0.20669569807337029</c:v>
                </c:pt>
                <c:pt idx="11">
                  <c:v>0.21400479041916168</c:v>
                </c:pt>
                <c:pt idx="12">
                  <c:v>0.20993200082423244</c:v>
                </c:pt>
                <c:pt idx="13">
                  <c:v>0.20587558031569173</c:v>
                </c:pt>
                <c:pt idx="14">
                  <c:v>0.24488586692569209</c:v>
                </c:pt>
                <c:pt idx="15">
                  <c:v>0.24196428571428572</c:v>
                </c:pt>
                <c:pt idx="16">
                  <c:v>0.24724064768285875</c:v>
                </c:pt>
                <c:pt idx="17">
                  <c:v>0.27106601420072923</c:v>
                </c:pt>
                <c:pt idx="18">
                  <c:v>0.22218778486782134</c:v>
                </c:pt>
                <c:pt idx="19">
                  <c:v>0.19348406389030706</c:v>
                </c:pt>
                <c:pt idx="20">
                  <c:v>0.18328021248339973</c:v>
                </c:pt>
                <c:pt idx="21">
                  <c:v>0.19</c:v>
                </c:pt>
                <c:pt idx="22">
                  <c:v>0.21445446009389671</c:v>
                </c:pt>
                <c:pt idx="23">
                  <c:v>0.19036826384058267</c:v>
                </c:pt>
                <c:pt idx="24">
                  <c:v>0.18140104820255407</c:v>
                </c:pt>
                <c:pt idx="25">
                  <c:v>0.18996657060518732</c:v>
                </c:pt>
                <c:pt idx="26">
                  <c:v>0.1850484517960968</c:v>
                </c:pt>
                <c:pt idx="27">
                  <c:v>0.17697424045995153</c:v>
                </c:pt>
              </c:numCache>
            </c:numRef>
          </c:val>
          <c:smooth val="0"/>
          <c:extLst>
            <c:ext xmlns:c16="http://schemas.microsoft.com/office/drawing/2014/chart" uri="{C3380CC4-5D6E-409C-BE32-E72D297353CC}">
              <c16:uniqueId val="{00000000-03C6-414E-B9B0-4CC30A47B1AB}"/>
            </c:ext>
          </c:extLst>
        </c:ser>
        <c:ser>
          <c:idx val="1"/>
          <c:order val="1"/>
          <c:tx>
            <c:strRef>
              <c:f>'2019-1991'!$H$2</c:f>
              <c:strCache>
                <c:ptCount val="1"/>
                <c:pt idx="0">
                  <c:v>نسبة المصروفات إلى الناتج</c:v>
                </c:pt>
              </c:strCache>
            </c:strRef>
          </c:tx>
          <c:spPr>
            <a:ln w="28575" cap="rnd">
              <a:solidFill>
                <a:schemeClr val="accent2"/>
              </a:solidFill>
              <a:round/>
            </a:ln>
            <a:effectLst/>
          </c:spPr>
          <c:marker>
            <c:symbol val="square"/>
            <c:size val="5"/>
          </c:marker>
          <c:cat>
            <c:strRef>
              <c:f>'2019-1991'!$A$4:$A$31</c:f>
              <c:strCache>
                <c:ptCount val="28"/>
                <c:pt idx="0">
                  <c:v>1991/1992</c:v>
                </c:pt>
                <c:pt idx="1">
                  <c:v>1992/1993</c:v>
                </c:pt>
                <c:pt idx="2">
                  <c:v>1993/1994</c:v>
                </c:pt>
                <c:pt idx="3">
                  <c:v>1994/1995</c:v>
                </c:pt>
                <c:pt idx="4">
                  <c:v>1995/1996</c:v>
                </c:pt>
                <c:pt idx="5">
                  <c:v>1996/1997</c:v>
                </c:pt>
                <c:pt idx="6">
                  <c:v>1997/1998</c:v>
                </c:pt>
                <c:pt idx="7">
                  <c:v>1998/1999</c:v>
                </c:pt>
                <c:pt idx="8">
                  <c:v>1999/2000</c:v>
                </c:pt>
                <c:pt idx="9">
                  <c:v>2000/2001</c:v>
                </c:pt>
                <c:pt idx="10">
                  <c:v>2001/2002</c:v>
                </c:pt>
                <c:pt idx="11">
                  <c:v>2002/2003</c:v>
                </c:pt>
                <c:pt idx="12">
                  <c:v>2003/2004</c:v>
                </c:pt>
                <c:pt idx="13">
                  <c:v>2004/2005</c:v>
                </c:pt>
                <c:pt idx="14">
                  <c:v>2005/2006</c:v>
                </c:pt>
                <c:pt idx="15">
                  <c:v>2006/2007</c:v>
                </c:pt>
                <c:pt idx="16">
                  <c:v>2007/2008</c:v>
                </c:pt>
                <c:pt idx="17">
                  <c:v>2008/2009</c:v>
                </c:pt>
                <c:pt idx="18">
                  <c:v>2009/2010</c:v>
                </c:pt>
                <c:pt idx="19">
                  <c:v>2010/2011</c:v>
                </c:pt>
                <c:pt idx="20">
                  <c:v>2011/2012</c:v>
                </c:pt>
                <c:pt idx="21">
                  <c:v>2012/2013</c:v>
                </c:pt>
                <c:pt idx="22">
                  <c:v>2013/2014</c:v>
                </c:pt>
                <c:pt idx="23">
                  <c:v>2014/2015</c:v>
                </c:pt>
                <c:pt idx="24">
                  <c:v>2015/2016</c:v>
                </c:pt>
                <c:pt idx="25">
                  <c:v>2016/2017</c:v>
                </c:pt>
                <c:pt idx="26">
                  <c:v>2018/2017</c:v>
                </c:pt>
                <c:pt idx="27">
                  <c:v>2018/2019</c:v>
                </c:pt>
              </c:strCache>
            </c:strRef>
          </c:cat>
          <c:val>
            <c:numRef>
              <c:f>'2019-1991'!$H$4:$H$31</c:f>
              <c:numCache>
                <c:formatCode>0.0%</c:formatCode>
                <c:ptCount val="28"/>
                <c:pt idx="0">
                  <c:v>0.36291842480752651</c:v>
                </c:pt>
                <c:pt idx="1">
                  <c:v>0.35730021893814995</c:v>
                </c:pt>
                <c:pt idx="2">
                  <c:v>0.32104232891800732</c:v>
                </c:pt>
                <c:pt idx="3">
                  <c:v>0.28543150839302689</c:v>
                </c:pt>
                <c:pt idx="4">
                  <c:v>0.27803937610973783</c:v>
                </c:pt>
                <c:pt idx="5">
                  <c:v>0.25177170026712076</c:v>
                </c:pt>
                <c:pt idx="6">
                  <c:v>0.2457930814159415</c:v>
                </c:pt>
                <c:pt idx="7">
                  <c:v>0.26006176853055918</c:v>
                </c:pt>
                <c:pt idx="8">
                  <c:v>0.26051161423110852</c:v>
                </c:pt>
                <c:pt idx="9">
                  <c:v>0.26797044884304433</c:v>
                </c:pt>
                <c:pt idx="10">
                  <c:v>0.30494061757719715</c:v>
                </c:pt>
                <c:pt idx="11">
                  <c:v>0.3049580838323353</c:v>
                </c:pt>
                <c:pt idx="12">
                  <c:v>0.30082011127137853</c:v>
                </c:pt>
                <c:pt idx="13">
                  <c:v>0.30011327762302692</c:v>
                </c:pt>
                <c:pt idx="14">
                  <c:v>0.33642544924720741</c:v>
                </c:pt>
                <c:pt idx="15">
                  <c:v>0.29810553168635873</c:v>
                </c:pt>
                <c:pt idx="16">
                  <c:v>0.3152317141261865</c:v>
                </c:pt>
                <c:pt idx="17">
                  <c:v>0.3372673191326041</c:v>
                </c:pt>
                <c:pt idx="18">
                  <c:v>0.30329576531035052</c:v>
                </c:pt>
                <c:pt idx="19">
                  <c:v>0.29309751294580993</c:v>
                </c:pt>
                <c:pt idx="20">
                  <c:v>0.28431244718097309</c:v>
                </c:pt>
                <c:pt idx="21">
                  <c:v>0.31900856925913873</c:v>
                </c:pt>
                <c:pt idx="22">
                  <c:v>0.32934929577464789</c:v>
                </c:pt>
                <c:pt idx="23">
                  <c:v>0.30007365276811654</c:v>
                </c:pt>
                <c:pt idx="24">
                  <c:v>0.30185428508156786</c:v>
                </c:pt>
                <c:pt idx="25">
                  <c:v>0.29738933717579252</c:v>
                </c:pt>
                <c:pt idx="26">
                  <c:v>0.28043629152206245</c:v>
                </c:pt>
                <c:pt idx="27">
                  <c:v>0.25738308625969974</c:v>
                </c:pt>
              </c:numCache>
            </c:numRef>
          </c:val>
          <c:smooth val="0"/>
          <c:extLst>
            <c:ext xmlns:c16="http://schemas.microsoft.com/office/drawing/2014/chart" uri="{C3380CC4-5D6E-409C-BE32-E72D297353CC}">
              <c16:uniqueId val="{00000001-03C6-414E-B9B0-4CC30A47B1AB}"/>
            </c:ext>
          </c:extLst>
        </c:ser>
        <c:ser>
          <c:idx val="2"/>
          <c:order val="2"/>
          <c:tx>
            <c:strRef>
              <c:f>'2019-1991'!$I$2</c:f>
              <c:strCache>
                <c:ptCount val="1"/>
                <c:pt idx="0">
                  <c:v>نسبة العجز إلى الناتج</c:v>
                </c:pt>
              </c:strCache>
            </c:strRef>
          </c:tx>
          <c:spPr>
            <a:ln w="28575" cap="rnd">
              <a:solidFill>
                <a:schemeClr val="accent3"/>
              </a:solidFill>
              <a:prstDash val="sysDot"/>
              <a:round/>
            </a:ln>
            <a:effectLst/>
          </c:spPr>
          <c:marker>
            <c:symbol val="x"/>
            <c:size val="5"/>
          </c:marker>
          <c:cat>
            <c:strRef>
              <c:f>'2019-1991'!$A$4:$A$31</c:f>
              <c:strCache>
                <c:ptCount val="28"/>
                <c:pt idx="0">
                  <c:v>1991/1992</c:v>
                </c:pt>
                <c:pt idx="1">
                  <c:v>1992/1993</c:v>
                </c:pt>
                <c:pt idx="2">
                  <c:v>1993/1994</c:v>
                </c:pt>
                <c:pt idx="3">
                  <c:v>1994/1995</c:v>
                </c:pt>
                <c:pt idx="4">
                  <c:v>1995/1996</c:v>
                </c:pt>
                <c:pt idx="5">
                  <c:v>1996/1997</c:v>
                </c:pt>
                <c:pt idx="6">
                  <c:v>1997/1998</c:v>
                </c:pt>
                <c:pt idx="7">
                  <c:v>1998/1999</c:v>
                </c:pt>
                <c:pt idx="8">
                  <c:v>1999/2000</c:v>
                </c:pt>
                <c:pt idx="9">
                  <c:v>2000/2001</c:v>
                </c:pt>
                <c:pt idx="10">
                  <c:v>2001/2002</c:v>
                </c:pt>
                <c:pt idx="11">
                  <c:v>2002/2003</c:v>
                </c:pt>
                <c:pt idx="12">
                  <c:v>2003/2004</c:v>
                </c:pt>
                <c:pt idx="13">
                  <c:v>2004/2005</c:v>
                </c:pt>
                <c:pt idx="14">
                  <c:v>2005/2006</c:v>
                </c:pt>
                <c:pt idx="15">
                  <c:v>2006/2007</c:v>
                </c:pt>
                <c:pt idx="16">
                  <c:v>2007/2008</c:v>
                </c:pt>
                <c:pt idx="17">
                  <c:v>2008/2009</c:v>
                </c:pt>
                <c:pt idx="18">
                  <c:v>2009/2010</c:v>
                </c:pt>
                <c:pt idx="19">
                  <c:v>2010/2011</c:v>
                </c:pt>
                <c:pt idx="20">
                  <c:v>2011/2012</c:v>
                </c:pt>
                <c:pt idx="21">
                  <c:v>2012/2013</c:v>
                </c:pt>
                <c:pt idx="22">
                  <c:v>2013/2014</c:v>
                </c:pt>
                <c:pt idx="23">
                  <c:v>2014/2015</c:v>
                </c:pt>
                <c:pt idx="24">
                  <c:v>2015/2016</c:v>
                </c:pt>
                <c:pt idx="25">
                  <c:v>2016/2017</c:v>
                </c:pt>
                <c:pt idx="26">
                  <c:v>2018/2017</c:v>
                </c:pt>
                <c:pt idx="27">
                  <c:v>2018/2019</c:v>
                </c:pt>
              </c:strCache>
            </c:strRef>
          </c:cat>
          <c:val>
            <c:numRef>
              <c:f>'2019-1991'!$I$4:$I$31</c:f>
              <c:numCache>
                <c:formatCode>0.0%</c:formatCode>
                <c:ptCount val="28"/>
                <c:pt idx="0">
                  <c:v>4.6979558512708214E-2</c:v>
                </c:pt>
                <c:pt idx="1">
                  <c:v>3.7766830870279149E-2</c:v>
                </c:pt>
                <c:pt idx="2">
                  <c:v>2.1098828350159513E-2</c:v>
                </c:pt>
                <c:pt idx="3">
                  <c:v>1.2430303089692207E-2</c:v>
                </c:pt>
                <c:pt idx="4">
                  <c:v>1.3038331650593602E-2</c:v>
                </c:pt>
                <c:pt idx="5">
                  <c:v>8.770905309637823E-3</c:v>
                </c:pt>
                <c:pt idx="6">
                  <c:v>9.792414698345013E-3</c:v>
                </c:pt>
                <c:pt idx="7">
                  <c:v>2.9008452535760728E-2</c:v>
                </c:pt>
                <c:pt idx="8">
                  <c:v>3.8815054395765949E-2</c:v>
                </c:pt>
                <c:pt idx="9">
                  <c:v>5.5706718706439923E-2</c:v>
                </c:pt>
                <c:pt idx="10">
                  <c:v>0.10157297439957773</c:v>
                </c:pt>
                <c:pt idx="11">
                  <c:v>0.10453652694610778</c:v>
                </c:pt>
                <c:pt idx="12">
                  <c:v>9.45353389655883E-2</c:v>
                </c:pt>
                <c:pt idx="13">
                  <c:v>9.5901578458681525E-2</c:v>
                </c:pt>
                <c:pt idx="14">
                  <c:v>8.1568722680913058E-2</c:v>
                </c:pt>
                <c:pt idx="15">
                  <c:v>7.3438506981740065E-2</c:v>
                </c:pt>
                <c:pt idx="16">
                  <c:v>6.8254606365159134E-2</c:v>
                </c:pt>
                <c:pt idx="17">
                  <c:v>6.8917674150834773E-2</c:v>
                </c:pt>
                <c:pt idx="18">
                  <c:v>8.1244716996768052E-2</c:v>
                </c:pt>
                <c:pt idx="19">
                  <c:v>9.8067245277514398E-2</c:v>
                </c:pt>
                <c:pt idx="20">
                  <c:v>0.10063081009296149</c:v>
                </c:pt>
                <c:pt idx="21">
                  <c:v>0.13001355895433345</c:v>
                </c:pt>
                <c:pt idx="22">
                  <c:v>0.11992441314553991</c:v>
                </c:pt>
                <c:pt idx="23">
                  <c:v>0.11433773886001883</c:v>
                </c:pt>
                <c:pt idx="24">
                  <c:v>0.12530265003321769</c:v>
                </c:pt>
                <c:pt idx="25">
                  <c:v>0.10939193083573487</c:v>
                </c:pt>
                <c:pt idx="26">
                  <c:v>9.7485013746788654E-2</c:v>
                </c:pt>
                <c:pt idx="27">
                  <c:v>8.0782932190970075E-2</c:v>
                </c:pt>
              </c:numCache>
            </c:numRef>
          </c:val>
          <c:smooth val="0"/>
          <c:extLst>
            <c:ext xmlns:c16="http://schemas.microsoft.com/office/drawing/2014/chart" uri="{C3380CC4-5D6E-409C-BE32-E72D297353CC}">
              <c16:uniqueId val="{00000002-03C6-414E-B9B0-4CC30A47B1AB}"/>
            </c:ext>
          </c:extLst>
        </c:ser>
        <c:dLbls>
          <c:showLegendKey val="0"/>
          <c:showVal val="0"/>
          <c:showCatName val="0"/>
          <c:showSerName val="0"/>
          <c:showPercent val="0"/>
          <c:showBubbleSize val="0"/>
        </c:dLbls>
        <c:marker val="1"/>
        <c:smooth val="0"/>
        <c:axId val="90497408"/>
        <c:axId val="111700224"/>
      </c:lineChart>
      <c:catAx>
        <c:axId val="90497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11700224"/>
        <c:crosses val="autoZero"/>
        <c:auto val="1"/>
        <c:lblAlgn val="ctr"/>
        <c:lblOffset val="100"/>
        <c:noMultiLvlLbl val="0"/>
      </c:catAx>
      <c:valAx>
        <c:axId val="1117002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vert="horz"/>
          <a:lstStyle/>
          <a:p>
            <a:pPr>
              <a:defRPr/>
            </a:pPr>
            <a:endParaRPr lang="en-US"/>
          </a:p>
        </c:txPr>
        <c:crossAx val="90497408"/>
        <c:crosses val="autoZero"/>
        <c:crossBetween val="between"/>
      </c:valAx>
      <c:spPr>
        <a:noFill/>
        <a:ln>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19233085303815"/>
          <c:y val="4.3409713847840953E-2"/>
          <c:w val="0.76426437759455523"/>
          <c:h val="0.70924170542970644"/>
        </c:manualLayout>
      </c:layout>
      <c:lineChart>
        <c:grouping val="standard"/>
        <c:varyColors val="0"/>
        <c:ser>
          <c:idx val="0"/>
          <c:order val="0"/>
          <c:tx>
            <c:strRef>
              <c:f>'2019-1991'!$D$1</c:f>
              <c:strCache>
                <c:ptCount val="1"/>
                <c:pt idx="0">
                  <c:v>التمويل الخارجي</c:v>
                </c:pt>
              </c:strCache>
            </c:strRef>
          </c:tx>
          <c:spPr>
            <a:ln w="28575" cap="rnd">
              <a:solidFill>
                <a:schemeClr val="accent1"/>
              </a:solidFill>
              <a:prstDash val="lgDash"/>
              <a:round/>
            </a:ln>
            <a:effectLst/>
          </c:spPr>
          <c:marker>
            <c:symbol val="square"/>
            <c:size val="5"/>
          </c:marker>
          <c:cat>
            <c:strRef>
              <c:f>'2019-1991'!$A$3:$A$30</c:f>
              <c:strCache>
                <c:ptCount val="28"/>
                <c:pt idx="0">
                  <c:v>1991/1992</c:v>
                </c:pt>
                <c:pt idx="1">
                  <c:v>1992/1993</c:v>
                </c:pt>
                <c:pt idx="2">
                  <c:v>1993/1994</c:v>
                </c:pt>
                <c:pt idx="3">
                  <c:v>1994/1995</c:v>
                </c:pt>
                <c:pt idx="4">
                  <c:v>1995/1996</c:v>
                </c:pt>
                <c:pt idx="5">
                  <c:v>1996/1997</c:v>
                </c:pt>
                <c:pt idx="6">
                  <c:v>1997/1998</c:v>
                </c:pt>
                <c:pt idx="7">
                  <c:v>1998/1999</c:v>
                </c:pt>
                <c:pt idx="8">
                  <c:v>1999/2000</c:v>
                </c:pt>
                <c:pt idx="9">
                  <c:v>2000/2001</c:v>
                </c:pt>
                <c:pt idx="10">
                  <c:v>2001/2002</c:v>
                </c:pt>
                <c:pt idx="11">
                  <c:v>2002/2003</c:v>
                </c:pt>
                <c:pt idx="12">
                  <c:v>2003/2004</c:v>
                </c:pt>
                <c:pt idx="13">
                  <c:v>2004/2005</c:v>
                </c:pt>
                <c:pt idx="14">
                  <c:v>2005/2006</c:v>
                </c:pt>
                <c:pt idx="15">
                  <c:v>2006/2007</c:v>
                </c:pt>
                <c:pt idx="16">
                  <c:v>2007/2008</c:v>
                </c:pt>
                <c:pt idx="17">
                  <c:v>2008/2009</c:v>
                </c:pt>
                <c:pt idx="18">
                  <c:v>2009/2010</c:v>
                </c:pt>
                <c:pt idx="19">
                  <c:v>2010/2011</c:v>
                </c:pt>
                <c:pt idx="20">
                  <c:v>2011/2012</c:v>
                </c:pt>
                <c:pt idx="21">
                  <c:v>2012/2013</c:v>
                </c:pt>
                <c:pt idx="22">
                  <c:v>2013/2014</c:v>
                </c:pt>
                <c:pt idx="23">
                  <c:v>2014/2015</c:v>
                </c:pt>
                <c:pt idx="24">
                  <c:v>2015/2016</c:v>
                </c:pt>
                <c:pt idx="25">
                  <c:v>2016/2017</c:v>
                </c:pt>
                <c:pt idx="26">
                  <c:v>2017/2018</c:v>
                </c:pt>
                <c:pt idx="27">
                  <c:v>2018/2019</c:v>
                </c:pt>
              </c:strCache>
            </c:strRef>
          </c:cat>
          <c:val>
            <c:numRef>
              <c:f>'2019-1991'!$D$3:$D$30</c:f>
              <c:numCache>
                <c:formatCode>General</c:formatCode>
                <c:ptCount val="28"/>
                <c:pt idx="0">
                  <c:v>1.7829999999999999</c:v>
                </c:pt>
                <c:pt idx="1">
                  <c:v>0.29799999999999999</c:v>
                </c:pt>
                <c:pt idx="2">
                  <c:v>0.46400000000000002</c:v>
                </c:pt>
                <c:pt idx="3">
                  <c:v>-0.27800000000000002</c:v>
                </c:pt>
                <c:pt idx="4">
                  <c:v>-1.34</c:v>
                </c:pt>
                <c:pt idx="5">
                  <c:v>-1.575</c:v>
                </c:pt>
                <c:pt idx="6">
                  <c:v>-1.3280000000000001</c:v>
                </c:pt>
                <c:pt idx="7">
                  <c:v>-2.0009999999999999</c:v>
                </c:pt>
                <c:pt idx="8">
                  <c:v>-1.4870000000000001</c:v>
                </c:pt>
                <c:pt idx="9">
                  <c:v>-1.946</c:v>
                </c:pt>
                <c:pt idx="10">
                  <c:v>6.5270000000000001</c:v>
                </c:pt>
                <c:pt idx="11">
                  <c:v>5.58</c:v>
                </c:pt>
                <c:pt idx="12">
                  <c:v>0.504</c:v>
                </c:pt>
                <c:pt idx="13">
                  <c:v>-4.2430000000000003</c:v>
                </c:pt>
                <c:pt idx="14">
                  <c:v>3.641</c:v>
                </c:pt>
                <c:pt idx="15">
                  <c:v>3.581</c:v>
                </c:pt>
                <c:pt idx="16">
                  <c:v>11.439</c:v>
                </c:pt>
                <c:pt idx="17">
                  <c:v>-1.8120000000000001</c:v>
                </c:pt>
                <c:pt idx="18">
                  <c:v>2.4580000000000002</c:v>
                </c:pt>
                <c:pt idx="19">
                  <c:v>5.0220000000000002</c:v>
                </c:pt>
                <c:pt idx="20">
                  <c:v>-9.0619999999999994</c:v>
                </c:pt>
                <c:pt idx="21">
                  <c:v>20.27</c:v>
                </c:pt>
                <c:pt idx="22">
                  <c:v>4.0220000000000002</c:v>
                </c:pt>
                <c:pt idx="23">
                  <c:v>-25.119</c:v>
                </c:pt>
                <c:pt idx="24">
                  <c:v>81.546000000000006</c:v>
                </c:pt>
                <c:pt idx="25">
                  <c:v>188.21100000000001</c:v>
                </c:pt>
                <c:pt idx="26">
                  <c:v>230.33199999999999</c:v>
                </c:pt>
                <c:pt idx="27">
                  <c:v>178.65199999999999</c:v>
                </c:pt>
              </c:numCache>
            </c:numRef>
          </c:val>
          <c:smooth val="0"/>
          <c:extLst>
            <c:ext xmlns:c16="http://schemas.microsoft.com/office/drawing/2014/chart" uri="{C3380CC4-5D6E-409C-BE32-E72D297353CC}">
              <c16:uniqueId val="{00000000-15DD-4526-B537-DED0CB1DE754}"/>
            </c:ext>
          </c:extLst>
        </c:ser>
        <c:ser>
          <c:idx val="1"/>
          <c:order val="1"/>
          <c:tx>
            <c:strRef>
              <c:f>'2019-1991'!$F$1</c:f>
              <c:strCache>
                <c:ptCount val="1"/>
                <c:pt idx="0">
                  <c:v>تمويل محلي غير المصرفي</c:v>
                </c:pt>
              </c:strCache>
            </c:strRef>
          </c:tx>
          <c:spPr>
            <a:ln w="28575" cap="rnd">
              <a:solidFill>
                <a:schemeClr val="accent2"/>
              </a:solidFill>
              <a:prstDash val="sysDot"/>
              <a:round/>
            </a:ln>
            <a:effectLst/>
          </c:spPr>
          <c:marker>
            <c:symbol val="circle"/>
            <c:size val="5"/>
          </c:marker>
          <c:cat>
            <c:strRef>
              <c:f>'2019-1991'!$A$3:$A$30</c:f>
              <c:strCache>
                <c:ptCount val="28"/>
                <c:pt idx="0">
                  <c:v>1991/1992</c:v>
                </c:pt>
                <c:pt idx="1">
                  <c:v>1992/1993</c:v>
                </c:pt>
                <c:pt idx="2">
                  <c:v>1993/1994</c:v>
                </c:pt>
                <c:pt idx="3">
                  <c:v>1994/1995</c:v>
                </c:pt>
                <c:pt idx="4">
                  <c:v>1995/1996</c:v>
                </c:pt>
                <c:pt idx="5">
                  <c:v>1996/1997</c:v>
                </c:pt>
                <c:pt idx="6">
                  <c:v>1997/1998</c:v>
                </c:pt>
                <c:pt idx="7">
                  <c:v>1998/1999</c:v>
                </c:pt>
                <c:pt idx="8">
                  <c:v>1999/2000</c:v>
                </c:pt>
                <c:pt idx="9">
                  <c:v>2000/2001</c:v>
                </c:pt>
                <c:pt idx="10">
                  <c:v>2001/2002</c:v>
                </c:pt>
                <c:pt idx="11">
                  <c:v>2002/2003</c:v>
                </c:pt>
                <c:pt idx="12">
                  <c:v>2003/2004</c:v>
                </c:pt>
                <c:pt idx="13">
                  <c:v>2004/2005</c:v>
                </c:pt>
                <c:pt idx="14">
                  <c:v>2005/2006</c:v>
                </c:pt>
                <c:pt idx="15">
                  <c:v>2006/2007</c:v>
                </c:pt>
                <c:pt idx="16">
                  <c:v>2007/2008</c:v>
                </c:pt>
                <c:pt idx="17">
                  <c:v>2008/2009</c:v>
                </c:pt>
                <c:pt idx="18">
                  <c:v>2009/2010</c:v>
                </c:pt>
                <c:pt idx="19">
                  <c:v>2010/2011</c:v>
                </c:pt>
                <c:pt idx="20">
                  <c:v>2011/2012</c:v>
                </c:pt>
                <c:pt idx="21">
                  <c:v>2012/2013</c:v>
                </c:pt>
                <c:pt idx="22">
                  <c:v>2013/2014</c:v>
                </c:pt>
                <c:pt idx="23">
                  <c:v>2014/2015</c:v>
                </c:pt>
                <c:pt idx="24">
                  <c:v>2015/2016</c:v>
                </c:pt>
                <c:pt idx="25">
                  <c:v>2016/2017</c:v>
                </c:pt>
                <c:pt idx="26">
                  <c:v>2017/2018</c:v>
                </c:pt>
                <c:pt idx="27">
                  <c:v>2018/2019</c:v>
                </c:pt>
              </c:strCache>
            </c:strRef>
          </c:cat>
          <c:val>
            <c:numRef>
              <c:f>'2019-1991'!$F$3:$F$30</c:f>
              <c:numCache>
                <c:formatCode>General</c:formatCode>
                <c:ptCount val="28"/>
                <c:pt idx="0">
                  <c:v>7.6779999999999999</c:v>
                </c:pt>
                <c:pt idx="1">
                  <c:v>8.4239999999999995</c:v>
                </c:pt>
                <c:pt idx="2">
                  <c:v>3.444</c:v>
                </c:pt>
                <c:pt idx="3">
                  <c:v>3.9319999999999999</c:v>
                </c:pt>
                <c:pt idx="4">
                  <c:v>-0.22900000000000001</c:v>
                </c:pt>
                <c:pt idx="5">
                  <c:v>0.501</c:v>
                </c:pt>
                <c:pt idx="6">
                  <c:v>2.2189999999999999</c:v>
                </c:pt>
                <c:pt idx="7">
                  <c:v>1.4610000000000001</c:v>
                </c:pt>
                <c:pt idx="8">
                  <c:v>10.856999999999999</c:v>
                </c:pt>
                <c:pt idx="9">
                  <c:v>5.4370000000000003</c:v>
                </c:pt>
                <c:pt idx="10">
                  <c:v>16.308</c:v>
                </c:pt>
                <c:pt idx="11">
                  <c:v>16.649000000000001</c:v>
                </c:pt>
                <c:pt idx="12">
                  <c:v>24.138000000000002</c:v>
                </c:pt>
                <c:pt idx="13">
                  <c:v>33.75</c:v>
                </c:pt>
                <c:pt idx="14">
                  <c:v>36.75</c:v>
                </c:pt>
                <c:pt idx="15">
                  <c:v>54.212000000000003</c:v>
                </c:pt>
                <c:pt idx="16">
                  <c:v>3.714</c:v>
                </c:pt>
                <c:pt idx="17">
                  <c:v>-15.191000000000001</c:v>
                </c:pt>
                <c:pt idx="18">
                  <c:v>61.228999999999999</c:v>
                </c:pt>
                <c:pt idx="19">
                  <c:v>34.712000000000003</c:v>
                </c:pt>
                <c:pt idx="20">
                  <c:v>35.844000000000001</c:v>
                </c:pt>
                <c:pt idx="21">
                  <c:v>49.286000000000001</c:v>
                </c:pt>
                <c:pt idx="22">
                  <c:v>32.957000000000001</c:v>
                </c:pt>
                <c:pt idx="23">
                  <c:v>79.274000000000001</c:v>
                </c:pt>
                <c:pt idx="24">
                  <c:v>136.005</c:v>
                </c:pt>
                <c:pt idx="25">
                  <c:v>192.73599999999999</c:v>
                </c:pt>
                <c:pt idx="26">
                  <c:v>253.583</c:v>
                </c:pt>
                <c:pt idx="27">
                  <c:v>264.517</c:v>
                </c:pt>
              </c:numCache>
            </c:numRef>
          </c:val>
          <c:smooth val="0"/>
          <c:extLst>
            <c:ext xmlns:c16="http://schemas.microsoft.com/office/drawing/2014/chart" uri="{C3380CC4-5D6E-409C-BE32-E72D297353CC}">
              <c16:uniqueId val="{00000001-15DD-4526-B537-DED0CB1DE754}"/>
            </c:ext>
          </c:extLst>
        </c:ser>
        <c:ser>
          <c:idx val="2"/>
          <c:order val="2"/>
          <c:tx>
            <c:strRef>
              <c:f>'2019-1991'!$H$1</c:f>
              <c:strCache>
                <c:ptCount val="1"/>
                <c:pt idx="0">
                  <c:v>تمويل محلي مصرفي</c:v>
                </c:pt>
              </c:strCache>
            </c:strRef>
          </c:tx>
          <c:spPr>
            <a:ln w="28575" cap="rnd">
              <a:solidFill>
                <a:schemeClr val="accent3"/>
              </a:solidFill>
              <a:prstDash val="dashDot"/>
              <a:round/>
            </a:ln>
            <a:effectLst/>
          </c:spPr>
          <c:marker>
            <c:symbol val="x"/>
            <c:size val="5"/>
          </c:marker>
          <c:cat>
            <c:strRef>
              <c:f>'2019-1991'!$A$3:$A$30</c:f>
              <c:strCache>
                <c:ptCount val="28"/>
                <c:pt idx="0">
                  <c:v>1991/1992</c:v>
                </c:pt>
                <c:pt idx="1">
                  <c:v>1992/1993</c:v>
                </c:pt>
                <c:pt idx="2">
                  <c:v>1993/1994</c:v>
                </c:pt>
                <c:pt idx="3">
                  <c:v>1994/1995</c:v>
                </c:pt>
                <c:pt idx="4">
                  <c:v>1995/1996</c:v>
                </c:pt>
                <c:pt idx="5">
                  <c:v>1996/1997</c:v>
                </c:pt>
                <c:pt idx="6">
                  <c:v>1997/1998</c:v>
                </c:pt>
                <c:pt idx="7">
                  <c:v>1998/1999</c:v>
                </c:pt>
                <c:pt idx="8">
                  <c:v>1999/2000</c:v>
                </c:pt>
                <c:pt idx="9">
                  <c:v>2000/2001</c:v>
                </c:pt>
                <c:pt idx="10">
                  <c:v>2001/2002</c:v>
                </c:pt>
                <c:pt idx="11">
                  <c:v>2002/2003</c:v>
                </c:pt>
                <c:pt idx="12">
                  <c:v>2003/2004</c:v>
                </c:pt>
                <c:pt idx="13">
                  <c:v>2004/2005</c:v>
                </c:pt>
                <c:pt idx="14">
                  <c:v>2005/2006</c:v>
                </c:pt>
                <c:pt idx="15">
                  <c:v>2006/2007</c:v>
                </c:pt>
                <c:pt idx="16">
                  <c:v>2007/2008</c:v>
                </c:pt>
                <c:pt idx="17">
                  <c:v>2008/2009</c:v>
                </c:pt>
                <c:pt idx="18">
                  <c:v>2009/2010</c:v>
                </c:pt>
                <c:pt idx="19">
                  <c:v>2010/2011</c:v>
                </c:pt>
                <c:pt idx="20">
                  <c:v>2011/2012</c:v>
                </c:pt>
                <c:pt idx="21">
                  <c:v>2012/2013</c:v>
                </c:pt>
                <c:pt idx="22">
                  <c:v>2013/2014</c:v>
                </c:pt>
                <c:pt idx="23">
                  <c:v>2014/2015</c:v>
                </c:pt>
                <c:pt idx="24">
                  <c:v>2015/2016</c:v>
                </c:pt>
                <c:pt idx="25">
                  <c:v>2016/2017</c:v>
                </c:pt>
                <c:pt idx="26">
                  <c:v>2017/2018</c:v>
                </c:pt>
                <c:pt idx="27">
                  <c:v>2018/2019</c:v>
                </c:pt>
              </c:strCache>
            </c:strRef>
          </c:cat>
          <c:val>
            <c:numRef>
              <c:f>'2019-1991'!$H$3:$H$30</c:f>
              <c:numCache>
                <c:formatCode>General</c:formatCode>
                <c:ptCount val="28"/>
                <c:pt idx="0">
                  <c:v>-3.456</c:v>
                </c:pt>
                <c:pt idx="1">
                  <c:v>-3.202</c:v>
                </c:pt>
                <c:pt idx="2">
                  <c:v>-0.21099999999999999</c:v>
                </c:pt>
                <c:pt idx="3">
                  <c:v>-1.117</c:v>
                </c:pt>
                <c:pt idx="4">
                  <c:v>4.5650000000000004</c:v>
                </c:pt>
                <c:pt idx="5">
                  <c:v>3.4020000000000001</c:v>
                </c:pt>
                <c:pt idx="6">
                  <c:v>1.929</c:v>
                </c:pt>
                <c:pt idx="7">
                  <c:v>8.8949999999999996</c:v>
                </c:pt>
                <c:pt idx="8">
                  <c:v>5.9779999999999998</c:v>
                </c:pt>
                <c:pt idx="9">
                  <c:v>23.724</c:v>
                </c:pt>
                <c:pt idx="10">
                  <c:v>14.391</c:v>
                </c:pt>
                <c:pt idx="11">
                  <c:v>19.292999999999999</c:v>
                </c:pt>
                <c:pt idx="12">
                  <c:v>21.196000000000002</c:v>
                </c:pt>
                <c:pt idx="13">
                  <c:v>29.818999999999999</c:v>
                </c:pt>
                <c:pt idx="14">
                  <c:v>17.631</c:v>
                </c:pt>
                <c:pt idx="15">
                  <c:v>-20.925999999999998</c:v>
                </c:pt>
                <c:pt idx="16">
                  <c:v>-3.1869999999999998</c:v>
                </c:pt>
                <c:pt idx="17">
                  <c:v>98.817999999999998</c:v>
                </c:pt>
                <c:pt idx="18">
                  <c:v>40.262999999999998</c:v>
                </c:pt>
                <c:pt idx="19">
                  <c:v>109.583</c:v>
                </c:pt>
                <c:pt idx="20">
                  <c:v>146.374</c:v>
                </c:pt>
                <c:pt idx="21">
                  <c:v>221.33799999999999</c:v>
                </c:pt>
                <c:pt idx="22">
                  <c:v>244.363</c:v>
                </c:pt>
                <c:pt idx="23">
                  <c:v>248.45400000000001</c:v>
                </c:pt>
                <c:pt idx="24">
                  <c:v>227.251</c:v>
                </c:pt>
                <c:pt idx="25">
                  <c:v>206.048</c:v>
                </c:pt>
                <c:pt idx="26">
                  <c:v>176.20099999999999</c:v>
                </c:pt>
                <c:pt idx="27">
                  <c:v>203.43199999999999</c:v>
                </c:pt>
              </c:numCache>
            </c:numRef>
          </c:val>
          <c:smooth val="0"/>
          <c:extLst>
            <c:ext xmlns:c16="http://schemas.microsoft.com/office/drawing/2014/chart" uri="{C3380CC4-5D6E-409C-BE32-E72D297353CC}">
              <c16:uniqueId val="{00000002-15DD-4526-B537-DED0CB1DE754}"/>
            </c:ext>
          </c:extLst>
        </c:ser>
        <c:dLbls>
          <c:showLegendKey val="0"/>
          <c:showVal val="0"/>
          <c:showCatName val="0"/>
          <c:showSerName val="0"/>
          <c:showPercent val="0"/>
          <c:showBubbleSize val="0"/>
        </c:dLbls>
        <c:marker val="1"/>
        <c:smooth val="0"/>
        <c:axId val="127254912"/>
        <c:axId val="127259776"/>
      </c:lineChart>
      <c:lineChart>
        <c:grouping val="standard"/>
        <c:varyColors val="0"/>
        <c:ser>
          <c:idx val="4"/>
          <c:order val="3"/>
          <c:tx>
            <c:strRef>
              <c:f>'2019-1991'!$P$1</c:f>
              <c:strCache>
                <c:ptCount val="1"/>
                <c:pt idx="0">
                  <c:v>الأسعار القياسية للسلع الاستهلاكية (2010 = 100)</c:v>
                </c:pt>
              </c:strCache>
            </c:strRef>
          </c:tx>
          <c:spPr>
            <a:ln w="28575" cap="rnd">
              <a:solidFill>
                <a:schemeClr val="accent5"/>
              </a:solidFill>
              <a:round/>
            </a:ln>
            <a:effectLst/>
          </c:spPr>
          <c:marker>
            <c:symbol val="none"/>
          </c:marker>
          <c:cat>
            <c:strRef>
              <c:f>'2019-1991'!$A$3:$A$30</c:f>
              <c:strCache>
                <c:ptCount val="28"/>
                <c:pt idx="0">
                  <c:v>1991/1992</c:v>
                </c:pt>
                <c:pt idx="1">
                  <c:v>1992/1993</c:v>
                </c:pt>
                <c:pt idx="2">
                  <c:v>1993/1994</c:v>
                </c:pt>
                <c:pt idx="3">
                  <c:v>1994/1995</c:v>
                </c:pt>
                <c:pt idx="4">
                  <c:v>1995/1996</c:v>
                </c:pt>
                <c:pt idx="5">
                  <c:v>1996/1997</c:v>
                </c:pt>
                <c:pt idx="6">
                  <c:v>1997/1998</c:v>
                </c:pt>
                <c:pt idx="7">
                  <c:v>1998/1999</c:v>
                </c:pt>
                <c:pt idx="8">
                  <c:v>1999/2000</c:v>
                </c:pt>
                <c:pt idx="9">
                  <c:v>2000/2001</c:v>
                </c:pt>
                <c:pt idx="10">
                  <c:v>2001/2002</c:v>
                </c:pt>
                <c:pt idx="11">
                  <c:v>2002/2003</c:v>
                </c:pt>
                <c:pt idx="12">
                  <c:v>2003/2004</c:v>
                </c:pt>
                <c:pt idx="13">
                  <c:v>2004/2005</c:v>
                </c:pt>
                <c:pt idx="14">
                  <c:v>2005/2006</c:v>
                </c:pt>
                <c:pt idx="15">
                  <c:v>2006/2007</c:v>
                </c:pt>
                <c:pt idx="16">
                  <c:v>2007/2008</c:v>
                </c:pt>
                <c:pt idx="17">
                  <c:v>2008/2009</c:v>
                </c:pt>
                <c:pt idx="18">
                  <c:v>2009/2010</c:v>
                </c:pt>
                <c:pt idx="19">
                  <c:v>2010/2011</c:v>
                </c:pt>
                <c:pt idx="20">
                  <c:v>2011/2012</c:v>
                </c:pt>
                <c:pt idx="21">
                  <c:v>2012/2013</c:v>
                </c:pt>
                <c:pt idx="22">
                  <c:v>2013/2014</c:v>
                </c:pt>
                <c:pt idx="23">
                  <c:v>2014/2015</c:v>
                </c:pt>
                <c:pt idx="24">
                  <c:v>2015/2016</c:v>
                </c:pt>
                <c:pt idx="25">
                  <c:v>2016/2017</c:v>
                </c:pt>
                <c:pt idx="26">
                  <c:v>2017/2018</c:v>
                </c:pt>
                <c:pt idx="27">
                  <c:v>2018/2019</c:v>
                </c:pt>
              </c:strCache>
            </c:strRef>
          </c:cat>
          <c:val>
            <c:numRef>
              <c:f>'2019-1991'!$P$3:$P$30</c:f>
              <c:numCache>
                <c:formatCode>0.0</c:formatCode>
                <c:ptCount val="28"/>
                <c:pt idx="0">
                  <c:v>22.92</c:v>
                </c:pt>
                <c:pt idx="1">
                  <c:v>26.05</c:v>
                </c:pt>
                <c:pt idx="2">
                  <c:v>29.2</c:v>
                </c:pt>
                <c:pt idx="3">
                  <c:v>31.58</c:v>
                </c:pt>
                <c:pt idx="4">
                  <c:v>36.549999999999997</c:v>
                </c:pt>
                <c:pt idx="5">
                  <c:v>39.18</c:v>
                </c:pt>
                <c:pt idx="6">
                  <c:v>40.99</c:v>
                </c:pt>
                <c:pt idx="7">
                  <c:v>42.58</c:v>
                </c:pt>
                <c:pt idx="8">
                  <c:v>43.89</c:v>
                </c:pt>
                <c:pt idx="9">
                  <c:v>45.07</c:v>
                </c:pt>
                <c:pt idx="10">
                  <c:v>46.1</c:v>
                </c:pt>
                <c:pt idx="11">
                  <c:v>47.36</c:v>
                </c:pt>
                <c:pt idx="12">
                  <c:v>49.49</c:v>
                </c:pt>
                <c:pt idx="13">
                  <c:v>55.07</c:v>
                </c:pt>
                <c:pt idx="14">
                  <c:v>57.75</c:v>
                </c:pt>
                <c:pt idx="15">
                  <c:v>62.17</c:v>
                </c:pt>
                <c:pt idx="16">
                  <c:v>67.959999999999994</c:v>
                </c:pt>
                <c:pt idx="17">
                  <c:v>80.41</c:v>
                </c:pt>
                <c:pt idx="18">
                  <c:v>89.87</c:v>
                </c:pt>
                <c:pt idx="19">
                  <c:v>100</c:v>
                </c:pt>
                <c:pt idx="20">
                  <c:v>110.05</c:v>
                </c:pt>
                <c:pt idx="21">
                  <c:v>117.88</c:v>
                </c:pt>
                <c:pt idx="22">
                  <c:v>128.99</c:v>
                </c:pt>
                <c:pt idx="23">
                  <c:v>142.08000000000001</c:v>
                </c:pt>
                <c:pt idx="24">
                  <c:v>156.80000000000001</c:v>
                </c:pt>
                <c:pt idx="25">
                  <c:v>178.45</c:v>
                </c:pt>
                <c:pt idx="26">
                  <c:v>231.09</c:v>
                </c:pt>
                <c:pt idx="27">
                  <c:v>264.3</c:v>
                </c:pt>
              </c:numCache>
            </c:numRef>
          </c:val>
          <c:smooth val="0"/>
          <c:extLst>
            <c:ext xmlns:c16="http://schemas.microsoft.com/office/drawing/2014/chart" uri="{C3380CC4-5D6E-409C-BE32-E72D297353CC}">
              <c16:uniqueId val="{00000003-15DD-4526-B537-DED0CB1DE754}"/>
            </c:ext>
          </c:extLst>
        </c:ser>
        <c:dLbls>
          <c:showLegendKey val="0"/>
          <c:showVal val="0"/>
          <c:showCatName val="0"/>
          <c:showSerName val="0"/>
          <c:showPercent val="0"/>
          <c:showBubbleSize val="0"/>
        </c:dLbls>
        <c:marker val="1"/>
        <c:smooth val="0"/>
        <c:axId val="174016768"/>
        <c:axId val="173553152"/>
      </c:lineChart>
      <c:catAx>
        <c:axId val="1272549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sz="900"/>
            </a:pPr>
            <a:endParaRPr lang="en-US"/>
          </a:p>
        </c:txPr>
        <c:crossAx val="127259776"/>
        <c:crosses val="autoZero"/>
        <c:auto val="1"/>
        <c:lblAlgn val="ctr"/>
        <c:lblOffset val="100"/>
        <c:noMultiLvlLbl val="0"/>
      </c:catAx>
      <c:valAx>
        <c:axId val="127259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b="0"/>
                </a:pPr>
                <a:r>
                  <a:rPr lang="ar-EG" b="0"/>
                  <a:t>قيم التمويل بالمليار جنيه</a:t>
                </a:r>
                <a:endParaRPr lang="en-US" b="0"/>
              </a:p>
            </c:rich>
          </c:tx>
          <c:layout>
            <c:manualLayout>
              <c:xMode val="edge"/>
              <c:yMode val="edge"/>
              <c:x val="1.1983636082857633E-2"/>
              <c:y val="0.24211101405346677"/>
            </c:manualLayout>
          </c:layout>
          <c:overlay val="0"/>
        </c:title>
        <c:numFmt formatCode="General" sourceLinked="1"/>
        <c:majorTickMark val="none"/>
        <c:minorTickMark val="none"/>
        <c:tickLblPos val="nextTo"/>
        <c:spPr>
          <a:noFill/>
          <a:ln>
            <a:noFill/>
          </a:ln>
          <a:effectLst/>
        </c:spPr>
        <c:txPr>
          <a:bodyPr rot="-60000000" vert="horz"/>
          <a:lstStyle/>
          <a:p>
            <a:pPr>
              <a:defRPr/>
            </a:pPr>
            <a:endParaRPr lang="en-US"/>
          </a:p>
        </c:txPr>
        <c:crossAx val="127254912"/>
        <c:crosses val="autoZero"/>
        <c:crossBetween val="between"/>
      </c:valAx>
      <c:valAx>
        <c:axId val="173553152"/>
        <c:scaling>
          <c:orientation val="minMax"/>
          <c:min val="0"/>
        </c:scaling>
        <c:delete val="0"/>
        <c:axPos val="r"/>
        <c:title>
          <c:tx>
            <c:rich>
              <a:bodyPr/>
              <a:lstStyle/>
              <a:p>
                <a:pPr>
                  <a:defRPr b="0"/>
                </a:pPr>
                <a:r>
                  <a:rPr lang="ar-EG" b="0" baseline="0"/>
                  <a:t>الرقم القياسي لأسعار المستهلكين</a:t>
                </a:r>
                <a:endParaRPr lang="en-US" b="0"/>
              </a:p>
            </c:rich>
          </c:tx>
          <c:layout>
            <c:manualLayout>
              <c:xMode val="edge"/>
              <c:yMode val="edge"/>
              <c:x val="0.95073262064825159"/>
              <c:y val="0.25810474200329031"/>
            </c:manualLayout>
          </c:layout>
          <c:overlay val="0"/>
        </c:title>
        <c:numFmt formatCode="0" sourceLinked="0"/>
        <c:majorTickMark val="out"/>
        <c:minorTickMark val="none"/>
        <c:tickLblPos val="nextTo"/>
        <c:crossAx val="174016768"/>
        <c:crosses val="max"/>
        <c:crossBetween val="between"/>
      </c:valAx>
      <c:catAx>
        <c:axId val="174016768"/>
        <c:scaling>
          <c:orientation val="minMax"/>
        </c:scaling>
        <c:delete val="1"/>
        <c:axPos val="t"/>
        <c:numFmt formatCode="General" sourceLinked="1"/>
        <c:majorTickMark val="out"/>
        <c:minorTickMark val="none"/>
        <c:tickLblPos val="nextTo"/>
        <c:crossAx val="173553152"/>
        <c:crosses val="max"/>
        <c:auto val="1"/>
        <c:lblAlgn val="ctr"/>
        <c:lblOffset val="100"/>
        <c:noMultiLvlLbl val="0"/>
      </c:catAx>
      <c:spPr>
        <a:noFill/>
        <a:ln>
          <a:noFill/>
        </a:ln>
        <a:effectLst/>
      </c:spPr>
    </c:plotArea>
    <c:legend>
      <c:legendPos val="b"/>
      <c:layout>
        <c:manualLayout>
          <c:xMode val="edge"/>
          <c:yMode val="edge"/>
          <c:x val="4.0902444764924349E-2"/>
          <c:y val="0.8210737181960448"/>
          <c:w val="0.93797555914226427"/>
          <c:h val="0.15576022024222086"/>
        </c:manualLayout>
      </c:layout>
      <c:overlay val="0"/>
      <c:spPr>
        <a:noFill/>
        <a:ln>
          <a:noFill/>
        </a:ln>
        <a:effectLst/>
      </c:spPr>
      <c:txPr>
        <a:bodyPr rot="0" vert="horz"/>
        <a:lstStyle/>
        <a:p>
          <a:pPr>
            <a:defRPr/>
          </a:pPr>
          <a:endParaRPr lang="en-US"/>
        </a:p>
      </c:txPr>
    </c:legend>
    <c:plotVisOnly val="1"/>
    <c:dispBlanksAs val="gap"/>
    <c:showDLblsOverMax val="0"/>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753137125870798E-2"/>
          <c:y val="7.0153948077803854E-2"/>
          <c:w val="0.88158115682225602"/>
          <c:h val="0.75433949700266867"/>
        </c:manualLayout>
      </c:layout>
      <c:lineChart>
        <c:grouping val="standard"/>
        <c:varyColors val="0"/>
        <c:ser>
          <c:idx val="0"/>
          <c:order val="0"/>
          <c:tx>
            <c:strRef>
              <c:f>'1998-1991'!$G$3</c:f>
              <c:strCache>
                <c:ptCount val="1"/>
                <c:pt idx="0">
                  <c:v>نسبة الإيرادات إلى الناتج</c:v>
                </c:pt>
              </c:strCache>
            </c:strRef>
          </c:tx>
          <c:spPr>
            <a:ln w="22225" cap="rnd">
              <a:solidFill>
                <a:schemeClr val="accent1"/>
              </a:solidFill>
              <a:prstDash val="lgDash"/>
              <a:round/>
            </a:ln>
            <a:effectLst/>
          </c:spPr>
          <c:marker>
            <c:symbol val="diamond"/>
            <c:size val="6"/>
            <c:spPr>
              <a:solidFill>
                <a:schemeClr val="accent1"/>
              </a:solidFill>
              <a:ln w="9525">
                <a:solidFill>
                  <a:schemeClr val="accent1"/>
                </a:solidFill>
                <a:round/>
              </a:ln>
              <a:effectLst/>
            </c:spPr>
          </c:marker>
          <c:cat>
            <c:strRef>
              <c:f>'1998-1991'!$A$4:$A$11</c:f>
              <c:strCache>
                <c:ptCount val="7"/>
                <c:pt idx="0">
                  <c:v>1991/1992</c:v>
                </c:pt>
                <c:pt idx="1">
                  <c:v>1992/1993</c:v>
                </c:pt>
                <c:pt idx="2">
                  <c:v>1993/1994</c:v>
                </c:pt>
                <c:pt idx="3">
                  <c:v>1994/1995</c:v>
                </c:pt>
                <c:pt idx="4">
                  <c:v>1995/1996</c:v>
                </c:pt>
                <c:pt idx="5">
                  <c:v>1996/1997</c:v>
                </c:pt>
                <c:pt idx="6">
                  <c:v>1997/1998</c:v>
                </c:pt>
              </c:strCache>
            </c:strRef>
          </c:cat>
          <c:val>
            <c:numRef>
              <c:f>'1998-1991'!$G$4:$G$11</c:f>
              <c:numCache>
                <c:formatCode>0.0%</c:formatCode>
                <c:ptCount val="7"/>
                <c:pt idx="0">
                  <c:v>0.31593886629481827</c:v>
                </c:pt>
                <c:pt idx="1">
                  <c:v>0.31953338806787085</c:v>
                </c:pt>
                <c:pt idx="2">
                  <c:v>0.30000057070133485</c:v>
                </c:pt>
                <c:pt idx="3">
                  <c:v>0.27300120530333466</c:v>
                </c:pt>
                <c:pt idx="4">
                  <c:v>0.26500104445914424</c:v>
                </c:pt>
                <c:pt idx="5">
                  <c:v>0.24300079495748297</c:v>
                </c:pt>
                <c:pt idx="6">
                  <c:v>0.23600066671759648</c:v>
                </c:pt>
              </c:numCache>
            </c:numRef>
          </c:val>
          <c:smooth val="0"/>
          <c:extLst>
            <c:ext xmlns:c16="http://schemas.microsoft.com/office/drawing/2014/chart" uri="{C3380CC4-5D6E-409C-BE32-E72D297353CC}">
              <c16:uniqueId val="{00000000-FA9E-4A56-9ECF-5715795EAEB3}"/>
            </c:ext>
          </c:extLst>
        </c:ser>
        <c:ser>
          <c:idx val="1"/>
          <c:order val="1"/>
          <c:tx>
            <c:strRef>
              <c:f>'1998-1991'!$H$3</c:f>
              <c:strCache>
                <c:ptCount val="1"/>
                <c:pt idx="0">
                  <c:v>نسبة النفقات إلى الناتج</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strRef>
              <c:f>'1998-1991'!$A$4:$A$11</c:f>
              <c:strCache>
                <c:ptCount val="7"/>
                <c:pt idx="0">
                  <c:v>1991/1992</c:v>
                </c:pt>
                <c:pt idx="1">
                  <c:v>1992/1993</c:v>
                </c:pt>
                <c:pt idx="2">
                  <c:v>1993/1994</c:v>
                </c:pt>
                <c:pt idx="3">
                  <c:v>1994/1995</c:v>
                </c:pt>
                <c:pt idx="4">
                  <c:v>1995/1996</c:v>
                </c:pt>
                <c:pt idx="5">
                  <c:v>1996/1997</c:v>
                </c:pt>
                <c:pt idx="6">
                  <c:v>1997/1998</c:v>
                </c:pt>
              </c:strCache>
            </c:strRef>
          </c:cat>
          <c:val>
            <c:numRef>
              <c:f>'1998-1991'!$H$4:$H$11</c:f>
              <c:numCache>
                <c:formatCode>0.0%</c:formatCode>
                <c:ptCount val="7"/>
                <c:pt idx="0">
                  <c:v>0.36291842480752651</c:v>
                </c:pt>
                <c:pt idx="1">
                  <c:v>0.35730021893814995</c:v>
                </c:pt>
                <c:pt idx="2">
                  <c:v>0.32104232891800732</c:v>
                </c:pt>
                <c:pt idx="3">
                  <c:v>0.28543150839302689</c:v>
                </c:pt>
                <c:pt idx="4">
                  <c:v>0.27803937610973783</c:v>
                </c:pt>
                <c:pt idx="5">
                  <c:v>0.25177170026712076</c:v>
                </c:pt>
                <c:pt idx="6">
                  <c:v>0.2457930814159415</c:v>
                </c:pt>
              </c:numCache>
            </c:numRef>
          </c:val>
          <c:smooth val="0"/>
          <c:extLst>
            <c:ext xmlns:c16="http://schemas.microsoft.com/office/drawing/2014/chart" uri="{C3380CC4-5D6E-409C-BE32-E72D297353CC}">
              <c16:uniqueId val="{00000001-FA9E-4A56-9ECF-5715795EAEB3}"/>
            </c:ext>
          </c:extLst>
        </c:ser>
        <c:ser>
          <c:idx val="2"/>
          <c:order val="2"/>
          <c:tx>
            <c:strRef>
              <c:f>'1998-1991'!$I$3</c:f>
              <c:strCache>
                <c:ptCount val="1"/>
                <c:pt idx="0">
                  <c:v>نسبة العجز إلى الناتج</c:v>
                </c:pt>
              </c:strCache>
            </c:strRef>
          </c:tx>
          <c:spPr>
            <a:ln w="22225" cap="rnd">
              <a:solidFill>
                <a:schemeClr val="accent3"/>
              </a:solidFill>
              <a:prstDash val="sysDash"/>
              <a:round/>
            </a:ln>
            <a:effectLst/>
          </c:spPr>
          <c:marker>
            <c:symbol val="triangle"/>
            <c:size val="6"/>
            <c:spPr>
              <a:solidFill>
                <a:schemeClr val="accent3"/>
              </a:solidFill>
              <a:ln w="9525">
                <a:solidFill>
                  <a:schemeClr val="accent3"/>
                </a:solidFill>
                <a:round/>
              </a:ln>
              <a:effectLst/>
            </c:spPr>
          </c:marker>
          <c:cat>
            <c:strRef>
              <c:f>'1998-1991'!$A$4:$A$11</c:f>
              <c:strCache>
                <c:ptCount val="7"/>
                <c:pt idx="0">
                  <c:v>1991/1992</c:v>
                </c:pt>
                <c:pt idx="1">
                  <c:v>1992/1993</c:v>
                </c:pt>
                <c:pt idx="2">
                  <c:v>1993/1994</c:v>
                </c:pt>
                <c:pt idx="3">
                  <c:v>1994/1995</c:v>
                </c:pt>
                <c:pt idx="4">
                  <c:v>1995/1996</c:v>
                </c:pt>
                <c:pt idx="5">
                  <c:v>1996/1997</c:v>
                </c:pt>
                <c:pt idx="6">
                  <c:v>1997/1998</c:v>
                </c:pt>
              </c:strCache>
            </c:strRef>
          </c:cat>
          <c:val>
            <c:numRef>
              <c:f>'1998-1991'!$I$4:$I$11</c:f>
              <c:numCache>
                <c:formatCode>0.0%</c:formatCode>
                <c:ptCount val="7"/>
                <c:pt idx="0">
                  <c:v>4.6979558512708214E-2</c:v>
                </c:pt>
                <c:pt idx="1">
                  <c:v>3.7766830870279149E-2</c:v>
                </c:pt>
                <c:pt idx="2">
                  <c:v>2.1098828350159513E-2</c:v>
                </c:pt>
                <c:pt idx="3">
                  <c:v>1.2430303089692207E-2</c:v>
                </c:pt>
                <c:pt idx="4">
                  <c:v>1.3038331650593602E-2</c:v>
                </c:pt>
                <c:pt idx="5">
                  <c:v>8.770905309637823E-3</c:v>
                </c:pt>
                <c:pt idx="6">
                  <c:v>9.792414698345013E-3</c:v>
                </c:pt>
              </c:numCache>
            </c:numRef>
          </c:val>
          <c:smooth val="0"/>
          <c:extLst>
            <c:ext xmlns:c16="http://schemas.microsoft.com/office/drawing/2014/chart" uri="{C3380CC4-5D6E-409C-BE32-E72D297353CC}">
              <c16:uniqueId val="{00000002-FA9E-4A56-9ECF-5715795EAEB3}"/>
            </c:ext>
          </c:extLst>
        </c:ser>
        <c:dLbls>
          <c:showLegendKey val="0"/>
          <c:showVal val="0"/>
          <c:showCatName val="0"/>
          <c:showSerName val="0"/>
          <c:showPercent val="0"/>
          <c:showBubbleSize val="0"/>
        </c:dLbls>
        <c:marker val="1"/>
        <c:smooth val="0"/>
        <c:axId val="89127936"/>
        <c:axId val="89810048"/>
      </c:lineChart>
      <c:catAx>
        <c:axId val="891279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dk1"/>
                </a:solidFill>
                <a:latin typeface="+mn-lt"/>
                <a:ea typeface="+mn-ea"/>
                <a:cs typeface="+mn-cs"/>
              </a:defRPr>
            </a:pPr>
            <a:endParaRPr lang="en-US"/>
          </a:p>
        </c:txPr>
        <c:crossAx val="89810048"/>
        <c:crosses val="autoZero"/>
        <c:auto val="1"/>
        <c:lblAlgn val="ctr"/>
        <c:lblOffset val="100"/>
        <c:noMultiLvlLbl val="0"/>
      </c:catAx>
      <c:valAx>
        <c:axId val="89810048"/>
        <c:scaling>
          <c:orientation val="minMax"/>
        </c:scaling>
        <c:delete val="0"/>
        <c:axPos val="l"/>
        <c:numFmt formatCode="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89127936"/>
        <c:crosses val="autoZero"/>
        <c:crossBetween val="between"/>
      </c:valAx>
      <c:spPr>
        <a:noFill/>
        <a:ln>
          <a:noFill/>
        </a:ln>
        <a:effectLst/>
      </c:spPr>
    </c:plotArea>
    <c:legend>
      <c:legendPos val="t"/>
      <c:layout>
        <c:manualLayout>
          <c:xMode val="edge"/>
          <c:yMode val="edge"/>
          <c:x val="0.1872666954094715"/>
          <c:y val="0.93022344178753436"/>
          <c:w val="0.73612925185504541"/>
          <c:h val="6.6150992200063596E-2"/>
        </c:manualLayout>
      </c:layout>
      <c:overlay val="0"/>
      <c:spPr>
        <a:noFill/>
        <a:ln>
          <a:noFill/>
        </a:ln>
        <a:effectLst/>
      </c:spPr>
      <c:txPr>
        <a:bodyPr rot="0" spcFirstLastPara="1" vertOverflow="ellipsis" vert="horz" wrap="square" anchor="ctr" anchorCtr="1"/>
        <a:lstStyle/>
        <a:p>
          <a:pPr algn="just">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25400" cap="flat" cmpd="sng" algn="ctr">
      <a:solidFill>
        <a:schemeClr val="accent2"/>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'final Dta'!$B$1</c:f>
              <c:strCache>
                <c:ptCount val="1"/>
                <c:pt idx="0">
                  <c:v>CPI</c:v>
                </c:pt>
              </c:strCache>
            </c:strRef>
          </c:tx>
          <c:spPr>
            <a:ln w="28575" cap="rnd">
              <a:solidFill>
                <a:schemeClr val="accent1"/>
              </a:solidFill>
              <a:round/>
            </a:ln>
            <a:effectLst/>
          </c:spPr>
          <c:marker>
            <c:symbol val="none"/>
          </c:marker>
          <c:cat>
            <c:strRef>
              <c:f>'final Dta'!$A$3:$A$30</c:f>
              <c:strCache>
                <c:ptCount val="28"/>
                <c:pt idx="0">
                  <c:v>1991/1992</c:v>
                </c:pt>
                <c:pt idx="1">
                  <c:v>1992/1993</c:v>
                </c:pt>
                <c:pt idx="2">
                  <c:v>1993/1994</c:v>
                </c:pt>
                <c:pt idx="3">
                  <c:v>1994/1995</c:v>
                </c:pt>
                <c:pt idx="4">
                  <c:v>1995/1996</c:v>
                </c:pt>
                <c:pt idx="5">
                  <c:v>1996/1997</c:v>
                </c:pt>
                <c:pt idx="6">
                  <c:v>1997/1998</c:v>
                </c:pt>
                <c:pt idx="7">
                  <c:v>1998/1999</c:v>
                </c:pt>
                <c:pt idx="8">
                  <c:v>1999/2000</c:v>
                </c:pt>
                <c:pt idx="9">
                  <c:v>2000/2001</c:v>
                </c:pt>
                <c:pt idx="10">
                  <c:v>2001/2002</c:v>
                </c:pt>
                <c:pt idx="11">
                  <c:v>2002/2003</c:v>
                </c:pt>
                <c:pt idx="12">
                  <c:v>2003/2004</c:v>
                </c:pt>
                <c:pt idx="13">
                  <c:v>2004/2005</c:v>
                </c:pt>
                <c:pt idx="14">
                  <c:v>2005/2006</c:v>
                </c:pt>
                <c:pt idx="15">
                  <c:v>2006/2007</c:v>
                </c:pt>
                <c:pt idx="16">
                  <c:v>2007/2008</c:v>
                </c:pt>
                <c:pt idx="17">
                  <c:v>2008/2009</c:v>
                </c:pt>
                <c:pt idx="18">
                  <c:v>2009/2010</c:v>
                </c:pt>
                <c:pt idx="19">
                  <c:v>2010/2011</c:v>
                </c:pt>
                <c:pt idx="20">
                  <c:v>2011/2012</c:v>
                </c:pt>
                <c:pt idx="21">
                  <c:v>2012/2013</c:v>
                </c:pt>
                <c:pt idx="22">
                  <c:v>2013/2014</c:v>
                </c:pt>
                <c:pt idx="23">
                  <c:v>2014/2015</c:v>
                </c:pt>
                <c:pt idx="24">
                  <c:v>2015/2016</c:v>
                </c:pt>
                <c:pt idx="25">
                  <c:v>2016/2017</c:v>
                </c:pt>
                <c:pt idx="26">
                  <c:v>2017/2018</c:v>
                </c:pt>
                <c:pt idx="27">
                  <c:v>2018/2019</c:v>
                </c:pt>
              </c:strCache>
            </c:strRef>
          </c:cat>
          <c:val>
            <c:numRef>
              <c:f>'final Dta'!$B$3:$B$30</c:f>
              <c:numCache>
                <c:formatCode>0.00</c:formatCode>
                <c:ptCount val="28"/>
                <c:pt idx="0">
                  <c:v>22.928477965336398</c:v>
                </c:pt>
                <c:pt idx="1">
                  <c:v>26.055331761589098</c:v>
                </c:pt>
                <c:pt idx="2">
                  <c:v>29.205367251227301</c:v>
                </c:pt>
                <c:pt idx="3">
                  <c:v>31.5868404447804</c:v>
                </c:pt>
                <c:pt idx="4">
                  <c:v>36.559313675947102</c:v>
                </c:pt>
                <c:pt idx="5">
                  <c:v>39.186869460822003</c:v>
                </c:pt>
                <c:pt idx="6">
                  <c:v>40.9994995628414</c:v>
                </c:pt>
                <c:pt idx="7">
                  <c:v>42.587236123387498</c:v>
                </c:pt>
                <c:pt idx="8">
                  <c:v>43.898709687758</c:v>
                </c:pt>
                <c:pt idx="9">
                  <c:v>45.076865608469099</c:v>
                </c:pt>
                <c:pt idx="10">
                  <c:v>46.100001013297103</c:v>
                </c:pt>
                <c:pt idx="11">
                  <c:v>47.361868012584999</c:v>
                </c:pt>
                <c:pt idx="12">
                  <c:v>49.496835104022999</c:v>
                </c:pt>
                <c:pt idx="13">
                  <c:v>55.075434970010903</c:v>
                </c:pt>
                <c:pt idx="14">
                  <c:v>57.757276530949902</c:v>
                </c:pt>
                <c:pt idx="15">
                  <c:v>62.172546809422798</c:v>
                </c:pt>
                <c:pt idx="16">
                  <c:v>67.966387209158697</c:v>
                </c:pt>
                <c:pt idx="17">
                  <c:v>80.415675955390796</c:v>
                </c:pt>
                <c:pt idx="18">
                  <c:v>89.875370328358201</c:v>
                </c:pt>
                <c:pt idx="19">
                  <c:v>100</c:v>
                </c:pt>
                <c:pt idx="20">
                  <c:v>110.053916904535</c:v>
                </c:pt>
                <c:pt idx="21">
                  <c:v>117.887725975262</c:v>
                </c:pt>
                <c:pt idx="22">
                  <c:v>128.99460830954601</c:v>
                </c:pt>
                <c:pt idx="23">
                  <c:v>142.08055819854101</c:v>
                </c:pt>
                <c:pt idx="24">
                  <c:v>156.80304471931501</c:v>
                </c:pt>
                <c:pt idx="25">
                  <c:v>178.45702505550301</c:v>
                </c:pt>
                <c:pt idx="26">
                  <c:v>231.09</c:v>
                </c:pt>
                <c:pt idx="27">
                  <c:v>264.3</c:v>
                </c:pt>
              </c:numCache>
            </c:numRef>
          </c:val>
          <c:smooth val="0"/>
          <c:extLst>
            <c:ext xmlns:c16="http://schemas.microsoft.com/office/drawing/2014/chart" uri="{C3380CC4-5D6E-409C-BE32-E72D297353CC}">
              <c16:uniqueId val="{00000000-D056-4DA3-A037-EA69300CA2A1}"/>
            </c:ext>
          </c:extLst>
        </c:ser>
        <c:dLbls>
          <c:showLegendKey val="0"/>
          <c:showVal val="0"/>
          <c:showCatName val="0"/>
          <c:showSerName val="0"/>
          <c:showPercent val="0"/>
          <c:showBubbleSize val="0"/>
        </c:dLbls>
        <c:smooth val="0"/>
        <c:axId val="89463424"/>
        <c:axId val="89469696"/>
      </c:lineChart>
      <c:catAx>
        <c:axId val="894634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ar-EG"/>
                  <a:t>السنة المالية</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89469696"/>
        <c:crosses val="autoZero"/>
        <c:auto val="1"/>
        <c:lblAlgn val="ctr"/>
        <c:lblOffset val="100"/>
        <c:noMultiLvlLbl val="0"/>
      </c:catAx>
      <c:valAx>
        <c:axId val="89469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ar-EG"/>
                  <a:t>الرقم القياسي لأسعار المستهلكين</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89463424"/>
        <c:crosses val="autoZero"/>
        <c:crossBetween val="between"/>
      </c:valAx>
      <c:spPr>
        <a:noFill/>
        <a:ln>
          <a:noFill/>
        </a:ln>
        <a:effectLst/>
      </c:spPr>
    </c:plotArea>
    <c:plotVisOnly val="1"/>
    <c:dispBlanksAs val="zero"/>
    <c:showDLblsOverMax val="0"/>
  </c:chart>
  <c:spPr>
    <a:solidFill>
      <a:schemeClr val="lt1"/>
    </a:solidFill>
    <a:ln w="25400" cap="flat" cmpd="sng" algn="ctr">
      <a:solidFill>
        <a:schemeClr val="accent2"/>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'final Dta'!$C$1</c:f>
              <c:strCache>
                <c:ptCount val="1"/>
                <c:pt idx="0">
                  <c:v>DB</c:v>
                </c:pt>
              </c:strCache>
            </c:strRef>
          </c:tx>
          <c:spPr>
            <a:ln w="28575" cap="rnd">
              <a:solidFill>
                <a:schemeClr val="accent2"/>
              </a:solidFill>
              <a:prstDash val="dash"/>
              <a:round/>
            </a:ln>
            <a:effectLst/>
          </c:spPr>
          <c:marker>
            <c:symbol val="square"/>
            <c:size val="5"/>
            <c:spPr>
              <a:solidFill>
                <a:schemeClr val="accent2"/>
              </a:solidFill>
              <a:ln w="9525">
                <a:solidFill>
                  <a:schemeClr val="accent2"/>
                </a:solidFill>
              </a:ln>
              <a:effectLst/>
            </c:spPr>
          </c:marker>
          <c:cat>
            <c:strRef>
              <c:f>'final Dta'!$A$3:$A$30</c:f>
              <c:strCache>
                <c:ptCount val="28"/>
                <c:pt idx="0">
                  <c:v>1991/1992</c:v>
                </c:pt>
                <c:pt idx="1">
                  <c:v>1992/1993</c:v>
                </c:pt>
                <c:pt idx="2">
                  <c:v>1993/1994</c:v>
                </c:pt>
                <c:pt idx="3">
                  <c:v>1994/1995</c:v>
                </c:pt>
                <c:pt idx="4">
                  <c:v>1995/1996</c:v>
                </c:pt>
                <c:pt idx="5">
                  <c:v>1996/1997</c:v>
                </c:pt>
                <c:pt idx="6">
                  <c:v>1997/1998</c:v>
                </c:pt>
                <c:pt idx="7">
                  <c:v>1998/1999</c:v>
                </c:pt>
                <c:pt idx="8">
                  <c:v>1999/2000</c:v>
                </c:pt>
                <c:pt idx="9">
                  <c:v>2000/2001</c:v>
                </c:pt>
                <c:pt idx="10">
                  <c:v>2001/2002</c:v>
                </c:pt>
                <c:pt idx="11">
                  <c:v>2002/2003</c:v>
                </c:pt>
                <c:pt idx="12">
                  <c:v>2003/2004</c:v>
                </c:pt>
                <c:pt idx="13">
                  <c:v>2004/2005</c:v>
                </c:pt>
                <c:pt idx="14">
                  <c:v>2005/2006</c:v>
                </c:pt>
                <c:pt idx="15">
                  <c:v>2006/2007</c:v>
                </c:pt>
                <c:pt idx="16">
                  <c:v>2007/2008</c:v>
                </c:pt>
                <c:pt idx="17">
                  <c:v>2008/2009</c:v>
                </c:pt>
                <c:pt idx="18">
                  <c:v>2009/2010</c:v>
                </c:pt>
                <c:pt idx="19">
                  <c:v>2010/2011</c:v>
                </c:pt>
                <c:pt idx="20">
                  <c:v>2011/2012</c:v>
                </c:pt>
                <c:pt idx="21">
                  <c:v>2012/2013</c:v>
                </c:pt>
                <c:pt idx="22">
                  <c:v>2013/2014</c:v>
                </c:pt>
                <c:pt idx="23">
                  <c:v>2014/2015</c:v>
                </c:pt>
                <c:pt idx="24">
                  <c:v>2015/2016</c:v>
                </c:pt>
                <c:pt idx="25">
                  <c:v>2016/2017</c:v>
                </c:pt>
                <c:pt idx="26">
                  <c:v>2017/2018</c:v>
                </c:pt>
                <c:pt idx="27">
                  <c:v>2018/2019</c:v>
                </c:pt>
              </c:strCache>
            </c:strRef>
          </c:cat>
          <c:val>
            <c:numRef>
              <c:f>'final Dta'!$C$3:$C$30</c:f>
              <c:numCache>
                <c:formatCode>0.00</c:formatCode>
                <c:ptCount val="28"/>
                <c:pt idx="0">
                  <c:v>-3.456</c:v>
                </c:pt>
                <c:pt idx="1">
                  <c:v>-3.202</c:v>
                </c:pt>
                <c:pt idx="2">
                  <c:v>-0.21099999999999999</c:v>
                </c:pt>
                <c:pt idx="3">
                  <c:v>-1.117</c:v>
                </c:pt>
                <c:pt idx="4">
                  <c:v>4.5650000000000004</c:v>
                </c:pt>
                <c:pt idx="5">
                  <c:v>3.4020000000000001</c:v>
                </c:pt>
                <c:pt idx="6">
                  <c:v>1.929</c:v>
                </c:pt>
                <c:pt idx="7">
                  <c:v>8.8949999999999996</c:v>
                </c:pt>
                <c:pt idx="8">
                  <c:v>5.9779999999999998</c:v>
                </c:pt>
                <c:pt idx="9">
                  <c:v>23.724</c:v>
                </c:pt>
                <c:pt idx="10">
                  <c:v>14.391</c:v>
                </c:pt>
                <c:pt idx="11">
                  <c:v>19.292999999999999</c:v>
                </c:pt>
                <c:pt idx="12">
                  <c:v>21.196000000000002</c:v>
                </c:pt>
                <c:pt idx="13">
                  <c:v>29.818999999999999</c:v>
                </c:pt>
                <c:pt idx="14">
                  <c:v>17.631</c:v>
                </c:pt>
                <c:pt idx="15">
                  <c:v>-20.925999999999998</c:v>
                </c:pt>
                <c:pt idx="16">
                  <c:v>-3.1869999999999998</c:v>
                </c:pt>
                <c:pt idx="17">
                  <c:v>98.817999999999998</c:v>
                </c:pt>
                <c:pt idx="18">
                  <c:v>40.262999999999998</c:v>
                </c:pt>
                <c:pt idx="19">
                  <c:v>109.583</c:v>
                </c:pt>
                <c:pt idx="20">
                  <c:v>146.374</c:v>
                </c:pt>
                <c:pt idx="21">
                  <c:v>221.33799999999999</c:v>
                </c:pt>
                <c:pt idx="22">
                  <c:v>244.363</c:v>
                </c:pt>
                <c:pt idx="23">
                  <c:v>248.45400000000001</c:v>
                </c:pt>
                <c:pt idx="25">
                  <c:v>206.048</c:v>
                </c:pt>
                <c:pt idx="26">
                  <c:v>176.20099999999999</c:v>
                </c:pt>
                <c:pt idx="27">
                  <c:v>203.43199999999999</c:v>
                </c:pt>
              </c:numCache>
            </c:numRef>
          </c:val>
          <c:smooth val="0"/>
          <c:extLst>
            <c:ext xmlns:c16="http://schemas.microsoft.com/office/drawing/2014/chart" uri="{C3380CC4-5D6E-409C-BE32-E72D297353CC}">
              <c16:uniqueId val="{00000000-523E-4197-B4CF-C60EB82AE76B}"/>
            </c:ext>
          </c:extLst>
        </c:ser>
        <c:ser>
          <c:idx val="2"/>
          <c:order val="2"/>
          <c:tx>
            <c:strRef>
              <c:f>'final Dta'!$D$1</c:f>
              <c:strCache>
                <c:ptCount val="1"/>
                <c:pt idx="0">
                  <c:v>DNB</c:v>
                </c:pt>
              </c:strCache>
            </c:strRef>
          </c:tx>
          <c:spPr>
            <a:ln w="28575" cap="rnd">
              <a:solidFill>
                <a:schemeClr val="accent3"/>
              </a:solidFill>
              <a:prstDash val="sysDash"/>
              <a:round/>
            </a:ln>
            <a:effectLst/>
          </c:spPr>
          <c:marker>
            <c:symbol val="star"/>
            <c:size val="5"/>
            <c:spPr>
              <a:noFill/>
              <a:ln w="9525">
                <a:solidFill>
                  <a:schemeClr val="accent3"/>
                </a:solidFill>
              </a:ln>
              <a:effectLst/>
            </c:spPr>
          </c:marker>
          <c:cat>
            <c:strRef>
              <c:f>'final Dta'!$A$3:$A$30</c:f>
              <c:strCache>
                <c:ptCount val="28"/>
                <c:pt idx="0">
                  <c:v>1991/1992</c:v>
                </c:pt>
                <c:pt idx="1">
                  <c:v>1992/1993</c:v>
                </c:pt>
                <c:pt idx="2">
                  <c:v>1993/1994</c:v>
                </c:pt>
                <c:pt idx="3">
                  <c:v>1994/1995</c:v>
                </c:pt>
                <c:pt idx="4">
                  <c:v>1995/1996</c:v>
                </c:pt>
                <c:pt idx="5">
                  <c:v>1996/1997</c:v>
                </c:pt>
                <c:pt idx="6">
                  <c:v>1997/1998</c:v>
                </c:pt>
                <c:pt idx="7">
                  <c:v>1998/1999</c:v>
                </c:pt>
                <c:pt idx="8">
                  <c:v>1999/2000</c:v>
                </c:pt>
                <c:pt idx="9">
                  <c:v>2000/2001</c:v>
                </c:pt>
                <c:pt idx="10">
                  <c:v>2001/2002</c:v>
                </c:pt>
                <c:pt idx="11">
                  <c:v>2002/2003</c:v>
                </c:pt>
                <c:pt idx="12">
                  <c:v>2003/2004</c:v>
                </c:pt>
                <c:pt idx="13">
                  <c:v>2004/2005</c:v>
                </c:pt>
                <c:pt idx="14">
                  <c:v>2005/2006</c:v>
                </c:pt>
                <c:pt idx="15">
                  <c:v>2006/2007</c:v>
                </c:pt>
                <c:pt idx="16">
                  <c:v>2007/2008</c:v>
                </c:pt>
                <c:pt idx="17">
                  <c:v>2008/2009</c:v>
                </c:pt>
                <c:pt idx="18">
                  <c:v>2009/2010</c:v>
                </c:pt>
                <c:pt idx="19">
                  <c:v>2010/2011</c:v>
                </c:pt>
                <c:pt idx="20">
                  <c:v>2011/2012</c:v>
                </c:pt>
                <c:pt idx="21">
                  <c:v>2012/2013</c:v>
                </c:pt>
                <c:pt idx="22">
                  <c:v>2013/2014</c:v>
                </c:pt>
                <c:pt idx="23">
                  <c:v>2014/2015</c:v>
                </c:pt>
                <c:pt idx="24">
                  <c:v>2015/2016</c:v>
                </c:pt>
                <c:pt idx="25">
                  <c:v>2016/2017</c:v>
                </c:pt>
                <c:pt idx="26">
                  <c:v>2017/2018</c:v>
                </c:pt>
                <c:pt idx="27">
                  <c:v>2018/2019</c:v>
                </c:pt>
              </c:strCache>
            </c:strRef>
          </c:cat>
          <c:val>
            <c:numRef>
              <c:f>'final Dta'!$D$3:$D$30</c:f>
              <c:numCache>
                <c:formatCode>0.00</c:formatCode>
                <c:ptCount val="28"/>
                <c:pt idx="0">
                  <c:v>7.6779999999999999</c:v>
                </c:pt>
                <c:pt idx="1">
                  <c:v>8.4239999999999995</c:v>
                </c:pt>
                <c:pt idx="2">
                  <c:v>3.444</c:v>
                </c:pt>
                <c:pt idx="3">
                  <c:v>3.9319999999999999</c:v>
                </c:pt>
                <c:pt idx="4">
                  <c:v>-0.22900000000000001</c:v>
                </c:pt>
                <c:pt idx="5">
                  <c:v>0.501</c:v>
                </c:pt>
                <c:pt idx="6">
                  <c:v>2.2189999999999999</c:v>
                </c:pt>
                <c:pt idx="7">
                  <c:v>1.4610000000000001</c:v>
                </c:pt>
                <c:pt idx="8">
                  <c:v>10.856999999999999</c:v>
                </c:pt>
                <c:pt idx="9">
                  <c:v>5.4370000000000003</c:v>
                </c:pt>
                <c:pt idx="10">
                  <c:v>16.308</c:v>
                </c:pt>
                <c:pt idx="11">
                  <c:v>16.649000000000001</c:v>
                </c:pt>
                <c:pt idx="12">
                  <c:v>24.138000000000002</c:v>
                </c:pt>
                <c:pt idx="13">
                  <c:v>33.75</c:v>
                </c:pt>
                <c:pt idx="14">
                  <c:v>36.75</c:v>
                </c:pt>
                <c:pt idx="15">
                  <c:v>54.212000000000003</c:v>
                </c:pt>
                <c:pt idx="16">
                  <c:v>3.714</c:v>
                </c:pt>
                <c:pt idx="17">
                  <c:v>-15.191000000000001</c:v>
                </c:pt>
                <c:pt idx="18">
                  <c:v>61.228999999999999</c:v>
                </c:pt>
                <c:pt idx="19">
                  <c:v>34.712000000000003</c:v>
                </c:pt>
                <c:pt idx="20">
                  <c:v>35.844000000000001</c:v>
                </c:pt>
                <c:pt idx="21">
                  <c:v>49.286000000000001</c:v>
                </c:pt>
                <c:pt idx="22">
                  <c:v>32.957000000000001</c:v>
                </c:pt>
                <c:pt idx="23">
                  <c:v>79.274000000000001</c:v>
                </c:pt>
                <c:pt idx="25">
                  <c:v>192.73599999999999</c:v>
                </c:pt>
                <c:pt idx="26">
                  <c:v>253.583</c:v>
                </c:pt>
                <c:pt idx="27">
                  <c:v>264.517</c:v>
                </c:pt>
              </c:numCache>
            </c:numRef>
          </c:val>
          <c:smooth val="0"/>
          <c:extLst>
            <c:ext xmlns:c16="http://schemas.microsoft.com/office/drawing/2014/chart" uri="{C3380CC4-5D6E-409C-BE32-E72D297353CC}">
              <c16:uniqueId val="{00000001-523E-4197-B4CF-C60EB82AE76B}"/>
            </c:ext>
          </c:extLst>
        </c:ser>
        <c:ser>
          <c:idx val="3"/>
          <c:order val="3"/>
          <c:tx>
            <c:strRef>
              <c:f>'final Dta'!$E$1</c:f>
              <c:strCache>
                <c:ptCount val="1"/>
                <c:pt idx="0">
                  <c:v>XF</c:v>
                </c:pt>
              </c:strCache>
            </c:strRef>
          </c:tx>
          <c:spPr>
            <a:ln w="28575" cap="rnd">
              <a:solidFill>
                <a:schemeClr val="accent4"/>
              </a:solidFill>
              <a:prstDash val="lgDash"/>
              <a:round/>
            </a:ln>
            <a:effectLst/>
          </c:spPr>
          <c:marker>
            <c:symbol val="triangle"/>
            <c:size val="5"/>
            <c:spPr>
              <a:solidFill>
                <a:schemeClr val="accent4"/>
              </a:solidFill>
              <a:ln w="9525">
                <a:solidFill>
                  <a:schemeClr val="accent4"/>
                </a:solidFill>
              </a:ln>
              <a:effectLst/>
            </c:spPr>
          </c:marker>
          <c:cat>
            <c:strRef>
              <c:f>'final Dta'!$A$3:$A$30</c:f>
              <c:strCache>
                <c:ptCount val="28"/>
                <c:pt idx="0">
                  <c:v>1991/1992</c:v>
                </c:pt>
                <c:pt idx="1">
                  <c:v>1992/1993</c:v>
                </c:pt>
                <c:pt idx="2">
                  <c:v>1993/1994</c:v>
                </c:pt>
                <c:pt idx="3">
                  <c:v>1994/1995</c:v>
                </c:pt>
                <c:pt idx="4">
                  <c:v>1995/1996</c:v>
                </c:pt>
                <c:pt idx="5">
                  <c:v>1996/1997</c:v>
                </c:pt>
                <c:pt idx="6">
                  <c:v>1997/1998</c:v>
                </c:pt>
                <c:pt idx="7">
                  <c:v>1998/1999</c:v>
                </c:pt>
                <c:pt idx="8">
                  <c:v>1999/2000</c:v>
                </c:pt>
                <c:pt idx="9">
                  <c:v>2000/2001</c:v>
                </c:pt>
                <c:pt idx="10">
                  <c:v>2001/2002</c:v>
                </c:pt>
                <c:pt idx="11">
                  <c:v>2002/2003</c:v>
                </c:pt>
                <c:pt idx="12">
                  <c:v>2003/2004</c:v>
                </c:pt>
                <c:pt idx="13">
                  <c:v>2004/2005</c:v>
                </c:pt>
                <c:pt idx="14">
                  <c:v>2005/2006</c:v>
                </c:pt>
                <c:pt idx="15">
                  <c:v>2006/2007</c:v>
                </c:pt>
                <c:pt idx="16">
                  <c:v>2007/2008</c:v>
                </c:pt>
                <c:pt idx="17">
                  <c:v>2008/2009</c:v>
                </c:pt>
                <c:pt idx="18">
                  <c:v>2009/2010</c:v>
                </c:pt>
                <c:pt idx="19">
                  <c:v>2010/2011</c:v>
                </c:pt>
                <c:pt idx="20">
                  <c:v>2011/2012</c:v>
                </c:pt>
                <c:pt idx="21">
                  <c:v>2012/2013</c:v>
                </c:pt>
                <c:pt idx="22">
                  <c:v>2013/2014</c:v>
                </c:pt>
                <c:pt idx="23">
                  <c:v>2014/2015</c:v>
                </c:pt>
                <c:pt idx="24">
                  <c:v>2015/2016</c:v>
                </c:pt>
                <c:pt idx="25">
                  <c:v>2016/2017</c:v>
                </c:pt>
                <c:pt idx="26">
                  <c:v>2017/2018</c:v>
                </c:pt>
                <c:pt idx="27">
                  <c:v>2018/2019</c:v>
                </c:pt>
              </c:strCache>
            </c:strRef>
          </c:cat>
          <c:val>
            <c:numRef>
              <c:f>'final Dta'!$E$3:$E$30</c:f>
              <c:numCache>
                <c:formatCode>0.00</c:formatCode>
                <c:ptCount val="28"/>
                <c:pt idx="0">
                  <c:v>1.7829999999999999</c:v>
                </c:pt>
                <c:pt idx="1">
                  <c:v>0.29799999999999999</c:v>
                </c:pt>
                <c:pt idx="2">
                  <c:v>0.46400000000000002</c:v>
                </c:pt>
                <c:pt idx="3">
                  <c:v>-0.27800000000000002</c:v>
                </c:pt>
                <c:pt idx="4">
                  <c:v>-1.34</c:v>
                </c:pt>
                <c:pt idx="5">
                  <c:v>-1.575</c:v>
                </c:pt>
                <c:pt idx="6">
                  <c:v>-1.3280000000000001</c:v>
                </c:pt>
                <c:pt idx="7">
                  <c:v>-2.0009999999999999</c:v>
                </c:pt>
                <c:pt idx="8">
                  <c:v>-1.4870000000000001</c:v>
                </c:pt>
                <c:pt idx="9">
                  <c:v>-1.946</c:v>
                </c:pt>
                <c:pt idx="10">
                  <c:v>6.5270000000000001</c:v>
                </c:pt>
                <c:pt idx="11">
                  <c:v>5.58</c:v>
                </c:pt>
                <c:pt idx="12">
                  <c:v>0.504</c:v>
                </c:pt>
                <c:pt idx="13">
                  <c:v>-4.2430000000000003</c:v>
                </c:pt>
                <c:pt idx="14">
                  <c:v>3.641</c:v>
                </c:pt>
                <c:pt idx="15">
                  <c:v>3.581</c:v>
                </c:pt>
                <c:pt idx="16">
                  <c:v>11.439</c:v>
                </c:pt>
                <c:pt idx="17">
                  <c:v>-1.8120000000000001</c:v>
                </c:pt>
                <c:pt idx="18">
                  <c:v>2.4580000000000002</c:v>
                </c:pt>
                <c:pt idx="19">
                  <c:v>5.0220000000000002</c:v>
                </c:pt>
                <c:pt idx="20">
                  <c:v>-9.0619999999999994</c:v>
                </c:pt>
                <c:pt idx="21">
                  <c:v>20.27</c:v>
                </c:pt>
                <c:pt idx="22">
                  <c:v>4.0220000000000002</c:v>
                </c:pt>
                <c:pt idx="23">
                  <c:v>-25.119</c:v>
                </c:pt>
                <c:pt idx="25">
                  <c:v>188.21100000000001</c:v>
                </c:pt>
                <c:pt idx="26">
                  <c:v>230.33199999999999</c:v>
                </c:pt>
                <c:pt idx="27">
                  <c:v>178.65199999999999</c:v>
                </c:pt>
              </c:numCache>
            </c:numRef>
          </c:val>
          <c:smooth val="0"/>
          <c:extLst>
            <c:ext xmlns:c16="http://schemas.microsoft.com/office/drawing/2014/chart" uri="{C3380CC4-5D6E-409C-BE32-E72D297353CC}">
              <c16:uniqueId val="{00000002-523E-4197-B4CF-C60EB82AE76B}"/>
            </c:ext>
          </c:extLst>
        </c:ser>
        <c:dLbls>
          <c:showLegendKey val="0"/>
          <c:showVal val="0"/>
          <c:showCatName val="0"/>
          <c:showSerName val="0"/>
          <c:showPercent val="0"/>
          <c:showBubbleSize val="0"/>
        </c:dLbls>
        <c:marker val="1"/>
        <c:smooth val="0"/>
        <c:axId val="98988416"/>
        <c:axId val="98990336"/>
      </c:lineChart>
      <c:lineChart>
        <c:grouping val="standard"/>
        <c:varyColors val="0"/>
        <c:ser>
          <c:idx val="0"/>
          <c:order val="0"/>
          <c:tx>
            <c:strRef>
              <c:f>'final Dta'!$B$1</c:f>
              <c:strCache>
                <c:ptCount val="1"/>
                <c:pt idx="0">
                  <c:v>CPI</c:v>
                </c:pt>
              </c:strCache>
            </c:strRef>
          </c:tx>
          <c:spPr>
            <a:ln w="28575" cap="rnd">
              <a:solidFill>
                <a:schemeClr val="accent1"/>
              </a:solidFill>
              <a:round/>
            </a:ln>
            <a:effectLst/>
          </c:spPr>
          <c:marker>
            <c:symbol val="none"/>
          </c:marker>
          <c:cat>
            <c:strRef>
              <c:f>'final Dta'!$A$3:$A$30</c:f>
              <c:strCache>
                <c:ptCount val="28"/>
                <c:pt idx="0">
                  <c:v>1991/1992</c:v>
                </c:pt>
                <c:pt idx="1">
                  <c:v>1992/1993</c:v>
                </c:pt>
                <c:pt idx="2">
                  <c:v>1993/1994</c:v>
                </c:pt>
                <c:pt idx="3">
                  <c:v>1994/1995</c:v>
                </c:pt>
                <c:pt idx="4">
                  <c:v>1995/1996</c:v>
                </c:pt>
                <c:pt idx="5">
                  <c:v>1996/1997</c:v>
                </c:pt>
                <c:pt idx="6">
                  <c:v>1997/1998</c:v>
                </c:pt>
                <c:pt idx="7">
                  <c:v>1998/1999</c:v>
                </c:pt>
                <c:pt idx="8">
                  <c:v>1999/2000</c:v>
                </c:pt>
                <c:pt idx="9">
                  <c:v>2000/2001</c:v>
                </c:pt>
                <c:pt idx="10">
                  <c:v>2001/2002</c:v>
                </c:pt>
                <c:pt idx="11">
                  <c:v>2002/2003</c:v>
                </c:pt>
                <c:pt idx="12">
                  <c:v>2003/2004</c:v>
                </c:pt>
                <c:pt idx="13">
                  <c:v>2004/2005</c:v>
                </c:pt>
                <c:pt idx="14">
                  <c:v>2005/2006</c:v>
                </c:pt>
                <c:pt idx="15">
                  <c:v>2006/2007</c:v>
                </c:pt>
                <c:pt idx="16">
                  <c:v>2007/2008</c:v>
                </c:pt>
                <c:pt idx="17">
                  <c:v>2008/2009</c:v>
                </c:pt>
                <c:pt idx="18">
                  <c:v>2009/2010</c:v>
                </c:pt>
                <c:pt idx="19">
                  <c:v>2010/2011</c:v>
                </c:pt>
                <c:pt idx="20">
                  <c:v>2011/2012</c:v>
                </c:pt>
                <c:pt idx="21">
                  <c:v>2012/2013</c:v>
                </c:pt>
                <c:pt idx="22">
                  <c:v>2013/2014</c:v>
                </c:pt>
                <c:pt idx="23">
                  <c:v>2014/2015</c:v>
                </c:pt>
                <c:pt idx="24">
                  <c:v>2015/2016</c:v>
                </c:pt>
                <c:pt idx="25">
                  <c:v>2016/2017</c:v>
                </c:pt>
                <c:pt idx="26">
                  <c:v>2017/2018</c:v>
                </c:pt>
                <c:pt idx="27">
                  <c:v>2018/2019</c:v>
                </c:pt>
              </c:strCache>
            </c:strRef>
          </c:cat>
          <c:val>
            <c:numRef>
              <c:f>'final Dta'!$B$3:$B$30</c:f>
              <c:numCache>
                <c:formatCode>0.00</c:formatCode>
                <c:ptCount val="28"/>
                <c:pt idx="0">
                  <c:v>22.928477965336398</c:v>
                </c:pt>
                <c:pt idx="1">
                  <c:v>26.055331761589098</c:v>
                </c:pt>
                <c:pt idx="2">
                  <c:v>29.205367251227301</c:v>
                </c:pt>
                <c:pt idx="3">
                  <c:v>31.5868404447804</c:v>
                </c:pt>
                <c:pt idx="4">
                  <c:v>36.559313675947102</c:v>
                </c:pt>
                <c:pt idx="5">
                  <c:v>39.186869460822003</c:v>
                </c:pt>
                <c:pt idx="6">
                  <c:v>40.9994995628414</c:v>
                </c:pt>
                <c:pt idx="7">
                  <c:v>42.587236123387498</c:v>
                </c:pt>
                <c:pt idx="8">
                  <c:v>43.898709687758</c:v>
                </c:pt>
                <c:pt idx="9">
                  <c:v>45.076865608469099</c:v>
                </c:pt>
                <c:pt idx="10">
                  <c:v>46.100001013297103</c:v>
                </c:pt>
                <c:pt idx="11">
                  <c:v>47.361868012584999</c:v>
                </c:pt>
                <c:pt idx="12">
                  <c:v>49.496835104022999</c:v>
                </c:pt>
                <c:pt idx="13">
                  <c:v>55.075434970010903</c:v>
                </c:pt>
                <c:pt idx="14">
                  <c:v>57.757276530949902</c:v>
                </c:pt>
                <c:pt idx="15">
                  <c:v>62.172546809422798</c:v>
                </c:pt>
                <c:pt idx="16">
                  <c:v>67.966387209158697</c:v>
                </c:pt>
                <c:pt idx="17">
                  <c:v>80.415675955390796</c:v>
                </c:pt>
                <c:pt idx="18">
                  <c:v>89.875370328358201</c:v>
                </c:pt>
                <c:pt idx="19">
                  <c:v>100</c:v>
                </c:pt>
                <c:pt idx="20">
                  <c:v>110.053916904535</c:v>
                </c:pt>
                <c:pt idx="21">
                  <c:v>117.887725975262</c:v>
                </c:pt>
                <c:pt idx="22">
                  <c:v>128.99460830954601</c:v>
                </c:pt>
                <c:pt idx="23">
                  <c:v>142.08055819854101</c:v>
                </c:pt>
                <c:pt idx="24">
                  <c:v>156.80304471931501</c:v>
                </c:pt>
                <c:pt idx="25">
                  <c:v>178.45702505550301</c:v>
                </c:pt>
                <c:pt idx="26">
                  <c:v>231.09</c:v>
                </c:pt>
                <c:pt idx="27">
                  <c:v>264.3</c:v>
                </c:pt>
              </c:numCache>
            </c:numRef>
          </c:val>
          <c:smooth val="0"/>
          <c:extLst>
            <c:ext xmlns:c16="http://schemas.microsoft.com/office/drawing/2014/chart" uri="{C3380CC4-5D6E-409C-BE32-E72D297353CC}">
              <c16:uniqueId val="{00000003-523E-4197-B4CF-C60EB82AE76B}"/>
            </c:ext>
          </c:extLst>
        </c:ser>
        <c:dLbls>
          <c:showLegendKey val="0"/>
          <c:showVal val="0"/>
          <c:showCatName val="0"/>
          <c:showSerName val="0"/>
          <c:showPercent val="0"/>
          <c:showBubbleSize val="0"/>
        </c:dLbls>
        <c:marker val="1"/>
        <c:smooth val="0"/>
        <c:axId val="99002624"/>
        <c:axId val="99000704"/>
      </c:lineChart>
      <c:catAx>
        <c:axId val="98988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ar-EG"/>
                  <a:t>العام المالي</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b" anchorCtr="0"/>
          <a:lstStyle/>
          <a:p>
            <a:pPr>
              <a:defRPr sz="900" b="0" i="0" u="none" strike="noStrike" kern="1200" baseline="0">
                <a:ln>
                  <a:noFill/>
                </a:ln>
                <a:solidFill>
                  <a:schemeClr val="dk1"/>
                </a:solidFill>
                <a:latin typeface="+mn-lt"/>
                <a:ea typeface="+mn-ea"/>
                <a:cs typeface="+mn-cs"/>
              </a:defRPr>
            </a:pPr>
            <a:endParaRPr lang="en-US"/>
          </a:p>
        </c:txPr>
        <c:crossAx val="98990336"/>
        <c:crosses val="autoZero"/>
        <c:auto val="1"/>
        <c:lblAlgn val="ctr"/>
        <c:lblOffset val="100"/>
        <c:noMultiLvlLbl val="0"/>
      </c:catAx>
      <c:valAx>
        <c:axId val="98990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en-US"/>
                  <a:t> </a:t>
                </a:r>
                <a:r>
                  <a:rPr lang="ar-EG"/>
                  <a:t>القيمة</a:t>
                </a:r>
                <a:r>
                  <a:rPr lang="ar-EG" baseline="0"/>
                  <a:t> بالميار جنيه مصري</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98988416"/>
        <c:crosses val="autoZero"/>
        <c:crossBetween val="between"/>
      </c:valAx>
      <c:valAx>
        <c:axId val="99000704"/>
        <c:scaling>
          <c:orientation val="minMax"/>
        </c:scaling>
        <c:delete val="0"/>
        <c:axPos val="r"/>
        <c:title>
          <c:tx>
            <c:rich>
              <a:bodyPr rot="-540000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r>
                  <a:rPr lang="ar-EG" sz="1000" b="0" i="0" u="none" strike="noStrike" baseline="0">
                    <a:effectLst/>
                  </a:rPr>
                  <a:t>الرقم القياسي لأسعار المستهلكين</a:t>
                </a:r>
                <a:endParaRPr lang="en-US" sz="1000">
                  <a:effectLst/>
                </a:endParaRPr>
              </a:p>
            </c:rich>
          </c:tx>
          <c:overlay val="0"/>
          <c:spPr>
            <a:noFill/>
            <a:ln>
              <a:noFill/>
            </a:ln>
            <a:effectLst/>
          </c:spPr>
          <c:txPr>
            <a:bodyPr rot="-540000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endParaRPr lang="en-US"/>
            </a:p>
          </c:txPr>
        </c:title>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99002624"/>
        <c:crosses val="max"/>
        <c:crossBetween val="between"/>
      </c:valAx>
      <c:catAx>
        <c:axId val="99002624"/>
        <c:scaling>
          <c:orientation val="minMax"/>
        </c:scaling>
        <c:delete val="1"/>
        <c:axPos val="b"/>
        <c:numFmt formatCode="General" sourceLinked="1"/>
        <c:majorTickMark val="out"/>
        <c:minorTickMark val="none"/>
        <c:tickLblPos val="nextTo"/>
        <c:crossAx val="990007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25400" cap="flat" cmpd="sng" algn="ctr">
      <a:solidFill>
        <a:schemeClr val="accent2"/>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'final Dta'!$F$1</c:f>
              <c:strCache>
                <c:ptCount val="1"/>
                <c:pt idx="0">
                  <c:v>XP</c:v>
                </c:pt>
              </c:strCache>
            </c:strRef>
          </c:tx>
          <c:spPr>
            <a:ln w="28575" cap="rnd">
              <a:solidFill>
                <a:schemeClr val="accent2"/>
              </a:solidFill>
              <a:prstDash val="lgDash"/>
              <a:round/>
            </a:ln>
            <a:effectLst/>
          </c:spPr>
          <c:marker>
            <c:symbol val="square"/>
            <c:size val="5"/>
            <c:spPr>
              <a:solidFill>
                <a:schemeClr val="accent2"/>
              </a:solidFill>
              <a:ln w="9525">
                <a:solidFill>
                  <a:schemeClr val="accent2"/>
                </a:solidFill>
              </a:ln>
              <a:effectLst/>
            </c:spPr>
          </c:marker>
          <c:cat>
            <c:strRef>
              <c:f>'final Dta'!$A$3:$A$30</c:f>
              <c:strCache>
                <c:ptCount val="28"/>
                <c:pt idx="0">
                  <c:v>1991/1992</c:v>
                </c:pt>
                <c:pt idx="1">
                  <c:v>1992/1993</c:v>
                </c:pt>
                <c:pt idx="2">
                  <c:v>1993/1994</c:v>
                </c:pt>
                <c:pt idx="3">
                  <c:v>1994/1995</c:v>
                </c:pt>
                <c:pt idx="4">
                  <c:v>1995/1996</c:v>
                </c:pt>
                <c:pt idx="5">
                  <c:v>1996/1997</c:v>
                </c:pt>
                <c:pt idx="6">
                  <c:v>1997/1998</c:v>
                </c:pt>
                <c:pt idx="7">
                  <c:v>1998/1999</c:v>
                </c:pt>
                <c:pt idx="8">
                  <c:v>1999/2000</c:v>
                </c:pt>
                <c:pt idx="9">
                  <c:v>2000/2001</c:v>
                </c:pt>
                <c:pt idx="10">
                  <c:v>2001/2002</c:v>
                </c:pt>
                <c:pt idx="11">
                  <c:v>2002/2003</c:v>
                </c:pt>
                <c:pt idx="12">
                  <c:v>2003/2004</c:v>
                </c:pt>
                <c:pt idx="13">
                  <c:v>2004/2005</c:v>
                </c:pt>
                <c:pt idx="14">
                  <c:v>2005/2006</c:v>
                </c:pt>
                <c:pt idx="15">
                  <c:v>2006/2007</c:v>
                </c:pt>
                <c:pt idx="16">
                  <c:v>2007/2008</c:v>
                </c:pt>
                <c:pt idx="17">
                  <c:v>2008/2009</c:v>
                </c:pt>
                <c:pt idx="18">
                  <c:v>2009/2010</c:v>
                </c:pt>
                <c:pt idx="19">
                  <c:v>2010/2011</c:v>
                </c:pt>
                <c:pt idx="20">
                  <c:v>2011/2012</c:v>
                </c:pt>
                <c:pt idx="21">
                  <c:v>2012/2013</c:v>
                </c:pt>
                <c:pt idx="22">
                  <c:v>2013/2014</c:v>
                </c:pt>
                <c:pt idx="23">
                  <c:v>2014/2015</c:v>
                </c:pt>
                <c:pt idx="24">
                  <c:v>2015/2016</c:v>
                </c:pt>
                <c:pt idx="25">
                  <c:v>2016/2017</c:v>
                </c:pt>
                <c:pt idx="26">
                  <c:v>2017/2018</c:v>
                </c:pt>
                <c:pt idx="27">
                  <c:v>2018/2019</c:v>
                </c:pt>
              </c:strCache>
            </c:strRef>
          </c:cat>
          <c:val>
            <c:numRef>
              <c:f>'final Dta'!$F$3:$F$30</c:f>
              <c:numCache>
                <c:formatCode>0.00</c:formatCode>
                <c:ptCount val="28"/>
                <c:pt idx="0">
                  <c:v>169.94190619290299</c:v>
                </c:pt>
                <c:pt idx="1">
                  <c:v>162.037631486257</c:v>
                </c:pt>
                <c:pt idx="2">
                  <c:v>182.39777375590498</c:v>
                </c:pt>
                <c:pt idx="3">
                  <c:v>184.63306643387799</c:v>
                </c:pt>
                <c:pt idx="4">
                  <c:v>192.59629659915598</c:v>
                </c:pt>
                <c:pt idx="5">
                  <c:v>189.13678955189599</c:v>
                </c:pt>
                <c:pt idx="6">
                  <c:v>199.16548136452599</c:v>
                </c:pt>
                <c:pt idx="7">
                  <c:v>202.62103388031497</c:v>
                </c:pt>
                <c:pt idx="8">
                  <c:v>228.47484952116699</c:v>
                </c:pt>
                <c:pt idx="9">
                  <c:v>237.58494251733597</c:v>
                </c:pt>
                <c:pt idx="10">
                  <c:v>234.91169441364201</c:v>
                </c:pt>
                <c:pt idx="11">
                  <c:v>241.199221512831</c:v>
                </c:pt>
                <c:pt idx="12">
                  <c:v>244.287919343612</c:v>
                </c:pt>
                <c:pt idx="13">
                  <c:v>286.40652612699404</c:v>
                </c:pt>
                <c:pt idx="14">
                  <c:v>354.63866911607204</c:v>
                </c:pt>
                <c:pt idx="15">
                  <c:v>431.856114885605</c:v>
                </c:pt>
                <c:pt idx="16">
                  <c:v>556.24640025252393</c:v>
                </c:pt>
                <c:pt idx="17">
                  <c:v>702.49159877689692</c:v>
                </c:pt>
                <c:pt idx="18">
                  <c:v>576.83223464891694</c:v>
                </c:pt>
                <c:pt idx="19">
                  <c:v>558.60519377711091</c:v>
                </c:pt>
                <c:pt idx="20">
                  <c:v>605.56662849388192</c:v>
                </c:pt>
                <c:pt idx="21">
                  <c:v>670.96953985742005</c:v>
                </c:pt>
                <c:pt idx="22">
                  <c:v>674.92417368762108</c:v>
                </c:pt>
                <c:pt idx="23">
                  <c:v>675.58327932598809</c:v>
                </c:pt>
                <c:pt idx="24">
                  <c:v>682.00955930006501</c:v>
                </c:pt>
                <c:pt idx="25">
                  <c:v>666.85012961762789</c:v>
                </c:pt>
                <c:pt idx="26">
                  <c:v>1017</c:v>
                </c:pt>
                <c:pt idx="27">
                  <c:v>1131</c:v>
                </c:pt>
              </c:numCache>
            </c:numRef>
          </c:val>
          <c:smooth val="0"/>
          <c:extLst>
            <c:ext xmlns:c16="http://schemas.microsoft.com/office/drawing/2014/chart" uri="{C3380CC4-5D6E-409C-BE32-E72D297353CC}">
              <c16:uniqueId val="{00000000-AFAF-47AF-AF65-756C9546C6B6}"/>
            </c:ext>
          </c:extLst>
        </c:ser>
        <c:dLbls>
          <c:showLegendKey val="0"/>
          <c:showVal val="0"/>
          <c:showCatName val="0"/>
          <c:showSerName val="0"/>
          <c:showPercent val="0"/>
          <c:showBubbleSize val="0"/>
        </c:dLbls>
        <c:marker val="1"/>
        <c:smooth val="0"/>
        <c:axId val="99297920"/>
        <c:axId val="99300096"/>
      </c:lineChart>
      <c:lineChart>
        <c:grouping val="standard"/>
        <c:varyColors val="0"/>
        <c:ser>
          <c:idx val="0"/>
          <c:order val="0"/>
          <c:tx>
            <c:strRef>
              <c:f>'final Dta'!$B$1</c:f>
              <c:strCache>
                <c:ptCount val="1"/>
                <c:pt idx="0">
                  <c:v>CPI</c:v>
                </c:pt>
              </c:strCache>
            </c:strRef>
          </c:tx>
          <c:spPr>
            <a:ln w="28575" cap="rnd">
              <a:solidFill>
                <a:schemeClr val="accent1"/>
              </a:solidFill>
              <a:round/>
            </a:ln>
            <a:effectLst/>
          </c:spPr>
          <c:marker>
            <c:symbol val="none"/>
          </c:marker>
          <c:cat>
            <c:strRef>
              <c:f>'final Dta'!$A$3:$A$30</c:f>
              <c:strCache>
                <c:ptCount val="28"/>
                <c:pt idx="0">
                  <c:v>1991/1992</c:v>
                </c:pt>
                <c:pt idx="1">
                  <c:v>1992/1993</c:v>
                </c:pt>
                <c:pt idx="2">
                  <c:v>1993/1994</c:v>
                </c:pt>
                <c:pt idx="3">
                  <c:v>1994/1995</c:v>
                </c:pt>
                <c:pt idx="4">
                  <c:v>1995/1996</c:v>
                </c:pt>
                <c:pt idx="5">
                  <c:v>1996/1997</c:v>
                </c:pt>
                <c:pt idx="6">
                  <c:v>1997/1998</c:v>
                </c:pt>
                <c:pt idx="7">
                  <c:v>1998/1999</c:v>
                </c:pt>
                <c:pt idx="8">
                  <c:v>1999/2000</c:v>
                </c:pt>
                <c:pt idx="9">
                  <c:v>2000/2001</c:v>
                </c:pt>
                <c:pt idx="10">
                  <c:v>2001/2002</c:v>
                </c:pt>
                <c:pt idx="11">
                  <c:v>2002/2003</c:v>
                </c:pt>
                <c:pt idx="12">
                  <c:v>2003/2004</c:v>
                </c:pt>
                <c:pt idx="13">
                  <c:v>2004/2005</c:v>
                </c:pt>
                <c:pt idx="14">
                  <c:v>2005/2006</c:v>
                </c:pt>
                <c:pt idx="15">
                  <c:v>2006/2007</c:v>
                </c:pt>
                <c:pt idx="16">
                  <c:v>2007/2008</c:v>
                </c:pt>
                <c:pt idx="17">
                  <c:v>2008/2009</c:v>
                </c:pt>
                <c:pt idx="18">
                  <c:v>2009/2010</c:v>
                </c:pt>
                <c:pt idx="19">
                  <c:v>2010/2011</c:v>
                </c:pt>
                <c:pt idx="20">
                  <c:v>2011/2012</c:v>
                </c:pt>
                <c:pt idx="21">
                  <c:v>2012/2013</c:v>
                </c:pt>
                <c:pt idx="22">
                  <c:v>2013/2014</c:v>
                </c:pt>
                <c:pt idx="23">
                  <c:v>2014/2015</c:v>
                </c:pt>
                <c:pt idx="24">
                  <c:v>2015/2016</c:v>
                </c:pt>
                <c:pt idx="25">
                  <c:v>2016/2017</c:v>
                </c:pt>
                <c:pt idx="26">
                  <c:v>2017/2018</c:v>
                </c:pt>
                <c:pt idx="27">
                  <c:v>2018/2019</c:v>
                </c:pt>
              </c:strCache>
            </c:strRef>
          </c:cat>
          <c:val>
            <c:numRef>
              <c:f>'final Dta'!$B$3:$B$30</c:f>
              <c:numCache>
                <c:formatCode>0.00</c:formatCode>
                <c:ptCount val="28"/>
                <c:pt idx="0">
                  <c:v>22.928477965336398</c:v>
                </c:pt>
                <c:pt idx="1">
                  <c:v>26.055331761589098</c:v>
                </c:pt>
                <c:pt idx="2">
                  <c:v>29.205367251227301</c:v>
                </c:pt>
                <c:pt idx="3">
                  <c:v>31.5868404447804</c:v>
                </c:pt>
                <c:pt idx="4">
                  <c:v>36.559313675947102</c:v>
                </c:pt>
                <c:pt idx="5">
                  <c:v>39.186869460822003</c:v>
                </c:pt>
                <c:pt idx="6">
                  <c:v>40.9994995628414</c:v>
                </c:pt>
                <c:pt idx="7">
                  <c:v>42.587236123387498</c:v>
                </c:pt>
                <c:pt idx="8">
                  <c:v>43.898709687758</c:v>
                </c:pt>
                <c:pt idx="9">
                  <c:v>45.076865608469099</c:v>
                </c:pt>
                <c:pt idx="10">
                  <c:v>46.100001013297103</c:v>
                </c:pt>
                <c:pt idx="11">
                  <c:v>47.361868012584999</c:v>
                </c:pt>
                <c:pt idx="12">
                  <c:v>49.496835104022999</c:v>
                </c:pt>
                <c:pt idx="13">
                  <c:v>55.075434970010903</c:v>
                </c:pt>
                <c:pt idx="14">
                  <c:v>57.757276530949902</c:v>
                </c:pt>
                <c:pt idx="15">
                  <c:v>62.172546809422798</c:v>
                </c:pt>
                <c:pt idx="16">
                  <c:v>67.966387209158697</c:v>
                </c:pt>
                <c:pt idx="17">
                  <c:v>80.415675955390796</c:v>
                </c:pt>
                <c:pt idx="18">
                  <c:v>89.875370328358201</c:v>
                </c:pt>
                <c:pt idx="19">
                  <c:v>100</c:v>
                </c:pt>
                <c:pt idx="20">
                  <c:v>110.053916904535</c:v>
                </c:pt>
                <c:pt idx="21">
                  <c:v>117.887725975262</c:v>
                </c:pt>
                <c:pt idx="22">
                  <c:v>128.99460830954601</c:v>
                </c:pt>
                <c:pt idx="23">
                  <c:v>142.08055819854101</c:v>
                </c:pt>
                <c:pt idx="24">
                  <c:v>156.80304471931501</c:v>
                </c:pt>
                <c:pt idx="25">
                  <c:v>178.45702505550301</c:v>
                </c:pt>
                <c:pt idx="26">
                  <c:v>231.09</c:v>
                </c:pt>
                <c:pt idx="27">
                  <c:v>264.3</c:v>
                </c:pt>
              </c:numCache>
            </c:numRef>
          </c:val>
          <c:smooth val="0"/>
          <c:extLst>
            <c:ext xmlns:c16="http://schemas.microsoft.com/office/drawing/2014/chart" uri="{C3380CC4-5D6E-409C-BE32-E72D297353CC}">
              <c16:uniqueId val="{00000001-AFAF-47AF-AF65-756C9546C6B6}"/>
            </c:ext>
          </c:extLst>
        </c:ser>
        <c:dLbls>
          <c:showLegendKey val="0"/>
          <c:showVal val="0"/>
          <c:showCatName val="0"/>
          <c:showSerName val="0"/>
          <c:showPercent val="0"/>
          <c:showBubbleSize val="0"/>
        </c:dLbls>
        <c:marker val="1"/>
        <c:smooth val="0"/>
        <c:axId val="99320576"/>
        <c:axId val="99302016"/>
      </c:lineChart>
      <c:catAx>
        <c:axId val="992979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ar-EG"/>
                  <a:t>العام المالي</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General" sourceLinked="1"/>
        <c:majorTickMark val="out"/>
        <c:minorTickMark val="none"/>
        <c:tickLblPos val="nextTo"/>
        <c:spPr>
          <a:noFill/>
          <a:ln w="6350"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dk1"/>
                </a:solidFill>
                <a:latin typeface="+mn-lt"/>
                <a:ea typeface="+mn-ea"/>
                <a:cs typeface="+mn-cs"/>
              </a:defRPr>
            </a:pPr>
            <a:endParaRPr lang="en-US"/>
          </a:p>
        </c:txPr>
        <c:crossAx val="99300096"/>
        <c:crosses val="autoZero"/>
        <c:auto val="1"/>
        <c:lblAlgn val="ctr"/>
        <c:lblOffset val="100"/>
        <c:noMultiLvlLbl val="0"/>
      </c:catAx>
      <c:valAx>
        <c:axId val="99300096"/>
        <c:scaling>
          <c:orientation val="minMax"/>
          <c:max val="1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ar-EG"/>
                  <a:t>القيمة بالمليار جنيه مصري</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0.0" sourceLinked="0"/>
        <c:majorTickMark val="none"/>
        <c:minorTickMark val="none"/>
        <c:tickLblPos val="nextTo"/>
        <c:spPr>
          <a:noFill/>
          <a:ln>
            <a:noFill/>
          </a:ln>
          <a:effectLst/>
        </c:spPr>
        <c:txPr>
          <a:bodyPr rot="-120000" spcFirstLastPara="1" vertOverflow="ellipsis" wrap="square" anchor="ctr" anchorCtr="1"/>
          <a:lstStyle/>
          <a:p>
            <a:pPr>
              <a:defRPr sz="900" b="0" i="0" u="none" strike="noStrike" kern="1200" baseline="0">
                <a:solidFill>
                  <a:schemeClr val="dk1"/>
                </a:solidFill>
                <a:latin typeface="+mn-lt"/>
                <a:ea typeface="+mn-ea"/>
                <a:cs typeface="+mn-cs"/>
              </a:defRPr>
            </a:pPr>
            <a:endParaRPr lang="en-US"/>
          </a:p>
        </c:txPr>
        <c:crossAx val="99297920"/>
        <c:crosses val="autoZero"/>
        <c:crossBetween val="between"/>
      </c:valAx>
      <c:valAx>
        <c:axId val="9930201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ar-EG" sz="1000" b="0" i="0" u="none" strike="noStrike" baseline="0">
                    <a:effectLst/>
                  </a:rPr>
                  <a:t>الرقم القياسي لأسعار المستهلكين</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99320576"/>
        <c:crosses val="max"/>
        <c:crossBetween val="between"/>
      </c:valAx>
      <c:catAx>
        <c:axId val="99320576"/>
        <c:scaling>
          <c:orientation val="minMax"/>
        </c:scaling>
        <c:delete val="1"/>
        <c:axPos val="b"/>
        <c:numFmt formatCode="General" sourceLinked="1"/>
        <c:majorTickMark val="out"/>
        <c:minorTickMark val="none"/>
        <c:tickLblPos val="nextTo"/>
        <c:crossAx val="9930201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25400" cap="flat" cmpd="sng" algn="ctr">
      <a:solidFill>
        <a:schemeClr val="accent2"/>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'final Dta'!$H$1</c:f>
              <c:strCache>
                <c:ptCount val="1"/>
                <c:pt idx="0">
                  <c:v>EX</c:v>
                </c:pt>
              </c:strCache>
            </c:strRef>
          </c:tx>
          <c:spPr>
            <a:ln w="28575" cap="rnd">
              <a:solidFill>
                <a:schemeClr val="accent2"/>
              </a:solidFill>
              <a:prstDash val="lgDash"/>
              <a:round/>
            </a:ln>
            <a:effectLst/>
          </c:spPr>
          <c:marker>
            <c:symbol val="square"/>
            <c:size val="5"/>
            <c:spPr>
              <a:solidFill>
                <a:schemeClr val="accent2"/>
              </a:solidFill>
              <a:ln w="9525">
                <a:solidFill>
                  <a:schemeClr val="accent2"/>
                </a:solidFill>
              </a:ln>
              <a:effectLst/>
            </c:spPr>
          </c:marker>
          <c:cat>
            <c:strRef>
              <c:f>'final Dta'!$A$3:$A$30</c:f>
              <c:strCache>
                <c:ptCount val="28"/>
                <c:pt idx="0">
                  <c:v>1991/1992</c:v>
                </c:pt>
                <c:pt idx="1">
                  <c:v>1992/1993</c:v>
                </c:pt>
                <c:pt idx="2">
                  <c:v>1993/1994</c:v>
                </c:pt>
                <c:pt idx="3">
                  <c:v>1994/1995</c:v>
                </c:pt>
                <c:pt idx="4">
                  <c:v>1995/1996</c:v>
                </c:pt>
                <c:pt idx="5">
                  <c:v>1996/1997</c:v>
                </c:pt>
                <c:pt idx="6">
                  <c:v>1997/1998</c:v>
                </c:pt>
                <c:pt idx="7">
                  <c:v>1998/1999</c:v>
                </c:pt>
                <c:pt idx="8">
                  <c:v>1999/2000</c:v>
                </c:pt>
                <c:pt idx="9">
                  <c:v>2000/2001</c:v>
                </c:pt>
                <c:pt idx="10">
                  <c:v>2001/2002</c:v>
                </c:pt>
                <c:pt idx="11">
                  <c:v>2002/2003</c:v>
                </c:pt>
                <c:pt idx="12">
                  <c:v>2003/2004</c:v>
                </c:pt>
                <c:pt idx="13">
                  <c:v>2004/2005</c:v>
                </c:pt>
                <c:pt idx="14">
                  <c:v>2005/2006</c:v>
                </c:pt>
                <c:pt idx="15">
                  <c:v>2006/2007</c:v>
                </c:pt>
                <c:pt idx="16">
                  <c:v>2007/2008</c:v>
                </c:pt>
                <c:pt idx="17">
                  <c:v>2008/2009</c:v>
                </c:pt>
                <c:pt idx="18">
                  <c:v>2009/2010</c:v>
                </c:pt>
                <c:pt idx="19">
                  <c:v>2010/2011</c:v>
                </c:pt>
                <c:pt idx="20">
                  <c:v>2011/2012</c:v>
                </c:pt>
                <c:pt idx="21">
                  <c:v>2012/2013</c:v>
                </c:pt>
                <c:pt idx="22">
                  <c:v>2013/2014</c:v>
                </c:pt>
                <c:pt idx="23">
                  <c:v>2014/2015</c:v>
                </c:pt>
                <c:pt idx="24">
                  <c:v>2015/2016</c:v>
                </c:pt>
                <c:pt idx="25">
                  <c:v>2016/2017</c:v>
                </c:pt>
                <c:pt idx="26">
                  <c:v>2017/2018</c:v>
                </c:pt>
                <c:pt idx="27">
                  <c:v>2018/2019</c:v>
                </c:pt>
              </c:strCache>
            </c:strRef>
          </c:cat>
          <c:val>
            <c:numRef>
              <c:f>'final Dta'!$H$3:$H$30</c:f>
              <c:numCache>
                <c:formatCode>0.00</c:formatCode>
                <c:ptCount val="28"/>
                <c:pt idx="0">
                  <c:v>3.13800833333333</c:v>
                </c:pt>
                <c:pt idx="1">
                  <c:v>3.3217483333333302</c:v>
                </c:pt>
                <c:pt idx="2">
                  <c:v>3.3525174999999998</c:v>
                </c:pt>
                <c:pt idx="3">
                  <c:v>3.38513333333333</c:v>
                </c:pt>
                <c:pt idx="4">
                  <c:v>3.3922083333333299</c:v>
                </c:pt>
                <c:pt idx="5">
                  <c:v>3.3914833333333299</c:v>
                </c:pt>
                <c:pt idx="6">
                  <c:v>3.3887499999999999</c:v>
                </c:pt>
                <c:pt idx="7">
                  <c:v>3.3879999999999999</c:v>
                </c:pt>
                <c:pt idx="8">
                  <c:v>3.3952499999999999</c:v>
                </c:pt>
                <c:pt idx="9">
                  <c:v>3.4720499999999999</c:v>
                </c:pt>
                <c:pt idx="10">
                  <c:v>3.9729999999999999</c:v>
                </c:pt>
                <c:pt idx="11">
                  <c:v>4.4996666666666698</c:v>
                </c:pt>
                <c:pt idx="12">
                  <c:v>5.8508750000000003</c:v>
                </c:pt>
                <c:pt idx="13">
                  <c:v>6.19624166666667</c:v>
                </c:pt>
                <c:pt idx="14">
                  <c:v>5.7788333333333304</c:v>
                </c:pt>
                <c:pt idx="15">
                  <c:v>5.7331666666666701</c:v>
                </c:pt>
                <c:pt idx="16">
                  <c:v>5.6354333333333297</c:v>
                </c:pt>
                <c:pt idx="17">
                  <c:v>5.4325000000000001</c:v>
                </c:pt>
                <c:pt idx="18">
                  <c:v>5.54455330862978</c:v>
                </c:pt>
                <c:pt idx="19">
                  <c:v>5.62194291761051</c:v>
                </c:pt>
                <c:pt idx="20">
                  <c:v>5.9328276515151499</c:v>
                </c:pt>
                <c:pt idx="21">
                  <c:v>6.05605833333333</c:v>
                </c:pt>
                <c:pt idx="22">
                  <c:v>6.8703250000000002</c:v>
                </c:pt>
                <c:pt idx="23">
                  <c:v>7.0776085606060599</c:v>
                </c:pt>
                <c:pt idx="24">
                  <c:v>7.6912583333333302</c:v>
                </c:pt>
                <c:pt idx="25">
                  <c:v>10.0254007885465</c:v>
                </c:pt>
                <c:pt idx="26">
                  <c:v>17.782533515063601</c:v>
                </c:pt>
                <c:pt idx="27">
                  <c:v>17.760000000000002</c:v>
                </c:pt>
              </c:numCache>
            </c:numRef>
          </c:val>
          <c:smooth val="0"/>
          <c:extLst>
            <c:ext xmlns:c16="http://schemas.microsoft.com/office/drawing/2014/chart" uri="{C3380CC4-5D6E-409C-BE32-E72D297353CC}">
              <c16:uniqueId val="{00000000-DAC9-4289-ADE9-D595DAD0F178}"/>
            </c:ext>
          </c:extLst>
        </c:ser>
        <c:dLbls>
          <c:showLegendKey val="0"/>
          <c:showVal val="0"/>
          <c:showCatName val="0"/>
          <c:showSerName val="0"/>
          <c:showPercent val="0"/>
          <c:showBubbleSize val="0"/>
        </c:dLbls>
        <c:marker val="1"/>
        <c:smooth val="0"/>
        <c:axId val="96804864"/>
        <c:axId val="96806784"/>
      </c:lineChart>
      <c:lineChart>
        <c:grouping val="standard"/>
        <c:varyColors val="0"/>
        <c:ser>
          <c:idx val="0"/>
          <c:order val="0"/>
          <c:tx>
            <c:strRef>
              <c:f>'final Dta'!$B$1</c:f>
              <c:strCache>
                <c:ptCount val="1"/>
                <c:pt idx="0">
                  <c:v>CPI</c:v>
                </c:pt>
              </c:strCache>
            </c:strRef>
          </c:tx>
          <c:spPr>
            <a:ln w="28575" cap="rnd">
              <a:solidFill>
                <a:schemeClr val="accent1"/>
              </a:solidFill>
              <a:round/>
            </a:ln>
            <a:effectLst/>
          </c:spPr>
          <c:marker>
            <c:symbol val="none"/>
          </c:marker>
          <c:cat>
            <c:strRef>
              <c:f>'final Dta'!$A$3:$A$30</c:f>
              <c:strCache>
                <c:ptCount val="28"/>
                <c:pt idx="0">
                  <c:v>1991/1992</c:v>
                </c:pt>
                <c:pt idx="1">
                  <c:v>1992/1993</c:v>
                </c:pt>
                <c:pt idx="2">
                  <c:v>1993/1994</c:v>
                </c:pt>
                <c:pt idx="3">
                  <c:v>1994/1995</c:v>
                </c:pt>
                <c:pt idx="4">
                  <c:v>1995/1996</c:v>
                </c:pt>
                <c:pt idx="5">
                  <c:v>1996/1997</c:v>
                </c:pt>
                <c:pt idx="6">
                  <c:v>1997/1998</c:v>
                </c:pt>
                <c:pt idx="7">
                  <c:v>1998/1999</c:v>
                </c:pt>
                <c:pt idx="8">
                  <c:v>1999/2000</c:v>
                </c:pt>
                <c:pt idx="9">
                  <c:v>2000/2001</c:v>
                </c:pt>
                <c:pt idx="10">
                  <c:v>2001/2002</c:v>
                </c:pt>
                <c:pt idx="11">
                  <c:v>2002/2003</c:v>
                </c:pt>
                <c:pt idx="12">
                  <c:v>2003/2004</c:v>
                </c:pt>
                <c:pt idx="13">
                  <c:v>2004/2005</c:v>
                </c:pt>
                <c:pt idx="14">
                  <c:v>2005/2006</c:v>
                </c:pt>
                <c:pt idx="15">
                  <c:v>2006/2007</c:v>
                </c:pt>
                <c:pt idx="16">
                  <c:v>2007/2008</c:v>
                </c:pt>
                <c:pt idx="17">
                  <c:v>2008/2009</c:v>
                </c:pt>
                <c:pt idx="18">
                  <c:v>2009/2010</c:v>
                </c:pt>
                <c:pt idx="19">
                  <c:v>2010/2011</c:v>
                </c:pt>
                <c:pt idx="20">
                  <c:v>2011/2012</c:v>
                </c:pt>
                <c:pt idx="21">
                  <c:v>2012/2013</c:v>
                </c:pt>
                <c:pt idx="22">
                  <c:v>2013/2014</c:v>
                </c:pt>
                <c:pt idx="23">
                  <c:v>2014/2015</c:v>
                </c:pt>
                <c:pt idx="24">
                  <c:v>2015/2016</c:v>
                </c:pt>
                <c:pt idx="25">
                  <c:v>2016/2017</c:v>
                </c:pt>
                <c:pt idx="26">
                  <c:v>2017/2018</c:v>
                </c:pt>
                <c:pt idx="27">
                  <c:v>2018/2019</c:v>
                </c:pt>
              </c:strCache>
            </c:strRef>
          </c:cat>
          <c:val>
            <c:numRef>
              <c:f>'final Dta'!$B$3:$B$30</c:f>
              <c:numCache>
                <c:formatCode>0.00</c:formatCode>
                <c:ptCount val="28"/>
                <c:pt idx="0">
                  <c:v>22.928477965336398</c:v>
                </c:pt>
                <c:pt idx="1">
                  <c:v>26.055331761589098</c:v>
                </c:pt>
                <c:pt idx="2">
                  <c:v>29.205367251227301</c:v>
                </c:pt>
                <c:pt idx="3">
                  <c:v>31.5868404447804</c:v>
                </c:pt>
                <c:pt idx="4">
                  <c:v>36.559313675947102</c:v>
                </c:pt>
                <c:pt idx="5">
                  <c:v>39.186869460822003</c:v>
                </c:pt>
                <c:pt idx="6">
                  <c:v>40.9994995628414</c:v>
                </c:pt>
                <c:pt idx="7">
                  <c:v>42.587236123387498</c:v>
                </c:pt>
                <c:pt idx="8">
                  <c:v>43.898709687758</c:v>
                </c:pt>
                <c:pt idx="9">
                  <c:v>45.076865608469099</c:v>
                </c:pt>
                <c:pt idx="10">
                  <c:v>46.100001013297103</c:v>
                </c:pt>
                <c:pt idx="11">
                  <c:v>47.361868012584999</c:v>
                </c:pt>
                <c:pt idx="12">
                  <c:v>49.496835104022999</c:v>
                </c:pt>
                <c:pt idx="13">
                  <c:v>55.075434970010903</c:v>
                </c:pt>
                <c:pt idx="14">
                  <c:v>57.757276530949902</c:v>
                </c:pt>
                <c:pt idx="15">
                  <c:v>62.172546809422798</c:v>
                </c:pt>
                <c:pt idx="16">
                  <c:v>67.966387209158697</c:v>
                </c:pt>
                <c:pt idx="17">
                  <c:v>80.415675955390796</c:v>
                </c:pt>
                <c:pt idx="18">
                  <c:v>89.875370328358201</c:v>
                </c:pt>
                <c:pt idx="19">
                  <c:v>100</c:v>
                </c:pt>
                <c:pt idx="20">
                  <c:v>110.053916904535</c:v>
                </c:pt>
                <c:pt idx="21">
                  <c:v>117.887725975262</c:v>
                </c:pt>
                <c:pt idx="22">
                  <c:v>128.99460830954601</c:v>
                </c:pt>
                <c:pt idx="23">
                  <c:v>142.08055819854101</c:v>
                </c:pt>
                <c:pt idx="24">
                  <c:v>156.80304471931501</c:v>
                </c:pt>
                <c:pt idx="25">
                  <c:v>178.45702505550301</c:v>
                </c:pt>
                <c:pt idx="26">
                  <c:v>231.09</c:v>
                </c:pt>
                <c:pt idx="27">
                  <c:v>264.3</c:v>
                </c:pt>
              </c:numCache>
            </c:numRef>
          </c:val>
          <c:smooth val="0"/>
          <c:extLst>
            <c:ext xmlns:c16="http://schemas.microsoft.com/office/drawing/2014/chart" uri="{C3380CC4-5D6E-409C-BE32-E72D297353CC}">
              <c16:uniqueId val="{00000001-DAC9-4289-ADE9-D595DAD0F178}"/>
            </c:ext>
          </c:extLst>
        </c:ser>
        <c:dLbls>
          <c:showLegendKey val="0"/>
          <c:showVal val="0"/>
          <c:showCatName val="0"/>
          <c:showSerName val="0"/>
          <c:showPercent val="0"/>
          <c:showBubbleSize val="0"/>
        </c:dLbls>
        <c:marker val="1"/>
        <c:smooth val="0"/>
        <c:axId val="96819072"/>
        <c:axId val="96817152"/>
      </c:lineChart>
      <c:catAx>
        <c:axId val="968048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ar-EG"/>
                  <a:t>العام المالي</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96806784"/>
        <c:crosses val="autoZero"/>
        <c:auto val="1"/>
        <c:lblAlgn val="ctr"/>
        <c:lblOffset val="100"/>
        <c:noMultiLvlLbl val="0"/>
      </c:catAx>
      <c:valAx>
        <c:axId val="96806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ar-EG"/>
                  <a:t>نسبة</a:t>
                </a:r>
                <a:r>
                  <a:rPr lang="ar-EG" baseline="0"/>
                  <a:t> إلى الدولار الأمريكي</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96804864"/>
        <c:crosses val="autoZero"/>
        <c:crossBetween val="between"/>
      </c:valAx>
      <c:valAx>
        <c:axId val="96817152"/>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ar-EG" sz="1000" b="0" i="0" u="none" strike="noStrike" baseline="0">
                    <a:effectLst/>
                  </a:rPr>
                  <a:t>الرقم القياسي لأسعار المستهلكين</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96819072"/>
        <c:crosses val="max"/>
        <c:crossBetween val="between"/>
      </c:valAx>
      <c:catAx>
        <c:axId val="96819072"/>
        <c:scaling>
          <c:orientation val="minMax"/>
        </c:scaling>
        <c:delete val="1"/>
        <c:axPos val="b"/>
        <c:numFmt formatCode="General" sourceLinked="1"/>
        <c:majorTickMark val="out"/>
        <c:minorTickMark val="none"/>
        <c:tickLblPos val="nextTo"/>
        <c:crossAx val="968171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25400" cap="flat" cmpd="sng" algn="ctr">
      <a:solidFill>
        <a:schemeClr val="accent2"/>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1"/>
          <c:order val="0"/>
          <c:tx>
            <c:strRef>
              <c:f>'final Dta'!$G$1</c:f>
              <c:strCache>
                <c:ptCount val="1"/>
                <c:pt idx="0">
                  <c:v>M</c:v>
                </c:pt>
              </c:strCache>
            </c:strRef>
          </c:tx>
          <c:spPr>
            <a:ln w="28575" cap="rnd">
              <a:solidFill>
                <a:schemeClr val="accent2"/>
              </a:solidFill>
              <a:prstDash val="lgDash"/>
              <a:round/>
            </a:ln>
            <a:effectLst/>
          </c:spPr>
          <c:marker>
            <c:symbol val="square"/>
            <c:size val="5"/>
            <c:spPr>
              <a:solidFill>
                <a:schemeClr val="accent2"/>
              </a:solidFill>
              <a:ln w="9525">
                <a:solidFill>
                  <a:schemeClr val="accent2"/>
                </a:solidFill>
              </a:ln>
              <a:effectLst/>
            </c:spPr>
          </c:marker>
          <c:cat>
            <c:strRef>
              <c:f>'final Dta'!$A$3:$A$30</c:f>
              <c:strCache>
                <c:ptCount val="28"/>
                <c:pt idx="0">
                  <c:v>1991/1992</c:v>
                </c:pt>
                <c:pt idx="1">
                  <c:v>1992/1993</c:v>
                </c:pt>
                <c:pt idx="2">
                  <c:v>1993/1994</c:v>
                </c:pt>
                <c:pt idx="3">
                  <c:v>1994/1995</c:v>
                </c:pt>
                <c:pt idx="4">
                  <c:v>1995/1996</c:v>
                </c:pt>
                <c:pt idx="5">
                  <c:v>1996/1997</c:v>
                </c:pt>
                <c:pt idx="6">
                  <c:v>1997/1998</c:v>
                </c:pt>
                <c:pt idx="7">
                  <c:v>1998/1999</c:v>
                </c:pt>
                <c:pt idx="8">
                  <c:v>1999/2000</c:v>
                </c:pt>
                <c:pt idx="9">
                  <c:v>2000/2001</c:v>
                </c:pt>
                <c:pt idx="10">
                  <c:v>2001/2002</c:v>
                </c:pt>
                <c:pt idx="11">
                  <c:v>2002/2003</c:v>
                </c:pt>
                <c:pt idx="12">
                  <c:v>2003/2004</c:v>
                </c:pt>
                <c:pt idx="13">
                  <c:v>2004/2005</c:v>
                </c:pt>
                <c:pt idx="14">
                  <c:v>2005/2006</c:v>
                </c:pt>
                <c:pt idx="15">
                  <c:v>2006/2007</c:v>
                </c:pt>
                <c:pt idx="16">
                  <c:v>2007/2008</c:v>
                </c:pt>
                <c:pt idx="17">
                  <c:v>2008/2009</c:v>
                </c:pt>
                <c:pt idx="18">
                  <c:v>2009/2010</c:v>
                </c:pt>
                <c:pt idx="19">
                  <c:v>2010/2011</c:v>
                </c:pt>
                <c:pt idx="20">
                  <c:v>2011/2012</c:v>
                </c:pt>
                <c:pt idx="21">
                  <c:v>2012/2013</c:v>
                </c:pt>
                <c:pt idx="22">
                  <c:v>2013/2014</c:v>
                </c:pt>
                <c:pt idx="23">
                  <c:v>2014/2015</c:v>
                </c:pt>
                <c:pt idx="24">
                  <c:v>2015/2016</c:v>
                </c:pt>
                <c:pt idx="25">
                  <c:v>2016/2017</c:v>
                </c:pt>
                <c:pt idx="26">
                  <c:v>2017/2018</c:v>
                </c:pt>
                <c:pt idx="27">
                  <c:v>2018/2019</c:v>
                </c:pt>
              </c:strCache>
            </c:strRef>
          </c:cat>
          <c:val>
            <c:numRef>
              <c:f>'final Dta'!$G$3:$G$30</c:f>
              <c:numCache>
                <c:formatCode>0.00</c:formatCode>
                <c:ptCount val="28"/>
                <c:pt idx="0">
                  <c:v>87.523466666666678</c:v>
                </c:pt>
                <c:pt idx="1">
                  <c:v>84.538964773544208</c:v>
                </c:pt>
                <c:pt idx="2">
                  <c:v>85.807796391752575</c:v>
                </c:pt>
                <c:pt idx="3">
                  <c:v>84.633542857142857</c:v>
                </c:pt>
                <c:pt idx="4">
                  <c:v>79.787401960784294</c:v>
                </c:pt>
                <c:pt idx="5">
                  <c:v>78.641455972101141</c:v>
                </c:pt>
                <c:pt idx="6">
                  <c:v>75.154757427604352</c:v>
                </c:pt>
                <c:pt idx="7">
                  <c:v>77.025643702157282</c:v>
                </c:pt>
                <c:pt idx="8">
                  <c:v>76.043368010403128</c:v>
                </c:pt>
                <c:pt idx="9">
                  <c:v>76.741899441340806</c:v>
                </c:pt>
                <c:pt idx="10">
                  <c:v>82.378282687482567</c:v>
                </c:pt>
                <c:pt idx="11">
                  <c:v>87.836500395882823</c:v>
                </c:pt>
                <c:pt idx="12">
                  <c:v>96.678850299401191</c:v>
                </c:pt>
                <c:pt idx="13">
                  <c:v>96.678625863383473</c:v>
                </c:pt>
                <c:pt idx="14">
                  <c:v>97.137842448467964</c:v>
                </c:pt>
                <c:pt idx="15">
                  <c:v>97.387311711348559</c:v>
                </c:pt>
                <c:pt idx="16">
                  <c:v>96.206414057465096</c:v>
                </c:pt>
                <c:pt idx="17">
                  <c:v>88.4042515689559</c:v>
                </c:pt>
                <c:pt idx="18">
                  <c:v>83.155901199385923</c:v>
                </c:pt>
                <c:pt idx="19">
                  <c:v>80.74556172720537</c:v>
                </c:pt>
                <c:pt idx="20">
                  <c:v>75.79391193051346</c:v>
                </c:pt>
                <c:pt idx="21">
                  <c:v>69.715459059382582</c:v>
                </c:pt>
                <c:pt idx="22">
                  <c:v>74.611835761580835</c:v>
                </c:pt>
                <c:pt idx="23">
                  <c:v>75.44264837518638</c:v>
                </c:pt>
                <c:pt idx="24">
                  <c:v>77.985877891697697</c:v>
                </c:pt>
                <c:pt idx="25">
                  <c:v>98.136132366497023</c:v>
                </c:pt>
                <c:pt idx="26">
                  <c:v>92.29563754868299</c:v>
                </c:pt>
                <c:pt idx="27">
                  <c:v>81.77</c:v>
                </c:pt>
              </c:numCache>
            </c:numRef>
          </c:val>
          <c:smooth val="0"/>
          <c:extLst>
            <c:ext xmlns:c16="http://schemas.microsoft.com/office/drawing/2014/chart" uri="{C3380CC4-5D6E-409C-BE32-E72D297353CC}">
              <c16:uniqueId val="{00000000-03A9-40AE-8AAB-598815432CF6}"/>
            </c:ext>
          </c:extLst>
        </c:ser>
        <c:dLbls>
          <c:showLegendKey val="0"/>
          <c:showVal val="0"/>
          <c:showCatName val="0"/>
          <c:showSerName val="0"/>
          <c:showPercent val="0"/>
          <c:showBubbleSize val="0"/>
        </c:dLbls>
        <c:marker val="1"/>
        <c:smooth val="0"/>
        <c:axId val="107631360"/>
        <c:axId val="107633280"/>
      </c:lineChart>
      <c:lineChart>
        <c:grouping val="standard"/>
        <c:varyColors val="0"/>
        <c:ser>
          <c:idx val="0"/>
          <c:order val="1"/>
          <c:tx>
            <c:strRef>
              <c:f>'final Dta'!$B$1</c:f>
              <c:strCache>
                <c:ptCount val="1"/>
                <c:pt idx="0">
                  <c:v>CPI</c:v>
                </c:pt>
              </c:strCache>
            </c:strRef>
          </c:tx>
          <c:spPr>
            <a:ln w="28575" cap="rnd">
              <a:solidFill>
                <a:schemeClr val="accent1"/>
              </a:solidFill>
              <a:round/>
            </a:ln>
            <a:effectLst/>
          </c:spPr>
          <c:marker>
            <c:symbol val="none"/>
          </c:marker>
          <c:cat>
            <c:strRef>
              <c:f>'final Dta'!$A$3:$A$30</c:f>
              <c:strCache>
                <c:ptCount val="28"/>
                <c:pt idx="0">
                  <c:v>1991/1992</c:v>
                </c:pt>
                <c:pt idx="1">
                  <c:v>1992/1993</c:v>
                </c:pt>
                <c:pt idx="2">
                  <c:v>1993/1994</c:v>
                </c:pt>
                <c:pt idx="3">
                  <c:v>1994/1995</c:v>
                </c:pt>
                <c:pt idx="4">
                  <c:v>1995/1996</c:v>
                </c:pt>
                <c:pt idx="5">
                  <c:v>1996/1997</c:v>
                </c:pt>
                <c:pt idx="6">
                  <c:v>1997/1998</c:v>
                </c:pt>
                <c:pt idx="7">
                  <c:v>1998/1999</c:v>
                </c:pt>
                <c:pt idx="8">
                  <c:v>1999/2000</c:v>
                </c:pt>
                <c:pt idx="9">
                  <c:v>2000/2001</c:v>
                </c:pt>
                <c:pt idx="10">
                  <c:v>2001/2002</c:v>
                </c:pt>
                <c:pt idx="11">
                  <c:v>2002/2003</c:v>
                </c:pt>
                <c:pt idx="12">
                  <c:v>2003/2004</c:v>
                </c:pt>
                <c:pt idx="13">
                  <c:v>2004/2005</c:v>
                </c:pt>
                <c:pt idx="14">
                  <c:v>2005/2006</c:v>
                </c:pt>
                <c:pt idx="15">
                  <c:v>2006/2007</c:v>
                </c:pt>
                <c:pt idx="16">
                  <c:v>2007/2008</c:v>
                </c:pt>
                <c:pt idx="17">
                  <c:v>2008/2009</c:v>
                </c:pt>
                <c:pt idx="18">
                  <c:v>2009/2010</c:v>
                </c:pt>
                <c:pt idx="19">
                  <c:v>2010/2011</c:v>
                </c:pt>
                <c:pt idx="20">
                  <c:v>2011/2012</c:v>
                </c:pt>
                <c:pt idx="21">
                  <c:v>2012/2013</c:v>
                </c:pt>
                <c:pt idx="22">
                  <c:v>2013/2014</c:v>
                </c:pt>
                <c:pt idx="23">
                  <c:v>2014/2015</c:v>
                </c:pt>
                <c:pt idx="24">
                  <c:v>2015/2016</c:v>
                </c:pt>
                <c:pt idx="25">
                  <c:v>2016/2017</c:v>
                </c:pt>
                <c:pt idx="26">
                  <c:v>2017/2018</c:v>
                </c:pt>
                <c:pt idx="27">
                  <c:v>2018/2019</c:v>
                </c:pt>
              </c:strCache>
            </c:strRef>
          </c:cat>
          <c:val>
            <c:numRef>
              <c:f>'final Dta'!$B$3:$B$30</c:f>
              <c:numCache>
                <c:formatCode>0.00</c:formatCode>
                <c:ptCount val="28"/>
                <c:pt idx="0">
                  <c:v>22.928477965336398</c:v>
                </c:pt>
                <c:pt idx="1">
                  <c:v>26.055331761589098</c:v>
                </c:pt>
                <c:pt idx="2">
                  <c:v>29.205367251227301</c:v>
                </c:pt>
                <c:pt idx="3">
                  <c:v>31.5868404447804</c:v>
                </c:pt>
                <c:pt idx="4">
                  <c:v>36.559313675947102</c:v>
                </c:pt>
                <c:pt idx="5">
                  <c:v>39.186869460822003</c:v>
                </c:pt>
                <c:pt idx="6">
                  <c:v>40.9994995628414</c:v>
                </c:pt>
                <c:pt idx="7">
                  <c:v>42.587236123387498</c:v>
                </c:pt>
                <c:pt idx="8">
                  <c:v>43.898709687758</c:v>
                </c:pt>
                <c:pt idx="9">
                  <c:v>45.076865608469099</c:v>
                </c:pt>
                <c:pt idx="10">
                  <c:v>46.100001013297103</c:v>
                </c:pt>
                <c:pt idx="11">
                  <c:v>47.361868012584999</c:v>
                </c:pt>
                <c:pt idx="12">
                  <c:v>49.496835104022999</c:v>
                </c:pt>
                <c:pt idx="13">
                  <c:v>55.075434970010903</c:v>
                </c:pt>
                <c:pt idx="14">
                  <c:v>57.757276530949902</c:v>
                </c:pt>
                <c:pt idx="15">
                  <c:v>62.172546809422798</c:v>
                </c:pt>
                <c:pt idx="16">
                  <c:v>67.966387209158697</c:v>
                </c:pt>
                <c:pt idx="17">
                  <c:v>80.415675955390796</c:v>
                </c:pt>
                <c:pt idx="18">
                  <c:v>89.875370328358201</c:v>
                </c:pt>
                <c:pt idx="19">
                  <c:v>100</c:v>
                </c:pt>
                <c:pt idx="20">
                  <c:v>110.053916904535</c:v>
                </c:pt>
                <c:pt idx="21">
                  <c:v>117.887725975262</c:v>
                </c:pt>
                <c:pt idx="22">
                  <c:v>128.99460830954601</c:v>
                </c:pt>
                <c:pt idx="23">
                  <c:v>142.08055819854101</c:v>
                </c:pt>
                <c:pt idx="24">
                  <c:v>156.80304471931501</c:v>
                </c:pt>
                <c:pt idx="25">
                  <c:v>178.45702505550301</c:v>
                </c:pt>
                <c:pt idx="26">
                  <c:v>231.09</c:v>
                </c:pt>
                <c:pt idx="27">
                  <c:v>264.3</c:v>
                </c:pt>
              </c:numCache>
            </c:numRef>
          </c:val>
          <c:smooth val="0"/>
          <c:extLst>
            <c:ext xmlns:c16="http://schemas.microsoft.com/office/drawing/2014/chart" uri="{C3380CC4-5D6E-409C-BE32-E72D297353CC}">
              <c16:uniqueId val="{00000001-03A9-40AE-8AAB-598815432CF6}"/>
            </c:ext>
          </c:extLst>
        </c:ser>
        <c:dLbls>
          <c:showLegendKey val="0"/>
          <c:showVal val="0"/>
          <c:showCatName val="0"/>
          <c:showSerName val="0"/>
          <c:showPercent val="0"/>
          <c:showBubbleSize val="0"/>
        </c:dLbls>
        <c:marker val="1"/>
        <c:smooth val="0"/>
        <c:axId val="107637376"/>
        <c:axId val="107635456"/>
      </c:lineChart>
      <c:catAx>
        <c:axId val="107631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ar-EG"/>
                  <a:t>العام المالي</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t" anchorCtr="0"/>
          <a:lstStyle/>
          <a:p>
            <a:pPr>
              <a:defRPr sz="800" b="0" i="0" u="none" strike="noStrike" kern="1200" baseline="0">
                <a:solidFill>
                  <a:schemeClr val="dk1"/>
                </a:solidFill>
                <a:latin typeface="+mn-lt"/>
                <a:ea typeface="+mn-ea"/>
                <a:cs typeface="+mn-cs"/>
              </a:defRPr>
            </a:pPr>
            <a:endParaRPr lang="en-US"/>
          </a:p>
        </c:txPr>
        <c:crossAx val="107633280"/>
        <c:crosses val="autoZero"/>
        <c:auto val="1"/>
        <c:lblAlgn val="ctr"/>
        <c:lblOffset val="100"/>
        <c:noMultiLvlLbl val="0"/>
      </c:catAx>
      <c:valAx>
        <c:axId val="107633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ar-EG"/>
                  <a:t>نسبة إلى الناتج المحلي الإجمالي</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07631360"/>
        <c:crosses val="autoZero"/>
        <c:crossBetween val="between"/>
      </c:valAx>
      <c:valAx>
        <c:axId val="107635456"/>
        <c:scaling>
          <c:orientation val="minMax"/>
        </c:scaling>
        <c:delete val="0"/>
        <c:axPos val="r"/>
        <c:title>
          <c:tx>
            <c:rich>
              <a:bodyPr rot="-540000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r>
                  <a:rPr lang="ar-EG" sz="1000" b="0" i="0" baseline="0">
                    <a:effectLst/>
                  </a:rPr>
                  <a:t>الرقم القياسي لأسعار المستهلكين</a:t>
                </a:r>
                <a:endParaRPr lang="en-US" sz="1000">
                  <a:effectLst/>
                </a:endParaRPr>
              </a:p>
            </c:rich>
          </c:tx>
          <c:overlay val="0"/>
          <c:spPr>
            <a:noFill/>
            <a:ln>
              <a:noFill/>
            </a:ln>
            <a:effectLst/>
          </c:spPr>
          <c:txPr>
            <a:bodyPr rot="-540000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endParaRPr lang="en-US"/>
            </a:p>
          </c:txPr>
        </c:title>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07637376"/>
        <c:crosses val="max"/>
        <c:crossBetween val="between"/>
      </c:valAx>
      <c:catAx>
        <c:axId val="107637376"/>
        <c:scaling>
          <c:orientation val="minMax"/>
        </c:scaling>
        <c:delete val="1"/>
        <c:axPos val="b"/>
        <c:numFmt formatCode="General" sourceLinked="1"/>
        <c:majorTickMark val="out"/>
        <c:minorTickMark val="none"/>
        <c:tickLblPos val="nextTo"/>
        <c:crossAx val="1076354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25400" cap="flat" cmpd="sng" algn="ctr">
      <a:solidFill>
        <a:schemeClr val="accent2"/>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ar-EG"/>
              <a:t>التمويل الخارجي</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lineChart>
        <c:grouping val="standard"/>
        <c:varyColors val="0"/>
        <c:ser>
          <c:idx val="0"/>
          <c:order val="0"/>
          <c:tx>
            <c:strRef>
              <c:f>'1998-1991'!$H$1</c:f>
              <c:strCache>
                <c:ptCount val="1"/>
                <c:pt idx="0">
                  <c:v>التمويل الخارجي</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'1998-1991'!$A$2:$A$9</c:f>
              <c:strCache>
                <c:ptCount val="7"/>
                <c:pt idx="0">
                  <c:v>1991/1992</c:v>
                </c:pt>
                <c:pt idx="1">
                  <c:v>1992/1993</c:v>
                </c:pt>
                <c:pt idx="2">
                  <c:v>1993/1994</c:v>
                </c:pt>
                <c:pt idx="3">
                  <c:v>1994/1995</c:v>
                </c:pt>
                <c:pt idx="4">
                  <c:v>1995/1996</c:v>
                </c:pt>
                <c:pt idx="5">
                  <c:v>1996/1997</c:v>
                </c:pt>
                <c:pt idx="6">
                  <c:v>1997/1998</c:v>
                </c:pt>
              </c:strCache>
            </c:strRef>
          </c:cat>
          <c:val>
            <c:numRef>
              <c:f>'1998-1991'!$H$2:$H$9</c:f>
              <c:numCache>
                <c:formatCode>General</c:formatCode>
                <c:ptCount val="7"/>
                <c:pt idx="0">
                  <c:v>1783</c:v>
                </c:pt>
                <c:pt idx="1">
                  <c:v>298</c:v>
                </c:pt>
                <c:pt idx="2">
                  <c:v>464</c:v>
                </c:pt>
                <c:pt idx="3">
                  <c:v>-278</c:v>
                </c:pt>
                <c:pt idx="4">
                  <c:v>-1340</c:v>
                </c:pt>
                <c:pt idx="5">
                  <c:v>-1575</c:v>
                </c:pt>
                <c:pt idx="6">
                  <c:v>-1328</c:v>
                </c:pt>
              </c:numCache>
            </c:numRef>
          </c:val>
          <c:smooth val="0"/>
          <c:extLst>
            <c:ext xmlns:c16="http://schemas.microsoft.com/office/drawing/2014/chart" uri="{C3380CC4-5D6E-409C-BE32-E72D297353CC}">
              <c16:uniqueId val="{00000000-FDDC-44CD-A51A-C022AF12D8B3}"/>
            </c:ext>
          </c:extLst>
        </c:ser>
        <c:dLbls>
          <c:showLegendKey val="0"/>
          <c:showVal val="0"/>
          <c:showCatName val="0"/>
          <c:showSerName val="0"/>
          <c:showPercent val="0"/>
          <c:showBubbleSize val="0"/>
        </c:dLbls>
        <c:marker val="1"/>
        <c:smooth val="0"/>
        <c:axId val="104366464"/>
        <c:axId val="104368768"/>
      </c:lineChart>
      <c:catAx>
        <c:axId val="1043664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04368768"/>
        <c:crosses val="autoZero"/>
        <c:auto val="1"/>
        <c:lblAlgn val="ctr"/>
        <c:lblOffset val="100"/>
        <c:noMultiLvlLbl val="0"/>
      </c:catAx>
      <c:valAx>
        <c:axId val="104368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04366464"/>
        <c:crosses val="autoZero"/>
        <c:crossBetween val="between"/>
      </c:valAx>
      <c:spPr>
        <a:noFill/>
        <a:ln>
          <a:noFill/>
        </a:ln>
        <a:effectLst/>
      </c:spPr>
    </c:plotArea>
    <c:plotVisOnly val="1"/>
    <c:dispBlanksAs val="gap"/>
    <c:showDLblsOverMax val="0"/>
  </c:chart>
  <c:spPr>
    <a:solidFill>
      <a:schemeClr val="lt1"/>
    </a:solidFill>
    <a:ln w="25400" cap="flat" cmpd="sng" algn="ctr">
      <a:solidFill>
        <a:schemeClr val="accent2"/>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623272595248354E-2"/>
          <c:y val="7.0428147677149916E-2"/>
          <c:w val="0.88271102135287849"/>
          <c:h val="0.81274720119020794"/>
        </c:manualLayout>
      </c:layout>
      <c:lineChart>
        <c:grouping val="standard"/>
        <c:varyColors val="0"/>
        <c:ser>
          <c:idx val="0"/>
          <c:order val="0"/>
          <c:tx>
            <c:strRef>
              <c:f>'1998-1991'!$J$1</c:f>
              <c:strCache>
                <c:ptCount val="1"/>
                <c:pt idx="0">
                  <c:v>تمويل محلي غير مصرفي</c:v>
                </c:pt>
              </c:strCache>
            </c:strRef>
          </c:tx>
          <c:spPr>
            <a:ln w="22225" cap="rnd">
              <a:solidFill>
                <a:schemeClr val="accent1"/>
              </a:solidFill>
              <a:prstDash val="lgDash"/>
              <a:round/>
            </a:ln>
            <a:effectLst/>
          </c:spPr>
          <c:marker>
            <c:symbol val="diamond"/>
            <c:size val="6"/>
            <c:spPr>
              <a:solidFill>
                <a:schemeClr val="accent1"/>
              </a:solidFill>
              <a:ln w="9525">
                <a:solidFill>
                  <a:schemeClr val="accent1"/>
                </a:solidFill>
                <a:round/>
              </a:ln>
              <a:effectLst/>
            </c:spPr>
          </c:marker>
          <c:cat>
            <c:strRef>
              <c:f>'1998-1991'!$A$2:$A$9</c:f>
              <c:strCache>
                <c:ptCount val="7"/>
                <c:pt idx="0">
                  <c:v>1991/1992</c:v>
                </c:pt>
                <c:pt idx="1">
                  <c:v>1992/1993</c:v>
                </c:pt>
                <c:pt idx="2">
                  <c:v>1993/1994</c:v>
                </c:pt>
                <c:pt idx="3">
                  <c:v>1994/1995</c:v>
                </c:pt>
                <c:pt idx="4">
                  <c:v>1995/1996</c:v>
                </c:pt>
                <c:pt idx="5">
                  <c:v>1996/1997</c:v>
                </c:pt>
                <c:pt idx="6">
                  <c:v>1997/1998</c:v>
                </c:pt>
              </c:strCache>
            </c:strRef>
          </c:cat>
          <c:val>
            <c:numRef>
              <c:f>'1998-1991'!$J$2:$J$9</c:f>
              <c:numCache>
                <c:formatCode>General</c:formatCode>
                <c:ptCount val="7"/>
                <c:pt idx="0">
                  <c:v>7678</c:v>
                </c:pt>
                <c:pt idx="1">
                  <c:v>8424</c:v>
                </c:pt>
                <c:pt idx="2">
                  <c:v>3444</c:v>
                </c:pt>
                <c:pt idx="3">
                  <c:v>3932</c:v>
                </c:pt>
                <c:pt idx="4">
                  <c:v>-229</c:v>
                </c:pt>
                <c:pt idx="5">
                  <c:v>501</c:v>
                </c:pt>
                <c:pt idx="6">
                  <c:v>2219</c:v>
                </c:pt>
              </c:numCache>
            </c:numRef>
          </c:val>
          <c:smooth val="0"/>
          <c:extLst>
            <c:ext xmlns:c16="http://schemas.microsoft.com/office/drawing/2014/chart" uri="{C3380CC4-5D6E-409C-BE32-E72D297353CC}">
              <c16:uniqueId val="{00000000-E343-4FC6-8EF2-0C31C450BE91}"/>
            </c:ext>
          </c:extLst>
        </c:ser>
        <c:ser>
          <c:idx val="1"/>
          <c:order val="1"/>
          <c:tx>
            <c:strRef>
              <c:f>'1998-1991'!$L$1</c:f>
              <c:strCache>
                <c:ptCount val="1"/>
                <c:pt idx="0">
                  <c:v>تمويل محلي مصرفي</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strRef>
              <c:f>'1998-1991'!$A$2:$A$9</c:f>
              <c:strCache>
                <c:ptCount val="7"/>
                <c:pt idx="0">
                  <c:v>1991/1992</c:v>
                </c:pt>
                <c:pt idx="1">
                  <c:v>1992/1993</c:v>
                </c:pt>
                <c:pt idx="2">
                  <c:v>1993/1994</c:v>
                </c:pt>
                <c:pt idx="3">
                  <c:v>1994/1995</c:v>
                </c:pt>
                <c:pt idx="4">
                  <c:v>1995/1996</c:v>
                </c:pt>
                <c:pt idx="5">
                  <c:v>1996/1997</c:v>
                </c:pt>
                <c:pt idx="6">
                  <c:v>1997/1998</c:v>
                </c:pt>
              </c:strCache>
            </c:strRef>
          </c:cat>
          <c:val>
            <c:numRef>
              <c:f>'1998-1991'!$L$2:$L$9</c:f>
              <c:numCache>
                <c:formatCode>General</c:formatCode>
                <c:ptCount val="7"/>
                <c:pt idx="0">
                  <c:v>-3456</c:v>
                </c:pt>
                <c:pt idx="1">
                  <c:v>-3202</c:v>
                </c:pt>
                <c:pt idx="2">
                  <c:v>-211</c:v>
                </c:pt>
                <c:pt idx="3">
                  <c:v>-1117</c:v>
                </c:pt>
                <c:pt idx="4">
                  <c:v>4565</c:v>
                </c:pt>
                <c:pt idx="5">
                  <c:v>3402</c:v>
                </c:pt>
                <c:pt idx="6">
                  <c:v>1929</c:v>
                </c:pt>
              </c:numCache>
            </c:numRef>
          </c:val>
          <c:smooth val="0"/>
          <c:extLst>
            <c:ext xmlns:c16="http://schemas.microsoft.com/office/drawing/2014/chart" uri="{C3380CC4-5D6E-409C-BE32-E72D297353CC}">
              <c16:uniqueId val="{00000001-E343-4FC6-8EF2-0C31C450BE91}"/>
            </c:ext>
          </c:extLst>
        </c:ser>
        <c:dLbls>
          <c:showLegendKey val="0"/>
          <c:showVal val="0"/>
          <c:showCatName val="0"/>
          <c:showSerName val="0"/>
          <c:showPercent val="0"/>
          <c:showBubbleSize val="0"/>
        </c:dLbls>
        <c:marker val="1"/>
        <c:smooth val="0"/>
        <c:axId val="118043392"/>
        <c:axId val="118045312"/>
      </c:lineChart>
      <c:catAx>
        <c:axId val="1180433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cap="all" spc="120" normalizeH="0" baseline="0">
                <a:solidFill>
                  <a:schemeClr val="dk1"/>
                </a:solidFill>
                <a:latin typeface="+mn-lt"/>
                <a:ea typeface="+mn-ea"/>
                <a:cs typeface="+mn-cs"/>
              </a:defRPr>
            </a:pPr>
            <a:endParaRPr lang="en-US"/>
          </a:p>
        </c:txPr>
        <c:crossAx val="118045312"/>
        <c:crosses val="autoZero"/>
        <c:auto val="1"/>
        <c:lblAlgn val="ctr"/>
        <c:lblOffset val="100"/>
        <c:noMultiLvlLbl val="0"/>
      </c:catAx>
      <c:valAx>
        <c:axId val="118045312"/>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18043392"/>
        <c:crosses val="autoZero"/>
        <c:crossBetween val="between"/>
      </c:valAx>
      <c:spPr>
        <a:noFill/>
        <a:ln>
          <a:noFill/>
        </a:ln>
        <a:effectLst/>
      </c:spPr>
    </c:plotArea>
    <c:legend>
      <c:legendPos val="t"/>
      <c:layout>
        <c:manualLayout>
          <c:xMode val="edge"/>
          <c:yMode val="edge"/>
          <c:x val="0.25045070230774469"/>
          <c:y val="0.91816874400767023"/>
          <c:w val="0.5037093648596519"/>
          <c:h val="8.08970187451400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25400" cap="flat" cmpd="sng" algn="ctr">
      <a:solidFill>
        <a:schemeClr val="accent2"/>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610547586324599E-2"/>
          <c:y val="9.1748796982501865E-2"/>
          <c:w val="0.88733203945540928"/>
          <c:h val="0.79457029357022269"/>
        </c:manualLayout>
      </c:layout>
      <c:lineChart>
        <c:grouping val="standard"/>
        <c:varyColors val="0"/>
        <c:ser>
          <c:idx val="0"/>
          <c:order val="0"/>
          <c:tx>
            <c:strRef>
              <c:f>'1998-1991'!$H$1</c:f>
              <c:strCache>
                <c:ptCount val="1"/>
                <c:pt idx="0">
                  <c:v>التمويل الخارجي</c:v>
                </c:pt>
              </c:strCache>
            </c:strRef>
          </c:tx>
          <c:spPr>
            <a:ln w="22225" cap="rnd">
              <a:solidFill>
                <a:schemeClr val="accent1"/>
              </a:solidFill>
              <a:prstDash val="lgDash"/>
              <a:round/>
            </a:ln>
            <a:effectLst/>
          </c:spPr>
          <c:marker>
            <c:symbol val="diamond"/>
            <c:size val="6"/>
            <c:spPr>
              <a:solidFill>
                <a:schemeClr val="accent1"/>
              </a:solidFill>
              <a:ln w="9525">
                <a:solidFill>
                  <a:schemeClr val="accent1"/>
                </a:solidFill>
                <a:round/>
              </a:ln>
              <a:effectLst/>
            </c:spPr>
          </c:marker>
          <c:cat>
            <c:strRef>
              <c:f>'1998-1991'!$A$2:$A$9</c:f>
              <c:strCache>
                <c:ptCount val="7"/>
                <c:pt idx="0">
                  <c:v>1991/1992</c:v>
                </c:pt>
                <c:pt idx="1">
                  <c:v>1992/1993</c:v>
                </c:pt>
                <c:pt idx="2">
                  <c:v>1993/1994</c:v>
                </c:pt>
                <c:pt idx="3">
                  <c:v>1994/1995</c:v>
                </c:pt>
                <c:pt idx="4">
                  <c:v>1995/1996</c:v>
                </c:pt>
                <c:pt idx="5">
                  <c:v>1996/1997</c:v>
                </c:pt>
                <c:pt idx="6">
                  <c:v>1997/1998</c:v>
                </c:pt>
              </c:strCache>
            </c:strRef>
          </c:cat>
          <c:val>
            <c:numRef>
              <c:f>'1998-1991'!$H$2:$H$9</c:f>
              <c:numCache>
                <c:formatCode>General</c:formatCode>
                <c:ptCount val="7"/>
                <c:pt idx="0">
                  <c:v>1783</c:v>
                </c:pt>
                <c:pt idx="1">
                  <c:v>298</c:v>
                </c:pt>
                <c:pt idx="2">
                  <c:v>464</c:v>
                </c:pt>
                <c:pt idx="3">
                  <c:v>-278</c:v>
                </c:pt>
                <c:pt idx="4">
                  <c:v>-1340</c:v>
                </c:pt>
                <c:pt idx="5">
                  <c:v>-1575</c:v>
                </c:pt>
                <c:pt idx="6">
                  <c:v>-1328</c:v>
                </c:pt>
              </c:numCache>
            </c:numRef>
          </c:val>
          <c:smooth val="0"/>
          <c:extLst>
            <c:ext xmlns:c16="http://schemas.microsoft.com/office/drawing/2014/chart" uri="{C3380CC4-5D6E-409C-BE32-E72D297353CC}">
              <c16:uniqueId val="{00000000-B196-4723-AC5B-EDF6A4ED8A1A}"/>
            </c:ext>
          </c:extLst>
        </c:ser>
        <c:ser>
          <c:idx val="1"/>
          <c:order val="1"/>
          <c:tx>
            <c:strRef>
              <c:f>'1998-1991'!$N$1</c:f>
              <c:strCache>
                <c:ptCount val="1"/>
                <c:pt idx="0">
                  <c:v>إجمالي التمويل المحلي</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strRef>
              <c:f>'1998-1991'!$A$2:$A$9</c:f>
              <c:strCache>
                <c:ptCount val="7"/>
                <c:pt idx="0">
                  <c:v>1991/1992</c:v>
                </c:pt>
                <c:pt idx="1">
                  <c:v>1992/1993</c:v>
                </c:pt>
                <c:pt idx="2">
                  <c:v>1993/1994</c:v>
                </c:pt>
                <c:pt idx="3">
                  <c:v>1994/1995</c:v>
                </c:pt>
                <c:pt idx="4">
                  <c:v>1995/1996</c:v>
                </c:pt>
                <c:pt idx="5">
                  <c:v>1996/1997</c:v>
                </c:pt>
                <c:pt idx="6">
                  <c:v>1997/1998</c:v>
                </c:pt>
              </c:strCache>
            </c:strRef>
          </c:cat>
          <c:val>
            <c:numRef>
              <c:f>'1998-1991'!$N$2:$N$9</c:f>
              <c:numCache>
                <c:formatCode>General</c:formatCode>
                <c:ptCount val="7"/>
                <c:pt idx="0">
                  <c:v>4222</c:v>
                </c:pt>
                <c:pt idx="1">
                  <c:v>5222</c:v>
                </c:pt>
                <c:pt idx="2">
                  <c:v>3233</c:v>
                </c:pt>
                <c:pt idx="3">
                  <c:v>2815</c:v>
                </c:pt>
                <c:pt idx="4">
                  <c:v>4336</c:v>
                </c:pt>
                <c:pt idx="5">
                  <c:v>3903</c:v>
                </c:pt>
                <c:pt idx="6">
                  <c:v>4148</c:v>
                </c:pt>
              </c:numCache>
            </c:numRef>
          </c:val>
          <c:smooth val="0"/>
          <c:extLst>
            <c:ext xmlns:c16="http://schemas.microsoft.com/office/drawing/2014/chart" uri="{C3380CC4-5D6E-409C-BE32-E72D297353CC}">
              <c16:uniqueId val="{00000001-B196-4723-AC5B-EDF6A4ED8A1A}"/>
            </c:ext>
          </c:extLst>
        </c:ser>
        <c:dLbls>
          <c:showLegendKey val="0"/>
          <c:showVal val="0"/>
          <c:showCatName val="0"/>
          <c:showSerName val="0"/>
          <c:showPercent val="0"/>
          <c:showBubbleSize val="0"/>
        </c:dLbls>
        <c:marker val="1"/>
        <c:smooth val="0"/>
        <c:axId val="145818752"/>
        <c:axId val="145820672"/>
      </c:lineChart>
      <c:catAx>
        <c:axId val="1458187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dk1"/>
                </a:solidFill>
                <a:latin typeface="+mn-lt"/>
                <a:ea typeface="+mn-ea"/>
                <a:cs typeface="+mn-cs"/>
              </a:defRPr>
            </a:pPr>
            <a:endParaRPr lang="en-US"/>
          </a:p>
        </c:txPr>
        <c:crossAx val="145820672"/>
        <c:crosses val="autoZero"/>
        <c:auto val="1"/>
        <c:lblAlgn val="ctr"/>
        <c:lblOffset val="100"/>
        <c:noMultiLvlLbl val="0"/>
      </c:catAx>
      <c:valAx>
        <c:axId val="145820672"/>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45818752"/>
        <c:crosses val="autoZero"/>
        <c:crossBetween val="between"/>
      </c:valAx>
      <c:spPr>
        <a:noFill/>
        <a:ln>
          <a:noFill/>
        </a:ln>
        <a:effectLst/>
      </c:spPr>
    </c:plotArea>
    <c:legend>
      <c:legendPos val="t"/>
      <c:layout>
        <c:manualLayout>
          <c:xMode val="edge"/>
          <c:yMode val="edge"/>
          <c:x val="0.29106298304826261"/>
          <c:y val="0.93112504900039206"/>
          <c:w val="0.44093144686174085"/>
          <c:h val="6.615099220006359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25400" cap="flat" cmpd="sng" algn="ctr">
      <a:solidFill>
        <a:schemeClr val="accent2"/>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531235108579722E-2"/>
          <c:y val="0.13408513567321134"/>
          <c:w val="0.88158115682225602"/>
          <c:h val="0.70216836380360337"/>
        </c:manualLayout>
      </c:layout>
      <c:lineChart>
        <c:grouping val="standard"/>
        <c:varyColors val="0"/>
        <c:ser>
          <c:idx val="0"/>
          <c:order val="0"/>
          <c:tx>
            <c:strRef>
              <c:f>'1998-1991'!$C$1</c:f>
              <c:strCache>
                <c:ptCount val="1"/>
                <c:pt idx="0">
                  <c:v>نسبة العجز إلى الناتج</c:v>
                </c:pt>
              </c:strCache>
            </c:strRef>
          </c:tx>
          <c:spPr>
            <a:ln w="22225" cap="rnd">
              <a:solidFill>
                <a:schemeClr val="accent1"/>
              </a:solidFill>
              <a:prstDash val="lgDash"/>
              <a:round/>
            </a:ln>
            <a:effectLst/>
          </c:spPr>
          <c:marker>
            <c:symbol val="diamond"/>
            <c:size val="6"/>
            <c:spPr>
              <a:solidFill>
                <a:schemeClr val="accent1"/>
              </a:solidFill>
              <a:ln w="9525">
                <a:solidFill>
                  <a:schemeClr val="accent1"/>
                </a:solidFill>
                <a:round/>
              </a:ln>
              <a:effectLst/>
            </c:spPr>
          </c:marker>
          <c:cat>
            <c:strRef>
              <c:f>'1998-1991'!$A$2:$A$9</c:f>
              <c:strCache>
                <c:ptCount val="7"/>
                <c:pt idx="0">
                  <c:v>1991/1992</c:v>
                </c:pt>
                <c:pt idx="1">
                  <c:v>1992/1993</c:v>
                </c:pt>
                <c:pt idx="2">
                  <c:v>1993/1994</c:v>
                </c:pt>
                <c:pt idx="3">
                  <c:v>1994/1995</c:v>
                </c:pt>
                <c:pt idx="4">
                  <c:v>1995/1996</c:v>
                </c:pt>
                <c:pt idx="5">
                  <c:v>1996/1997</c:v>
                </c:pt>
                <c:pt idx="6">
                  <c:v>1997/1998</c:v>
                </c:pt>
              </c:strCache>
            </c:strRef>
          </c:cat>
          <c:val>
            <c:numRef>
              <c:f>'1998-1991'!$C$2:$C$9</c:f>
              <c:numCache>
                <c:formatCode>0.0%</c:formatCode>
                <c:ptCount val="7"/>
                <c:pt idx="0">
                  <c:v>4.6979558512708214E-2</c:v>
                </c:pt>
                <c:pt idx="1">
                  <c:v>3.7766830870279149E-2</c:v>
                </c:pt>
                <c:pt idx="2">
                  <c:v>2.1098828350159513E-2</c:v>
                </c:pt>
                <c:pt idx="3">
                  <c:v>1.2430303089692207E-2</c:v>
                </c:pt>
                <c:pt idx="4">
                  <c:v>1.3038331650593602E-2</c:v>
                </c:pt>
                <c:pt idx="5">
                  <c:v>8.770905309637823E-3</c:v>
                </c:pt>
                <c:pt idx="6">
                  <c:v>9.792414698345013E-3</c:v>
                </c:pt>
              </c:numCache>
            </c:numRef>
          </c:val>
          <c:smooth val="0"/>
          <c:extLst>
            <c:ext xmlns:c16="http://schemas.microsoft.com/office/drawing/2014/chart" uri="{C3380CC4-5D6E-409C-BE32-E72D297353CC}">
              <c16:uniqueId val="{00000000-164D-47D5-8EF9-5A12415706DE}"/>
            </c:ext>
          </c:extLst>
        </c:ser>
        <c:ser>
          <c:idx val="1"/>
          <c:order val="1"/>
          <c:tx>
            <c:strRef>
              <c:f>'1998-1991'!$N$1</c:f>
              <c:strCache>
                <c:ptCount val="1"/>
                <c:pt idx="0">
                  <c:v>الرقم القياسي لأسعار المستهلكين</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strRef>
              <c:f>'1998-1991'!$A$2:$A$9</c:f>
              <c:strCache>
                <c:ptCount val="7"/>
                <c:pt idx="0">
                  <c:v>1991/1992</c:v>
                </c:pt>
                <c:pt idx="1">
                  <c:v>1992/1993</c:v>
                </c:pt>
                <c:pt idx="2">
                  <c:v>1993/1994</c:v>
                </c:pt>
                <c:pt idx="3">
                  <c:v>1994/1995</c:v>
                </c:pt>
                <c:pt idx="4">
                  <c:v>1995/1996</c:v>
                </c:pt>
                <c:pt idx="5">
                  <c:v>1996/1997</c:v>
                </c:pt>
                <c:pt idx="6">
                  <c:v>1997/1998</c:v>
                </c:pt>
              </c:strCache>
            </c:strRef>
          </c:cat>
          <c:val>
            <c:numRef>
              <c:f>'1998-1991'!$N$2:$N$9</c:f>
              <c:numCache>
                <c:formatCode>0.0%</c:formatCode>
                <c:ptCount val="7"/>
                <c:pt idx="0">
                  <c:v>0.19700000000000001</c:v>
                </c:pt>
                <c:pt idx="1">
                  <c:v>0.13600000000000001</c:v>
                </c:pt>
                <c:pt idx="2">
                  <c:v>0.121</c:v>
                </c:pt>
                <c:pt idx="3">
                  <c:v>8.2000000000000003E-2</c:v>
                </c:pt>
                <c:pt idx="4">
                  <c:v>8.4000000000000005E-2</c:v>
                </c:pt>
                <c:pt idx="5">
                  <c:v>7.1999999999999995E-2</c:v>
                </c:pt>
                <c:pt idx="6">
                  <c:v>4.5999999999999999E-2</c:v>
                </c:pt>
              </c:numCache>
            </c:numRef>
          </c:val>
          <c:smooth val="0"/>
          <c:extLst>
            <c:ext xmlns:c16="http://schemas.microsoft.com/office/drawing/2014/chart" uri="{C3380CC4-5D6E-409C-BE32-E72D297353CC}">
              <c16:uniqueId val="{00000001-164D-47D5-8EF9-5A12415706DE}"/>
            </c:ext>
          </c:extLst>
        </c:ser>
        <c:dLbls>
          <c:showLegendKey val="0"/>
          <c:showVal val="0"/>
          <c:showCatName val="0"/>
          <c:showSerName val="0"/>
          <c:showPercent val="0"/>
          <c:showBubbleSize val="0"/>
        </c:dLbls>
        <c:marker val="1"/>
        <c:smooth val="0"/>
        <c:axId val="34460416"/>
        <c:axId val="34462336"/>
      </c:lineChart>
      <c:catAx>
        <c:axId val="344604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dk1"/>
                </a:solidFill>
                <a:latin typeface="+mn-lt"/>
                <a:ea typeface="+mn-ea"/>
                <a:cs typeface="+mn-cs"/>
              </a:defRPr>
            </a:pPr>
            <a:endParaRPr lang="en-US"/>
          </a:p>
        </c:txPr>
        <c:crossAx val="34462336"/>
        <c:crosses val="autoZero"/>
        <c:auto val="1"/>
        <c:lblAlgn val="ctr"/>
        <c:lblOffset val="100"/>
        <c:noMultiLvlLbl val="0"/>
      </c:catAx>
      <c:valAx>
        <c:axId val="34462336"/>
        <c:scaling>
          <c:orientation val="minMax"/>
        </c:scaling>
        <c:delete val="0"/>
        <c:axPos val="l"/>
        <c:numFmt formatCode="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34460416"/>
        <c:crosses val="autoZero"/>
        <c:crossBetween val="between"/>
      </c:valAx>
      <c:spPr>
        <a:noFill/>
        <a:ln>
          <a:noFill/>
        </a:ln>
        <a:effectLst/>
      </c:spPr>
    </c:plotArea>
    <c:legend>
      <c:legendPos val="t"/>
      <c:layout>
        <c:manualLayout>
          <c:xMode val="edge"/>
          <c:yMode val="edge"/>
          <c:x val="0.23983389684358619"/>
          <c:y val="0.93034104272834173"/>
          <c:w val="0.55260868183984202"/>
          <c:h val="6.615099220006359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25400" cap="flat" cmpd="sng" algn="ctr">
      <a:solidFill>
        <a:schemeClr val="accent2"/>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216932537611474E-2"/>
          <c:y val="0.10760578683054665"/>
          <c:w val="0.91042283691483805"/>
          <c:h val="0.68855258243640749"/>
        </c:manualLayout>
      </c:layout>
      <c:lineChart>
        <c:grouping val="standard"/>
        <c:varyColors val="0"/>
        <c:ser>
          <c:idx val="0"/>
          <c:order val="0"/>
          <c:tx>
            <c:strRef>
              <c:f>'1998-1991'!$D$1</c:f>
              <c:strCache>
                <c:ptCount val="1"/>
                <c:pt idx="0">
                  <c:v>التمويل الخارجي</c:v>
                </c:pt>
              </c:strCache>
            </c:strRef>
          </c:tx>
          <c:spPr>
            <a:ln w="22225" cap="rnd">
              <a:solidFill>
                <a:schemeClr val="accent1"/>
              </a:solidFill>
              <a:prstDash val="lgDash"/>
              <a:round/>
            </a:ln>
            <a:effectLst/>
          </c:spPr>
          <c:marker>
            <c:symbol val="diamond"/>
            <c:size val="6"/>
            <c:spPr>
              <a:solidFill>
                <a:schemeClr val="accent1"/>
              </a:solidFill>
              <a:ln w="9525">
                <a:solidFill>
                  <a:schemeClr val="accent1"/>
                </a:solidFill>
                <a:round/>
              </a:ln>
              <a:effectLst/>
            </c:spPr>
          </c:marker>
          <c:cat>
            <c:strRef>
              <c:f>'1998-1991'!$A$2:$A$9</c:f>
              <c:strCache>
                <c:ptCount val="7"/>
                <c:pt idx="0">
                  <c:v>1991/1992</c:v>
                </c:pt>
                <c:pt idx="1">
                  <c:v>1992/1993</c:v>
                </c:pt>
                <c:pt idx="2">
                  <c:v>1993/1994</c:v>
                </c:pt>
                <c:pt idx="3">
                  <c:v>1994/1995</c:v>
                </c:pt>
                <c:pt idx="4">
                  <c:v>1995/1996</c:v>
                </c:pt>
                <c:pt idx="5">
                  <c:v>1996/1997</c:v>
                </c:pt>
                <c:pt idx="6">
                  <c:v>1997/1998</c:v>
                </c:pt>
              </c:strCache>
            </c:strRef>
          </c:cat>
          <c:val>
            <c:numRef>
              <c:f>'1998-1991'!$D$2:$D$9</c:f>
              <c:numCache>
                <c:formatCode>General</c:formatCode>
                <c:ptCount val="7"/>
                <c:pt idx="0">
                  <c:v>1.7829999999999999</c:v>
                </c:pt>
                <c:pt idx="1">
                  <c:v>0.29799999999999999</c:v>
                </c:pt>
                <c:pt idx="2">
                  <c:v>0.46400000000000002</c:v>
                </c:pt>
                <c:pt idx="3">
                  <c:v>-0.27800000000000002</c:v>
                </c:pt>
                <c:pt idx="4">
                  <c:v>-1.34</c:v>
                </c:pt>
                <c:pt idx="5">
                  <c:v>-1.575</c:v>
                </c:pt>
                <c:pt idx="6">
                  <c:v>-1.3280000000000001</c:v>
                </c:pt>
              </c:numCache>
            </c:numRef>
          </c:val>
          <c:smooth val="0"/>
          <c:extLst>
            <c:ext xmlns:c16="http://schemas.microsoft.com/office/drawing/2014/chart" uri="{C3380CC4-5D6E-409C-BE32-E72D297353CC}">
              <c16:uniqueId val="{00000000-3E7F-495A-8F88-1A60FD51BFE8}"/>
            </c:ext>
          </c:extLst>
        </c:ser>
        <c:ser>
          <c:idx val="1"/>
          <c:order val="1"/>
          <c:tx>
            <c:strRef>
              <c:f>'1998-1991'!$F$1</c:f>
              <c:strCache>
                <c:ptCount val="1"/>
                <c:pt idx="0">
                  <c:v>تمويل محلي غير المصرفي</c:v>
                </c:pt>
              </c:strCache>
            </c:strRef>
          </c:tx>
          <c:spPr>
            <a:ln w="22225" cap="rnd">
              <a:solidFill>
                <a:schemeClr val="accent2"/>
              </a:solidFill>
              <a:prstDash val="sysDot"/>
              <a:round/>
            </a:ln>
            <a:effectLst/>
          </c:spPr>
          <c:marker>
            <c:symbol val="square"/>
            <c:size val="6"/>
            <c:spPr>
              <a:solidFill>
                <a:schemeClr val="accent2"/>
              </a:solidFill>
              <a:ln w="9525">
                <a:solidFill>
                  <a:schemeClr val="accent2"/>
                </a:solidFill>
                <a:round/>
              </a:ln>
              <a:effectLst/>
            </c:spPr>
          </c:marker>
          <c:cat>
            <c:strRef>
              <c:f>'1998-1991'!$A$2:$A$9</c:f>
              <c:strCache>
                <c:ptCount val="7"/>
                <c:pt idx="0">
                  <c:v>1991/1992</c:v>
                </c:pt>
                <c:pt idx="1">
                  <c:v>1992/1993</c:v>
                </c:pt>
                <c:pt idx="2">
                  <c:v>1993/1994</c:v>
                </c:pt>
                <c:pt idx="3">
                  <c:v>1994/1995</c:v>
                </c:pt>
                <c:pt idx="4">
                  <c:v>1995/1996</c:v>
                </c:pt>
                <c:pt idx="5">
                  <c:v>1996/1997</c:v>
                </c:pt>
                <c:pt idx="6">
                  <c:v>1997/1998</c:v>
                </c:pt>
              </c:strCache>
            </c:strRef>
          </c:cat>
          <c:val>
            <c:numRef>
              <c:f>'1998-1991'!$F$2:$F$9</c:f>
              <c:numCache>
                <c:formatCode>General</c:formatCode>
                <c:ptCount val="7"/>
                <c:pt idx="0">
                  <c:v>7.6779999999999999</c:v>
                </c:pt>
                <c:pt idx="1">
                  <c:v>8.4239999999999995</c:v>
                </c:pt>
                <c:pt idx="2">
                  <c:v>3.444</c:v>
                </c:pt>
                <c:pt idx="3">
                  <c:v>3.9319999999999999</c:v>
                </c:pt>
                <c:pt idx="4">
                  <c:v>-0.22900000000000001</c:v>
                </c:pt>
                <c:pt idx="5">
                  <c:v>0.501</c:v>
                </c:pt>
                <c:pt idx="6">
                  <c:v>2.2189999999999999</c:v>
                </c:pt>
              </c:numCache>
            </c:numRef>
          </c:val>
          <c:smooth val="0"/>
          <c:extLst>
            <c:ext xmlns:c16="http://schemas.microsoft.com/office/drawing/2014/chart" uri="{C3380CC4-5D6E-409C-BE32-E72D297353CC}">
              <c16:uniqueId val="{00000001-3E7F-495A-8F88-1A60FD51BFE8}"/>
            </c:ext>
          </c:extLst>
        </c:ser>
        <c:ser>
          <c:idx val="2"/>
          <c:order val="2"/>
          <c:tx>
            <c:strRef>
              <c:f>'1998-1991'!$H$1</c:f>
              <c:strCache>
                <c:ptCount val="1"/>
                <c:pt idx="0">
                  <c:v>تمويل محلي مصرفي</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strRef>
              <c:f>'1998-1991'!$A$2:$A$9</c:f>
              <c:strCache>
                <c:ptCount val="7"/>
                <c:pt idx="0">
                  <c:v>1991/1992</c:v>
                </c:pt>
                <c:pt idx="1">
                  <c:v>1992/1993</c:v>
                </c:pt>
                <c:pt idx="2">
                  <c:v>1993/1994</c:v>
                </c:pt>
                <c:pt idx="3">
                  <c:v>1994/1995</c:v>
                </c:pt>
                <c:pt idx="4">
                  <c:v>1995/1996</c:v>
                </c:pt>
                <c:pt idx="5">
                  <c:v>1996/1997</c:v>
                </c:pt>
                <c:pt idx="6">
                  <c:v>1997/1998</c:v>
                </c:pt>
              </c:strCache>
            </c:strRef>
          </c:cat>
          <c:val>
            <c:numRef>
              <c:f>'1998-1991'!$H$2:$H$9</c:f>
              <c:numCache>
                <c:formatCode>General</c:formatCode>
                <c:ptCount val="7"/>
                <c:pt idx="0">
                  <c:v>-3.456</c:v>
                </c:pt>
                <c:pt idx="1">
                  <c:v>-3.202</c:v>
                </c:pt>
                <c:pt idx="2">
                  <c:v>-0.21099999999999999</c:v>
                </c:pt>
                <c:pt idx="3">
                  <c:v>-1.117</c:v>
                </c:pt>
                <c:pt idx="4">
                  <c:v>4.5650000000000004</c:v>
                </c:pt>
                <c:pt idx="5">
                  <c:v>3.4020000000000001</c:v>
                </c:pt>
                <c:pt idx="6">
                  <c:v>1.929</c:v>
                </c:pt>
              </c:numCache>
            </c:numRef>
          </c:val>
          <c:smooth val="0"/>
          <c:extLst>
            <c:ext xmlns:c16="http://schemas.microsoft.com/office/drawing/2014/chart" uri="{C3380CC4-5D6E-409C-BE32-E72D297353CC}">
              <c16:uniqueId val="{00000002-3E7F-495A-8F88-1A60FD51BFE8}"/>
            </c:ext>
          </c:extLst>
        </c:ser>
        <c:ser>
          <c:idx val="3"/>
          <c:order val="3"/>
          <c:tx>
            <c:strRef>
              <c:f>'1998-1991'!$P$1</c:f>
              <c:strCache>
                <c:ptCount val="1"/>
                <c:pt idx="0">
                  <c:v>الأسعار القياسية للسلع الاستهلاكية (2010 = 100)</c:v>
                </c:pt>
              </c:strCache>
            </c:strRef>
          </c:tx>
          <c:spPr>
            <a:ln w="22225" cap="rnd">
              <a:solidFill>
                <a:schemeClr val="accent4"/>
              </a:solidFill>
              <a:prstDash val="sysDash"/>
              <a:round/>
            </a:ln>
            <a:effectLst/>
          </c:spPr>
          <c:marker>
            <c:symbol val="x"/>
            <c:size val="6"/>
            <c:spPr>
              <a:noFill/>
              <a:ln w="9525">
                <a:solidFill>
                  <a:schemeClr val="accent4"/>
                </a:solidFill>
                <a:round/>
              </a:ln>
              <a:effectLst/>
            </c:spPr>
          </c:marker>
          <c:cat>
            <c:strRef>
              <c:f>'1998-1991'!$A$2:$A$9</c:f>
              <c:strCache>
                <c:ptCount val="7"/>
                <c:pt idx="0">
                  <c:v>1991/1992</c:v>
                </c:pt>
                <c:pt idx="1">
                  <c:v>1992/1993</c:v>
                </c:pt>
                <c:pt idx="2">
                  <c:v>1993/1994</c:v>
                </c:pt>
                <c:pt idx="3">
                  <c:v>1994/1995</c:v>
                </c:pt>
                <c:pt idx="4">
                  <c:v>1995/1996</c:v>
                </c:pt>
                <c:pt idx="5">
                  <c:v>1996/1997</c:v>
                </c:pt>
                <c:pt idx="6">
                  <c:v>1997/1998</c:v>
                </c:pt>
              </c:strCache>
            </c:strRef>
          </c:cat>
          <c:val>
            <c:numRef>
              <c:f>'1998-1991'!$P$2:$P$9</c:f>
              <c:numCache>
                <c:formatCode>General</c:formatCode>
                <c:ptCount val="7"/>
                <c:pt idx="0">
                  <c:v>22.92</c:v>
                </c:pt>
                <c:pt idx="1">
                  <c:v>26.05</c:v>
                </c:pt>
                <c:pt idx="2">
                  <c:v>29.2</c:v>
                </c:pt>
                <c:pt idx="3">
                  <c:v>31.58</c:v>
                </c:pt>
                <c:pt idx="4">
                  <c:v>36.549999999999997</c:v>
                </c:pt>
                <c:pt idx="5">
                  <c:v>39.18</c:v>
                </c:pt>
                <c:pt idx="6">
                  <c:v>40.99</c:v>
                </c:pt>
              </c:numCache>
            </c:numRef>
          </c:val>
          <c:smooth val="0"/>
          <c:extLst>
            <c:ext xmlns:c16="http://schemas.microsoft.com/office/drawing/2014/chart" uri="{C3380CC4-5D6E-409C-BE32-E72D297353CC}">
              <c16:uniqueId val="{00000003-3E7F-495A-8F88-1A60FD51BFE8}"/>
            </c:ext>
          </c:extLst>
        </c:ser>
        <c:dLbls>
          <c:showLegendKey val="0"/>
          <c:showVal val="0"/>
          <c:showCatName val="0"/>
          <c:showSerName val="0"/>
          <c:showPercent val="0"/>
          <c:showBubbleSize val="0"/>
        </c:dLbls>
        <c:marker val="1"/>
        <c:smooth val="0"/>
        <c:axId val="45074688"/>
        <c:axId val="45076864"/>
      </c:lineChart>
      <c:catAx>
        <c:axId val="450746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dk1"/>
                </a:solidFill>
                <a:latin typeface="+mn-lt"/>
                <a:ea typeface="+mn-ea"/>
                <a:cs typeface="+mn-cs"/>
              </a:defRPr>
            </a:pPr>
            <a:endParaRPr lang="en-US"/>
          </a:p>
        </c:txPr>
        <c:crossAx val="45076864"/>
        <c:crosses val="autoZero"/>
        <c:auto val="1"/>
        <c:lblAlgn val="ctr"/>
        <c:lblOffset val="100"/>
        <c:noMultiLvlLbl val="0"/>
      </c:catAx>
      <c:valAx>
        <c:axId val="45076864"/>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45074688"/>
        <c:crossesAt val="1"/>
        <c:crossBetween val="between"/>
      </c:valAx>
      <c:spPr>
        <a:noFill/>
        <a:ln>
          <a:noFill/>
        </a:ln>
        <a:effectLst/>
      </c:spPr>
    </c:plotArea>
    <c:legend>
      <c:legendPos val="t"/>
      <c:legendEntry>
        <c:idx val="3"/>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Entry>
      <c:layout>
        <c:manualLayout>
          <c:xMode val="edge"/>
          <c:yMode val="edge"/>
          <c:x val="9.7141119607887627E-2"/>
          <c:y val="0.85535084280674245"/>
          <c:w val="0.86565994236311239"/>
          <c:h val="0.1264219373597508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25400" cap="flat" cmpd="sng" algn="ctr">
      <a:solidFill>
        <a:schemeClr val="accent2"/>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'2005-1998'!$B$3</c:f>
              <c:strCache>
                <c:ptCount val="1"/>
                <c:pt idx="0">
                  <c:v>إجمالي الإيرادات</c:v>
                </c:pt>
              </c:strCache>
            </c:strRef>
          </c:tx>
          <c:spPr>
            <a:pattFill prst="pct20">
              <a:fgClr>
                <a:schemeClr val="accent1"/>
              </a:fgClr>
              <a:bgClr>
                <a:schemeClr val="bg1"/>
              </a:bgClr>
            </a:pattFill>
            <a:ln>
              <a:solidFill>
                <a:schemeClr val="tx1"/>
              </a:solidFill>
            </a:ln>
            <a:effectLst/>
          </c:spPr>
          <c:invertIfNegative val="0"/>
          <c:cat>
            <c:strRef>
              <c:f>'2005-1998'!$A$4:$A$11</c:f>
              <c:strCache>
                <c:ptCount val="7"/>
                <c:pt idx="0">
                  <c:v>1998/1999</c:v>
                </c:pt>
                <c:pt idx="1">
                  <c:v>1999/2000</c:v>
                </c:pt>
                <c:pt idx="2">
                  <c:v>2000/2001</c:v>
                </c:pt>
                <c:pt idx="3">
                  <c:v>2001/2002</c:v>
                </c:pt>
                <c:pt idx="4">
                  <c:v>2002/2003</c:v>
                </c:pt>
                <c:pt idx="5">
                  <c:v>2003/2004</c:v>
                </c:pt>
                <c:pt idx="6">
                  <c:v>2004/2005</c:v>
                </c:pt>
              </c:strCache>
            </c:strRef>
          </c:cat>
          <c:val>
            <c:numRef>
              <c:f>'2005-1998'!$B$4:$B$11</c:f>
              <c:numCache>
                <c:formatCode>General</c:formatCode>
                <c:ptCount val="7"/>
                <c:pt idx="0">
                  <c:v>71072</c:v>
                </c:pt>
                <c:pt idx="1">
                  <c:v>75399</c:v>
                </c:pt>
                <c:pt idx="2">
                  <c:v>76139</c:v>
                </c:pt>
                <c:pt idx="3">
                  <c:v>78317</c:v>
                </c:pt>
                <c:pt idx="4">
                  <c:v>89347</c:v>
                </c:pt>
                <c:pt idx="5">
                  <c:v>101880</c:v>
                </c:pt>
                <c:pt idx="6">
                  <c:v>110864</c:v>
                </c:pt>
              </c:numCache>
            </c:numRef>
          </c:val>
          <c:extLst>
            <c:ext xmlns:c16="http://schemas.microsoft.com/office/drawing/2014/chart" uri="{C3380CC4-5D6E-409C-BE32-E72D297353CC}">
              <c16:uniqueId val="{00000000-0800-4089-A985-DD56182CB84E}"/>
            </c:ext>
          </c:extLst>
        </c:ser>
        <c:ser>
          <c:idx val="1"/>
          <c:order val="1"/>
          <c:tx>
            <c:strRef>
              <c:f>'2005-1998'!$C$3</c:f>
              <c:strCache>
                <c:ptCount val="1"/>
                <c:pt idx="0">
                  <c:v>إجمالي المصروفات</c:v>
                </c:pt>
              </c:strCache>
            </c:strRef>
          </c:tx>
          <c:spPr>
            <a:solidFill>
              <a:schemeClr val="accent2"/>
            </a:solidFill>
            <a:ln>
              <a:noFill/>
            </a:ln>
            <a:effectLst/>
          </c:spPr>
          <c:invertIfNegative val="0"/>
          <c:cat>
            <c:strRef>
              <c:f>'2005-1998'!$A$4:$A$11</c:f>
              <c:strCache>
                <c:ptCount val="7"/>
                <c:pt idx="0">
                  <c:v>1998/1999</c:v>
                </c:pt>
                <c:pt idx="1">
                  <c:v>1999/2000</c:v>
                </c:pt>
                <c:pt idx="2">
                  <c:v>2000/2001</c:v>
                </c:pt>
                <c:pt idx="3">
                  <c:v>2001/2002</c:v>
                </c:pt>
                <c:pt idx="4">
                  <c:v>2002/2003</c:v>
                </c:pt>
                <c:pt idx="5">
                  <c:v>2003/2004</c:v>
                </c:pt>
                <c:pt idx="6">
                  <c:v>2004/2005</c:v>
                </c:pt>
              </c:strCache>
            </c:strRef>
          </c:cat>
          <c:val>
            <c:numRef>
              <c:f>'2005-1998'!$C$4:$C$11</c:f>
              <c:numCache>
                <c:formatCode>General</c:formatCode>
                <c:ptCount val="7"/>
                <c:pt idx="0">
                  <c:v>79995</c:v>
                </c:pt>
                <c:pt idx="1">
                  <c:v>88600</c:v>
                </c:pt>
                <c:pt idx="2">
                  <c:v>96121</c:v>
                </c:pt>
                <c:pt idx="3">
                  <c:v>115542</c:v>
                </c:pt>
                <c:pt idx="4">
                  <c:v>127320</c:v>
                </c:pt>
                <c:pt idx="5">
                  <c:v>145988</c:v>
                </c:pt>
                <c:pt idx="6">
                  <c:v>161611</c:v>
                </c:pt>
              </c:numCache>
            </c:numRef>
          </c:val>
          <c:extLst>
            <c:ext xmlns:c16="http://schemas.microsoft.com/office/drawing/2014/chart" uri="{C3380CC4-5D6E-409C-BE32-E72D297353CC}">
              <c16:uniqueId val="{00000001-0800-4089-A985-DD56182CB84E}"/>
            </c:ext>
          </c:extLst>
        </c:ser>
        <c:dLbls>
          <c:showLegendKey val="0"/>
          <c:showVal val="0"/>
          <c:showCatName val="0"/>
          <c:showSerName val="0"/>
          <c:showPercent val="0"/>
          <c:showBubbleSize val="0"/>
        </c:dLbls>
        <c:gapWidth val="150"/>
        <c:axId val="88141184"/>
        <c:axId val="91759744"/>
      </c:barChart>
      <c:lineChart>
        <c:grouping val="standard"/>
        <c:varyColors val="0"/>
        <c:ser>
          <c:idx val="2"/>
          <c:order val="2"/>
          <c:tx>
            <c:strRef>
              <c:f>'2005-1998'!$D$3</c:f>
              <c:strCache>
                <c:ptCount val="1"/>
                <c:pt idx="0">
                  <c:v>العجز الكلي</c:v>
                </c:pt>
              </c:strCache>
            </c:strRef>
          </c:tx>
          <c:spPr>
            <a:ln w="28575" cap="rnd">
              <a:solidFill>
                <a:schemeClr val="accent3"/>
              </a:solidFill>
              <a:round/>
            </a:ln>
            <a:effectLst/>
          </c:spPr>
          <c:marker>
            <c:symbol val="none"/>
          </c:marker>
          <c:cat>
            <c:strRef>
              <c:f>'2005-1998'!$A$4:$A$17</c:f>
              <c:strCache>
                <c:ptCount val="13"/>
                <c:pt idx="0">
                  <c:v>1998/1999</c:v>
                </c:pt>
                <c:pt idx="1">
                  <c:v>1999/2000</c:v>
                </c:pt>
                <c:pt idx="2">
                  <c:v>2000/2001</c:v>
                </c:pt>
                <c:pt idx="3">
                  <c:v>2001/2002</c:v>
                </c:pt>
                <c:pt idx="4">
                  <c:v>2002/2003</c:v>
                </c:pt>
                <c:pt idx="5">
                  <c:v>2003/2004</c:v>
                </c:pt>
                <c:pt idx="6">
                  <c:v>2004/2005</c:v>
                </c:pt>
                <c:pt idx="7">
                  <c:v>2005/2006</c:v>
                </c:pt>
                <c:pt idx="8">
                  <c:v>2006/2007</c:v>
                </c:pt>
                <c:pt idx="9">
                  <c:v>2007/2008</c:v>
                </c:pt>
                <c:pt idx="10">
                  <c:v>2008/2009</c:v>
                </c:pt>
                <c:pt idx="11">
                  <c:v>2009/2010</c:v>
                </c:pt>
                <c:pt idx="12">
                  <c:v>2010/2011</c:v>
                </c:pt>
              </c:strCache>
            </c:strRef>
          </c:cat>
          <c:val>
            <c:numRef>
              <c:f>'2005-1998'!$D$4:$D$11</c:f>
              <c:numCache>
                <c:formatCode>General</c:formatCode>
                <c:ptCount val="7"/>
                <c:pt idx="0">
                  <c:v>8923</c:v>
                </c:pt>
                <c:pt idx="1">
                  <c:v>13201</c:v>
                </c:pt>
                <c:pt idx="2">
                  <c:v>19982</c:v>
                </c:pt>
                <c:pt idx="3">
                  <c:v>38486</c:v>
                </c:pt>
                <c:pt idx="4">
                  <c:v>43644</c:v>
                </c:pt>
                <c:pt idx="5">
                  <c:v>45878</c:v>
                </c:pt>
                <c:pt idx="6">
                  <c:v>51643</c:v>
                </c:pt>
              </c:numCache>
            </c:numRef>
          </c:val>
          <c:smooth val="0"/>
          <c:extLst>
            <c:ext xmlns:c16="http://schemas.microsoft.com/office/drawing/2014/chart" uri="{C3380CC4-5D6E-409C-BE32-E72D297353CC}">
              <c16:uniqueId val="{00000002-0800-4089-A985-DD56182CB84E}"/>
            </c:ext>
          </c:extLst>
        </c:ser>
        <c:dLbls>
          <c:showLegendKey val="0"/>
          <c:showVal val="0"/>
          <c:showCatName val="0"/>
          <c:showSerName val="0"/>
          <c:showPercent val="0"/>
          <c:showBubbleSize val="0"/>
        </c:dLbls>
        <c:marker val="1"/>
        <c:smooth val="0"/>
        <c:axId val="88141184"/>
        <c:axId val="91759744"/>
      </c:lineChart>
      <c:catAx>
        <c:axId val="881411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91759744"/>
        <c:crosses val="autoZero"/>
        <c:auto val="1"/>
        <c:lblAlgn val="ctr"/>
        <c:lblOffset val="100"/>
        <c:noMultiLvlLbl val="0"/>
      </c:catAx>
      <c:valAx>
        <c:axId val="91759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crossAx val="88141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25400" cap="flat" cmpd="sng" algn="ctr">
      <a:solidFill>
        <a:schemeClr val="accent2"/>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162</Pages>
  <Words>32536</Words>
  <Characters>185457</Characters>
  <Application>Microsoft Office Word</Application>
  <DocSecurity>0</DocSecurity>
  <Lines>1545</Lines>
  <Paragraphs>435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2021-10-31T07:13:00Z</dcterms:created>
  <dcterms:modified xsi:type="dcterms:W3CDTF">2021-10-31T07:39:00Z</dcterms:modified>
</cp:coreProperties>
</file>